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187" w:rsidRPr="004A109C" w:rsidRDefault="00B62635" w:rsidP="00590171">
      <w:pPr>
        <w:pStyle w:val="MainHeading"/>
        <w:spacing w:after="336"/>
        <w:ind w:left="0" w:right="0"/>
        <w:rPr>
          <w:color w:val="005395"/>
        </w:rPr>
      </w:pPr>
      <w:bookmarkStart w:id="0" w:name="_Toc459796621"/>
      <w:r>
        <w:rPr>
          <w:color w:val="005395"/>
        </w:rPr>
        <w:t>Tasmanian Acute Public Hospitals</w:t>
      </w:r>
      <w:bookmarkEnd w:id="0"/>
      <w:r>
        <w:rPr>
          <w:color w:val="005395"/>
        </w:rPr>
        <w:t xml:space="preserve"> </w:t>
      </w:r>
    </w:p>
    <w:p w:rsidR="00AE0838" w:rsidRPr="003A7A3F" w:rsidRDefault="00B62635" w:rsidP="00590171">
      <w:pPr>
        <w:pStyle w:val="Subtitle2"/>
        <w:spacing w:after="336"/>
        <w:ind w:left="142" w:right="0"/>
        <w:rPr>
          <w:color w:val="09BEDD"/>
        </w:rPr>
        <w:sectPr w:rsidR="00AE0838" w:rsidRPr="003A7A3F" w:rsidSect="00E50A06">
          <w:headerReference w:type="even" r:id="rId10"/>
          <w:headerReference w:type="default" r:id="rId11"/>
          <w:footerReference w:type="even" r:id="rId12"/>
          <w:footerReference w:type="default" r:id="rId13"/>
          <w:headerReference w:type="first" r:id="rId14"/>
          <w:footerReference w:type="first" r:id="rId15"/>
          <w:pgSz w:w="11906" w:h="16838"/>
          <w:pgMar w:top="1955" w:right="1440" w:bottom="1440" w:left="1440" w:header="709" w:footer="709" w:gutter="0"/>
          <w:cols w:space="708"/>
          <w:titlePg/>
          <w:docGrid w:linePitch="360"/>
        </w:sectPr>
      </w:pPr>
      <w:r>
        <w:rPr>
          <w:color w:val="09BEDD"/>
        </w:rPr>
        <w:t>Healthcare Associated Infection Surveillance Report 30 – Annual Report 2015 -16</w:t>
      </w:r>
    </w:p>
    <w:p w:rsidR="00B62635" w:rsidRPr="00224F4C" w:rsidRDefault="00B62635" w:rsidP="00B62635">
      <w:pPr>
        <w:spacing w:afterLines="0"/>
        <w:rPr>
          <w:b/>
        </w:rPr>
      </w:pPr>
      <w:r w:rsidRPr="00224F4C">
        <w:rPr>
          <w:b/>
        </w:rPr>
        <w:lastRenderedPageBreak/>
        <w:t xml:space="preserve">Tasmanian Acute Public Hospitals Healthcare Associated Infection Surveillance Report </w:t>
      </w:r>
    </w:p>
    <w:p w:rsidR="00B62635" w:rsidRPr="00224F4C" w:rsidRDefault="00B62635" w:rsidP="00B62635">
      <w:pPr>
        <w:spacing w:afterLines="0"/>
        <w:rPr>
          <w:rFonts w:cs="Arial"/>
          <w:lang w:val="en-US"/>
        </w:rPr>
      </w:pPr>
      <w:r w:rsidRPr="00224F4C">
        <w:rPr>
          <w:rFonts w:cs="Arial"/>
          <w:lang w:val="en-US"/>
        </w:rPr>
        <w:t>Department of Health and Human Services</w:t>
      </w:r>
      <w:r w:rsidRPr="00224F4C">
        <w:rPr>
          <w:rFonts w:cs="Arial"/>
        </w:rPr>
        <w:t xml:space="preserve">, </w:t>
      </w:r>
      <w:r w:rsidRPr="00224F4C">
        <w:rPr>
          <w:rFonts w:cs="Arial"/>
          <w:lang w:val="en-US"/>
        </w:rPr>
        <w:t>Tasmania</w:t>
      </w:r>
    </w:p>
    <w:p w:rsidR="00B62635" w:rsidRPr="00224F4C" w:rsidRDefault="00B62635" w:rsidP="00B62635">
      <w:pPr>
        <w:spacing w:afterLines="0"/>
        <w:rPr>
          <w:rFonts w:cs="Arial"/>
          <w:lang w:val="en-US"/>
        </w:rPr>
      </w:pPr>
      <w:r>
        <w:rPr>
          <w:rFonts w:cs="Arial"/>
          <w:lang w:val="en-US"/>
        </w:rPr>
        <w:t>Published 2016</w:t>
      </w:r>
    </w:p>
    <w:p w:rsidR="00B62635" w:rsidRPr="00224F4C" w:rsidRDefault="00B62635" w:rsidP="00B62635">
      <w:pPr>
        <w:spacing w:afterLines="0"/>
        <w:rPr>
          <w:rFonts w:cs="Arial"/>
          <w:lang w:val="en-US"/>
        </w:rPr>
      </w:pPr>
      <w:r w:rsidRPr="00224F4C">
        <w:rPr>
          <w:rFonts w:cs="Arial"/>
          <w:lang w:val="en-US"/>
        </w:rPr>
        <w:t>Copyright—Department of Health and Human Services</w:t>
      </w:r>
    </w:p>
    <w:p w:rsidR="00B62635" w:rsidRDefault="00B62635" w:rsidP="00B62635">
      <w:pPr>
        <w:spacing w:afterLines="0"/>
        <w:rPr>
          <w:rFonts w:cs="Arial"/>
          <w:b/>
          <w:lang w:val="en-US"/>
        </w:rPr>
      </w:pPr>
      <w:r w:rsidRPr="00224F4C">
        <w:rPr>
          <w:rFonts w:cs="Arial"/>
          <w:b/>
          <w:lang w:val="en-US"/>
        </w:rPr>
        <w:t>Permission to copy is granted provided the source is acknowledged</w:t>
      </w:r>
    </w:p>
    <w:p w:rsidR="00B62635" w:rsidRPr="00224F4C" w:rsidRDefault="00B62635" w:rsidP="00B62635">
      <w:pPr>
        <w:spacing w:afterLines="0"/>
        <w:rPr>
          <w:rFonts w:cs="Arial"/>
          <w:b/>
          <w:lang w:val="en-US"/>
        </w:rPr>
      </w:pPr>
    </w:p>
    <w:p w:rsidR="00B62635" w:rsidRPr="00995F5B" w:rsidRDefault="00B62635" w:rsidP="00B62635">
      <w:pPr>
        <w:tabs>
          <w:tab w:val="left" w:pos="567"/>
        </w:tabs>
        <w:spacing w:afterLines="0"/>
        <w:rPr>
          <w:rFonts w:eastAsia="Times New Roman" w:cs="Arial"/>
        </w:rPr>
      </w:pPr>
      <w:r w:rsidRPr="00995F5B">
        <w:rPr>
          <w:rFonts w:eastAsia="Times New Roman" w:cs="Arial"/>
          <w:b/>
        </w:rPr>
        <w:t>Authors</w:t>
      </w:r>
    </w:p>
    <w:p w:rsidR="00B62635" w:rsidRDefault="00B62635" w:rsidP="00B62635">
      <w:pPr>
        <w:numPr>
          <w:ilvl w:val="0"/>
          <w:numId w:val="1"/>
        </w:numPr>
        <w:tabs>
          <w:tab w:val="clear" w:pos="6"/>
        </w:tabs>
        <w:spacing w:afterLines="0"/>
        <w:ind w:left="567" w:hanging="567"/>
        <w:rPr>
          <w:rFonts w:eastAsia="Times New Roman" w:cs="Arial"/>
        </w:rPr>
      </w:pPr>
      <w:r>
        <w:rPr>
          <w:rFonts w:eastAsia="Times New Roman" w:cs="Arial"/>
        </w:rPr>
        <w:t xml:space="preserve">Ms Fiona Wilson, Clinical Nurse Consultant, </w:t>
      </w:r>
      <w:r w:rsidRPr="00224F4C">
        <w:rPr>
          <w:rFonts w:eastAsia="Times New Roman" w:cs="Arial"/>
        </w:rPr>
        <w:t>TIPCU</w:t>
      </w:r>
    </w:p>
    <w:p w:rsidR="00B62635" w:rsidRPr="00BA4CC4" w:rsidRDefault="00B62635" w:rsidP="00B62635">
      <w:pPr>
        <w:numPr>
          <w:ilvl w:val="0"/>
          <w:numId w:val="1"/>
        </w:numPr>
        <w:tabs>
          <w:tab w:val="clear" w:pos="6"/>
        </w:tabs>
        <w:spacing w:afterLines="0"/>
        <w:ind w:left="567" w:hanging="567"/>
        <w:rPr>
          <w:rFonts w:eastAsia="Times New Roman" w:cs="Arial"/>
        </w:rPr>
      </w:pPr>
      <w:r w:rsidRPr="00224F4C">
        <w:rPr>
          <w:rFonts w:eastAsia="Times New Roman" w:cs="Arial"/>
        </w:rPr>
        <w:t>Dr</w:t>
      </w:r>
      <w:r>
        <w:rPr>
          <w:rFonts w:eastAsia="Times New Roman" w:cs="Arial"/>
        </w:rPr>
        <w:t xml:space="preserve"> Tara Anderson</w:t>
      </w:r>
      <w:r w:rsidRPr="00224F4C">
        <w:rPr>
          <w:rFonts w:eastAsia="Times New Roman" w:cs="Arial"/>
        </w:rPr>
        <w:t xml:space="preserve">, </w:t>
      </w:r>
      <w:r>
        <w:rPr>
          <w:rFonts w:eastAsia="Times New Roman" w:cs="Arial"/>
        </w:rPr>
        <w:t xml:space="preserve">Specialist Medical Advisor, </w:t>
      </w:r>
      <w:r w:rsidRPr="00224F4C">
        <w:rPr>
          <w:rFonts w:eastAsia="Times New Roman" w:cs="Arial"/>
        </w:rPr>
        <w:t>TIPCU</w:t>
      </w:r>
    </w:p>
    <w:p w:rsidR="00B62635" w:rsidRPr="00995F5B" w:rsidRDefault="00B62635" w:rsidP="00B62635">
      <w:pPr>
        <w:numPr>
          <w:ilvl w:val="0"/>
          <w:numId w:val="1"/>
        </w:numPr>
        <w:tabs>
          <w:tab w:val="clear" w:pos="6"/>
        </w:tabs>
        <w:spacing w:afterLines="0"/>
        <w:ind w:left="567" w:hanging="567"/>
        <w:rPr>
          <w:rFonts w:eastAsia="Times New Roman" w:cs="Arial"/>
          <w:b/>
          <w:u w:val="single"/>
        </w:rPr>
      </w:pPr>
      <w:r>
        <w:rPr>
          <w:rFonts w:eastAsia="Times New Roman" w:cs="Arial"/>
        </w:rPr>
        <w:t>Ms Anne Wells</w:t>
      </w:r>
      <w:r w:rsidRPr="00224F4C">
        <w:rPr>
          <w:rFonts w:eastAsia="Times New Roman" w:cs="Arial"/>
        </w:rPr>
        <w:t xml:space="preserve">, </w:t>
      </w:r>
      <w:r>
        <w:rPr>
          <w:rFonts w:eastAsia="Times New Roman" w:cs="Arial"/>
        </w:rPr>
        <w:t xml:space="preserve">Assistant Director of Nursing, </w:t>
      </w:r>
      <w:r w:rsidRPr="00224F4C">
        <w:rPr>
          <w:rFonts w:eastAsia="Times New Roman" w:cs="Arial"/>
        </w:rPr>
        <w:t>TIPCU</w:t>
      </w:r>
    </w:p>
    <w:p w:rsidR="00B62635" w:rsidRPr="00224F4C" w:rsidRDefault="00B62635" w:rsidP="00B62635">
      <w:pPr>
        <w:tabs>
          <w:tab w:val="left" w:pos="567"/>
        </w:tabs>
        <w:spacing w:afterLines="0"/>
        <w:rPr>
          <w:rFonts w:eastAsia="Times New Roman" w:cs="Arial"/>
        </w:rPr>
      </w:pPr>
      <w:r w:rsidRPr="00224F4C">
        <w:rPr>
          <w:rFonts w:eastAsia="Times New Roman" w:cs="Arial"/>
        </w:rPr>
        <w:t>Suggested reference:</w:t>
      </w:r>
      <w:r>
        <w:rPr>
          <w:rFonts w:eastAsia="Times New Roman" w:cs="Arial"/>
        </w:rPr>
        <w:t xml:space="preserve"> Wilson, F., Anderson, T., Wells, A. (2016</w:t>
      </w:r>
      <w:r w:rsidRPr="00224F4C">
        <w:rPr>
          <w:rFonts w:eastAsia="Times New Roman" w:cs="Arial"/>
        </w:rPr>
        <w:t>). Tasmanian Acute Public Hospitals Healthcare A</w:t>
      </w:r>
      <w:r w:rsidR="00FF6DD5">
        <w:rPr>
          <w:rFonts w:eastAsia="Times New Roman" w:cs="Arial"/>
        </w:rPr>
        <w:t>ssociated Infection Report No 30</w:t>
      </w:r>
      <w:r>
        <w:rPr>
          <w:rFonts w:eastAsia="Times New Roman" w:cs="Arial"/>
        </w:rPr>
        <w:t xml:space="preserve"> – Annual Report 2015 - 16</w:t>
      </w:r>
      <w:r w:rsidRPr="00224F4C">
        <w:rPr>
          <w:rFonts w:eastAsia="Times New Roman" w:cs="Arial"/>
        </w:rPr>
        <w:t xml:space="preserve">. Hobart: Department of Health and Human Services. </w:t>
      </w:r>
    </w:p>
    <w:p w:rsidR="00B62635" w:rsidRDefault="00B62635" w:rsidP="00B62635">
      <w:pPr>
        <w:tabs>
          <w:tab w:val="left" w:pos="567"/>
        </w:tabs>
        <w:spacing w:afterLines="0"/>
        <w:rPr>
          <w:rFonts w:eastAsia="Times New Roman" w:cs="Arial"/>
        </w:rPr>
      </w:pPr>
      <w:r w:rsidRPr="00224F4C">
        <w:rPr>
          <w:rFonts w:eastAsia="Times New Roman" w:cs="Arial"/>
        </w:rPr>
        <w:t>Peer reviewed and approved by the Tasmanian Healthcare Associated</w:t>
      </w:r>
      <w:r>
        <w:rPr>
          <w:rFonts w:eastAsia="Times New Roman" w:cs="Arial"/>
        </w:rPr>
        <w:t xml:space="preserve"> Infection</w:t>
      </w:r>
      <w:r w:rsidRPr="00224F4C">
        <w:rPr>
          <w:rFonts w:eastAsia="Times New Roman" w:cs="Arial"/>
        </w:rPr>
        <w:t xml:space="preserve"> Advisory Committee </w:t>
      </w:r>
      <w:r>
        <w:rPr>
          <w:rFonts w:eastAsia="Times New Roman" w:cs="Arial"/>
        </w:rPr>
        <w:t>and the Acting Director of Public Health,</w:t>
      </w:r>
      <w:r w:rsidRPr="00224F4C">
        <w:rPr>
          <w:rFonts w:eastAsia="Times New Roman" w:cs="Arial"/>
        </w:rPr>
        <w:t xml:space="preserve"> DHHS Tasmania.</w:t>
      </w:r>
    </w:p>
    <w:p w:rsidR="00B62635" w:rsidRPr="00224F4C" w:rsidRDefault="00B62635" w:rsidP="00B62635">
      <w:pPr>
        <w:tabs>
          <w:tab w:val="left" w:pos="567"/>
        </w:tabs>
        <w:spacing w:afterLines="0"/>
        <w:rPr>
          <w:rFonts w:eastAsia="Times New Roman" w:cs="Arial"/>
        </w:rPr>
      </w:pPr>
    </w:p>
    <w:p w:rsidR="00B62635" w:rsidRPr="00224F4C" w:rsidRDefault="00B62635" w:rsidP="00B62635">
      <w:pPr>
        <w:tabs>
          <w:tab w:val="left" w:pos="588"/>
        </w:tabs>
        <w:spacing w:afterLines="0"/>
        <w:rPr>
          <w:rFonts w:eastAsia="Times New Roman" w:cs="Arial"/>
          <w:b/>
          <w:sz w:val="24"/>
          <w:szCs w:val="24"/>
        </w:rPr>
      </w:pPr>
      <w:r w:rsidRPr="00224F4C">
        <w:rPr>
          <w:rFonts w:eastAsia="Times New Roman" w:cs="Arial"/>
          <w:b/>
          <w:sz w:val="24"/>
          <w:szCs w:val="24"/>
        </w:rPr>
        <w:t>Notes</w:t>
      </w:r>
    </w:p>
    <w:p w:rsidR="0035443D" w:rsidRDefault="00B62635" w:rsidP="0035443D">
      <w:pPr>
        <w:tabs>
          <w:tab w:val="left" w:pos="588"/>
        </w:tabs>
        <w:spacing w:afterLines="0"/>
        <w:rPr>
          <w:rFonts w:eastAsia="Times New Roman" w:cs="Arial"/>
        </w:rPr>
      </w:pPr>
      <w:r w:rsidRPr="00224F4C">
        <w:rPr>
          <w:rFonts w:eastAsia="Times New Roman" w:cs="Arial"/>
        </w:rPr>
        <w:t xml:space="preserve">Data from previous reports should not be relied upon. Use the most up to date report when </w:t>
      </w:r>
      <w:r>
        <w:rPr>
          <w:rFonts w:eastAsia="Times New Roman" w:cs="Arial"/>
        </w:rPr>
        <w:t xml:space="preserve">citing </w:t>
      </w:r>
      <w:r w:rsidRPr="00224F4C">
        <w:rPr>
          <w:rFonts w:eastAsia="Times New Roman" w:cs="Arial"/>
        </w:rPr>
        <w:t>data.</w:t>
      </w:r>
    </w:p>
    <w:p w:rsidR="0035443D" w:rsidRDefault="0035443D" w:rsidP="0035443D">
      <w:pPr>
        <w:spacing w:after="336"/>
        <w:rPr>
          <w:rFonts w:eastAsia="Times New Roman" w:cs="Arial"/>
        </w:rPr>
      </w:pPr>
      <w:r>
        <w:rPr>
          <w:rFonts w:eastAsia="Times New Roman" w:cs="Arial"/>
        </w:rPr>
        <w:br w:type="page"/>
      </w:r>
    </w:p>
    <w:p w:rsidR="00C16108" w:rsidRDefault="00B62635" w:rsidP="00B62635">
      <w:pPr>
        <w:keepNext/>
        <w:keepLines/>
        <w:tabs>
          <w:tab w:val="left" w:pos="567"/>
        </w:tabs>
        <w:spacing w:before="480" w:afterLines="0" w:after="0"/>
        <w:outlineLvl w:val="0"/>
        <w:rPr>
          <w:noProof/>
        </w:rPr>
      </w:pPr>
      <w:bookmarkStart w:id="1" w:name="_Toc435168202"/>
      <w:bookmarkStart w:id="2" w:name="_Toc436818814"/>
      <w:bookmarkStart w:id="3" w:name="_Toc450223065"/>
      <w:bookmarkStart w:id="4" w:name="_Toc459796622"/>
      <w:r w:rsidRPr="00B62635">
        <w:rPr>
          <w:rFonts w:eastAsia="Times New Roman" w:cs="Times New Roman"/>
          <w:b/>
          <w:bCs/>
          <w:sz w:val="40"/>
          <w:szCs w:val="40"/>
        </w:rPr>
        <w:t>Contents</w:t>
      </w:r>
      <w:bookmarkEnd w:id="1"/>
      <w:bookmarkEnd w:id="2"/>
      <w:bookmarkEnd w:id="3"/>
      <w:bookmarkEnd w:id="4"/>
      <w:r w:rsidRPr="00B62635">
        <w:rPr>
          <w:rFonts w:ascii="Cambria" w:eastAsia="Times New Roman" w:hAnsi="Cambria" w:cs="Times New Roman"/>
          <w:b/>
          <w:bCs/>
          <w:i/>
          <w:color w:val="365F91"/>
          <w:sz w:val="28"/>
        </w:rPr>
        <w:fldChar w:fldCharType="begin"/>
      </w:r>
      <w:r w:rsidRPr="00B62635">
        <w:rPr>
          <w:rFonts w:ascii="Cambria" w:eastAsia="Times New Roman" w:hAnsi="Cambria" w:cs="Times New Roman"/>
          <w:b/>
          <w:bCs/>
          <w:i/>
          <w:color w:val="365F91"/>
          <w:sz w:val="28"/>
        </w:rPr>
        <w:instrText xml:space="preserve"> TOC \o "1-3" \f \u </w:instrText>
      </w:r>
      <w:r w:rsidRPr="00B62635">
        <w:rPr>
          <w:rFonts w:ascii="Cambria" w:eastAsia="Times New Roman" w:hAnsi="Cambria" w:cs="Times New Roman"/>
          <w:b/>
          <w:bCs/>
          <w:i/>
          <w:color w:val="365F91"/>
          <w:sz w:val="28"/>
        </w:rPr>
        <w:fldChar w:fldCharType="separate"/>
      </w:r>
    </w:p>
    <w:p w:rsidR="00C16108" w:rsidRDefault="00C16108">
      <w:pPr>
        <w:pStyle w:val="TOC1"/>
        <w:rPr>
          <w:rFonts w:asciiTheme="minorHAnsi" w:eastAsiaTheme="minorEastAsia" w:hAnsiTheme="minorHAnsi" w:cstheme="minorBidi"/>
          <w:b w:val="0"/>
          <w:szCs w:val="22"/>
          <w:lang w:eastAsia="en-AU"/>
        </w:rPr>
      </w:pPr>
      <w:r w:rsidRPr="00EB2C51">
        <w:rPr>
          <w:rFonts w:eastAsiaTheme="majorEastAsia" w:cstheme="majorBidi"/>
          <w:bCs/>
        </w:rPr>
        <w:t>Executive summary</w:t>
      </w:r>
      <w:r>
        <w:tab/>
      </w:r>
      <w:r>
        <w:fldChar w:fldCharType="begin"/>
      </w:r>
      <w:r>
        <w:instrText xml:space="preserve"> PAGEREF _Toc459796623 \h </w:instrText>
      </w:r>
      <w:r>
        <w:fldChar w:fldCharType="separate"/>
      </w:r>
      <w:r w:rsidR="00556020">
        <w:t>3</w:t>
      </w:r>
      <w:r>
        <w:fldChar w:fldCharType="end"/>
      </w:r>
    </w:p>
    <w:p w:rsidR="00C16108" w:rsidRDefault="00C16108">
      <w:pPr>
        <w:pStyle w:val="TOC1"/>
        <w:rPr>
          <w:rFonts w:asciiTheme="minorHAnsi" w:eastAsiaTheme="minorEastAsia" w:hAnsiTheme="minorHAnsi" w:cstheme="minorBidi"/>
          <w:b w:val="0"/>
          <w:szCs w:val="22"/>
          <w:lang w:eastAsia="en-AU"/>
        </w:rPr>
      </w:pPr>
      <w:r w:rsidRPr="00EB2C51">
        <w:rPr>
          <w:iCs/>
        </w:rPr>
        <w:t>Achievements</w:t>
      </w:r>
      <w:r>
        <w:tab/>
      </w:r>
      <w:r>
        <w:fldChar w:fldCharType="begin"/>
      </w:r>
      <w:r>
        <w:instrText xml:space="preserve"> PAGEREF _Toc459796624 \h </w:instrText>
      </w:r>
      <w:r>
        <w:fldChar w:fldCharType="separate"/>
      </w:r>
      <w:r w:rsidR="00556020">
        <w:t>3</w:t>
      </w:r>
      <w:r>
        <w:fldChar w:fldCharType="end"/>
      </w:r>
    </w:p>
    <w:p w:rsidR="00C16108" w:rsidRDefault="00C16108">
      <w:pPr>
        <w:pStyle w:val="TOC1"/>
        <w:rPr>
          <w:rFonts w:asciiTheme="minorHAnsi" w:eastAsiaTheme="minorEastAsia" w:hAnsiTheme="minorHAnsi" w:cstheme="minorBidi"/>
          <w:b w:val="0"/>
          <w:szCs w:val="22"/>
          <w:lang w:eastAsia="en-AU"/>
        </w:rPr>
      </w:pPr>
      <w:r w:rsidRPr="00EB2C51">
        <w:rPr>
          <w:rFonts w:eastAsiaTheme="majorEastAsia" w:cstheme="majorBidi"/>
          <w:bCs/>
          <w:i/>
        </w:rPr>
        <w:t>Staphylococcus aureus</w:t>
      </w:r>
      <w:r w:rsidRPr="00EB2C51">
        <w:rPr>
          <w:rFonts w:eastAsiaTheme="majorEastAsia" w:cstheme="majorBidi"/>
          <w:bCs/>
        </w:rPr>
        <w:t xml:space="preserve"> bacteraemia (SAB)</w:t>
      </w:r>
      <w:r>
        <w:tab/>
      </w:r>
      <w:r>
        <w:fldChar w:fldCharType="begin"/>
      </w:r>
      <w:r>
        <w:instrText xml:space="preserve"> PAGEREF _Toc459796625 \h </w:instrText>
      </w:r>
      <w:r>
        <w:fldChar w:fldCharType="separate"/>
      </w:r>
      <w:r w:rsidR="00556020">
        <w:t>3</w:t>
      </w:r>
      <w:r>
        <w:fldChar w:fldCharType="end"/>
      </w:r>
    </w:p>
    <w:p w:rsidR="00C16108" w:rsidRDefault="00C16108">
      <w:pPr>
        <w:pStyle w:val="TOC2"/>
        <w:rPr>
          <w:rFonts w:asciiTheme="minorHAnsi" w:eastAsiaTheme="minorEastAsia" w:hAnsiTheme="minorHAnsi" w:cstheme="minorBidi"/>
          <w:b w:val="0"/>
          <w:szCs w:val="22"/>
        </w:rPr>
      </w:pPr>
      <w:r w:rsidRPr="00EB2C51">
        <w:rPr>
          <w:rFonts w:eastAsiaTheme="majorEastAsia" w:cstheme="majorBidi"/>
          <w:bCs/>
        </w:rPr>
        <w:t>Tasmanian rates</w:t>
      </w:r>
      <w:r>
        <w:tab/>
      </w:r>
      <w:r>
        <w:fldChar w:fldCharType="begin"/>
      </w:r>
      <w:r>
        <w:instrText xml:space="preserve"> PAGEREF _Toc459796626 \h </w:instrText>
      </w:r>
      <w:r>
        <w:fldChar w:fldCharType="separate"/>
      </w:r>
      <w:r w:rsidR="00556020">
        <w:t>3</w:t>
      </w:r>
      <w:r>
        <w:fldChar w:fldCharType="end"/>
      </w:r>
    </w:p>
    <w:p w:rsidR="00C16108" w:rsidRDefault="00C16108">
      <w:pPr>
        <w:pStyle w:val="TOC2"/>
        <w:rPr>
          <w:rFonts w:asciiTheme="minorHAnsi" w:eastAsiaTheme="minorEastAsia" w:hAnsiTheme="minorHAnsi" w:cstheme="minorBidi"/>
          <w:b w:val="0"/>
          <w:szCs w:val="22"/>
        </w:rPr>
      </w:pPr>
      <w:r w:rsidRPr="00EB2C51">
        <w:rPr>
          <w:rFonts w:eastAsiaTheme="majorEastAsia" w:cstheme="majorBidi"/>
          <w:bCs/>
        </w:rPr>
        <w:t>Hospital rates</w:t>
      </w:r>
      <w:r>
        <w:tab/>
      </w:r>
      <w:r>
        <w:fldChar w:fldCharType="begin"/>
      </w:r>
      <w:r>
        <w:instrText xml:space="preserve"> PAGEREF _Toc459796627 \h </w:instrText>
      </w:r>
      <w:r>
        <w:fldChar w:fldCharType="separate"/>
      </w:r>
      <w:r w:rsidR="00556020">
        <w:t>3</w:t>
      </w:r>
      <w:r>
        <w:fldChar w:fldCharType="end"/>
      </w:r>
    </w:p>
    <w:p w:rsidR="00C16108" w:rsidRDefault="00C16108">
      <w:pPr>
        <w:pStyle w:val="TOC2"/>
        <w:rPr>
          <w:rFonts w:asciiTheme="minorHAnsi" w:eastAsiaTheme="minorEastAsia" w:hAnsiTheme="minorHAnsi" w:cstheme="minorBidi"/>
          <w:b w:val="0"/>
          <w:szCs w:val="22"/>
        </w:rPr>
      </w:pPr>
      <w:r w:rsidRPr="00EB2C51">
        <w:t>HCA SAB related to MSSA or MRSA</w:t>
      </w:r>
      <w:r>
        <w:tab/>
      </w:r>
      <w:r>
        <w:fldChar w:fldCharType="begin"/>
      </w:r>
      <w:r>
        <w:instrText xml:space="preserve"> PAGEREF _Toc459796628 \h </w:instrText>
      </w:r>
      <w:r>
        <w:fldChar w:fldCharType="separate"/>
      </w:r>
      <w:r w:rsidR="00556020">
        <w:t>3</w:t>
      </w:r>
      <w:r>
        <w:fldChar w:fldCharType="end"/>
      </w:r>
    </w:p>
    <w:p w:rsidR="00C16108" w:rsidRDefault="00C16108">
      <w:pPr>
        <w:pStyle w:val="TOC2"/>
        <w:rPr>
          <w:rFonts w:asciiTheme="minorHAnsi" w:eastAsiaTheme="minorEastAsia" w:hAnsiTheme="minorHAnsi" w:cstheme="minorBidi"/>
          <w:b w:val="0"/>
          <w:szCs w:val="22"/>
        </w:rPr>
      </w:pPr>
      <w:r w:rsidRPr="00EB2C51">
        <w:t>HCA SAB related to IV devices</w:t>
      </w:r>
      <w:r>
        <w:tab/>
      </w:r>
      <w:r>
        <w:fldChar w:fldCharType="begin"/>
      </w:r>
      <w:r>
        <w:instrText xml:space="preserve"> PAGEREF _Toc459796629 \h </w:instrText>
      </w:r>
      <w:r>
        <w:fldChar w:fldCharType="separate"/>
      </w:r>
      <w:r w:rsidR="00556020">
        <w:t>3</w:t>
      </w:r>
      <w:r>
        <w:fldChar w:fldCharType="end"/>
      </w:r>
    </w:p>
    <w:p w:rsidR="00C16108" w:rsidRDefault="00C16108">
      <w:pPr>
        <w:pStyle w:val="TOC1"/>
        <w:rPr>
          <w:rFonts w:asciiTheme="minorHAnsi" w:eastAsiaTheme="minorEastAsia" w:hAnsiTheme="minorHAnsi" w:cstheme="minorBidi"/>
          <w:b w:val="0"/>
          <w:szCs w:val="22"/>
          <w:lang w:eastAsia="en-AU"/>
        </w:rPr>
      </w:pPr>
      <w:r w:rsidRPr="00EB2C51">
        <w:rPr>
          <w:rFonts w:eastAsiaTheme="majorEastAsia" w:cstheme="majorBidi"/>
          <w:bCs/>
          <w:i/>
        </w:rPr>
        <w:t>Clostridium difficile</w:t>
      </w:r>
      <w:r w:rsidRPr="00EB2C51">
        <w:rPr>
          <w:rFonts w:eastAsiaTheme="majorEastAsia" w:cstheme="majorBidi"/>
          <w:bCs/>
        </w:rPr>
        <w:t xml:space="preserve"> infection</w:t>
      </w:r>
      <w:r>
        <w:tab/>
      </w:r>
      <w:r>
        <w:fldChar w:fldCharType="begin"/>
      </w:r>
      <w:r>
        <w:instrText xml:space="preserve"> PAGEREF _Toc459796630 \h </w:instrText>
      </w:r>
      <w:r>
        <w:fldChar w:fldCharType="separate"/>
      </w:r>
      <w:r w:rsidR="00556020">
        <w:t>3</w:t>
      </w:r>
      <w:r>
        <w:fldChar w:fldCharType="end"/>
      </w:r>
    </w:p>
    <w:p w:rsidR="00C16108" w:rsidRDefault="00C16108">
      <w:pPr>
        <w:pStyle w:val="TOC2"/>
        <w:rPr>
          <w:rFonts w:asciiTheme="minorHAnsi" w:eastAsiaTheme="minorEastAsia" w:hAnsiTheme="minorHAnsi" w:cstheme="minorBidi"/>
          <w:b w:val="0"/>
          <w:szCs w:val="22"/>
        </w:rPr>
      </w:pPr>
      <w:r w:rsidRPr="00EB2C51">
        <w:rPr>
          <w:rFonts w:eastAsiaTheme="majorEastAsia" w:cstheme="majorBidi"/>
          <w:bCs/>
        </w:rPr>
        <w:t>Tasmanian rates</w:t>
      </w:r>
      <w:r>
        <w:tab/>
      </w:r>
      <w:r>
        <w:fldChar w:fldCharType="begin"/>
      </w:r>
      <w:r>
        <w:instrText xml:space="preserve"> PAGEREF _Toc459796631 \h </w:instrText>
      </w:r>
      <w:r>
        <w:fldChar w:fldCharType="separate"/>
      </w:r>
      <w:r w:rsidR="00556020">
        <w:t>3</w:t>
      </w:r>
      <w:r>
        <w:fldChar w:fldCharType="end"/>
      </w:r>
    </w:p>
    <w:p w:rsidR="00C16108" w:rsidRDefault="00C16108">
      <w:pPr>
        <w:pStyle w:val="TOC2"/>
        <w:rPr>
          <w:rFonts w:asciiTheme="minorHAnsi" w:eastAsiaTheme="minorEastAsia" w:hAnsiTheme="minorHAnsi" w:cstheme="minorBidi"/>
          <w:b w:val="0"/>
          <w:szCs w:val="22"/>
        </w:rPr>
      </w:pPr>
      <w:r w:rsidRPr="00EB2C51">
        <w:rPr>
          <w:rFonts w:eastAsiaTheme="majorEastAsia" w:cstheme="majorBidi"/>
          <w:bCs/>
        </w:rPr>
        <w:t>Hospital rates – by quarter</w:t>
      </w:r>
      <w:r>
        <w:tab/>
      </w:r>
      <w:r>
        <w:fldChar w:fldCharType="begin"/>
      </w:r>
      <w:r>
        <w:instrText xml:space="preserve"> PAGEREF _Toc459796632 \h </w:instrText>
      </w:r>
      <w:r>
        <w:fldChar w:fldCharType="separate"/>
      </w:r>
      <w:r w:rsidR="00556020">
        <w:t>3</w:t>
      </w:r>
      <w:r>
        <w:fldChar w:fldCharType="end"/>
      </w:r>
    </w:p>
    <w:p w:rsidR="00C16108" w:rsidRDefault="00C16108">
      <w:pPr>
        <w:pStyle w:val="TOC2"/>
        <w:rPr>
          <w:rFonts w:asciiTheme="minorHAnsi" w:eastAsiaTheme="minorEastAsia" w:hAnsiTheme="minorHAnsi" w:cstheme="minorBidi"/>
          <w:b w:val="0"/>
          <w:szCs w:val="22"/>
        </w:rPr>
      </w:pPr>
      <w:r w:rsidRPr="00EB2C51">
        <w:rPr>
          <w:rFonts w:eastAsiaTheme="majorEastAsia" w:cstheme="majorBidi"/>
          <w:bCs/>
        </w:rPr>
        <w:t>Hospital rates – by financial year</w:t>
      </w:r>
      <w:r>
        <w:tab/>
      </w:r>
      <w:r>
        <w:fldChar w:fldCharType="begin"/>
      </w:r>
      <w:r>
        <w:instrText xml:space="preserve"> PAGEREF _Toc459796633 \h </w:instrText>
      </w:r>
      <w:r>
        <w:fldChar w:fldCharType="separate"/>
      </w:r>
      <w:r w:rsidR="00556020">
        <w:t>3</w:t>
      </w:r>
      <w:r>
        <w:fldChar w:fldCharType="end"/>
      </w:r>
    </w:p>
    <w:p w:rsidR="00C16108" w:rsidRDefault="00C16108">
      <w:pPr>
        <w:pStyle w:val="TOC1"/>
        <w:rPr>
          <w:rFonts w:asciiTheme="minorHAnsi" w:eastAsiaTheme="minorEastAsia" w:hAnsiTheme="minorHAnsi" w:cstheme="minorBidi"/>
          <w:b w:val="0"/>
          <w:szCs w:val="22"/>
          <w:lang w:eastAsia="en-AU"/>
        </w:rPr>
      </w:pPr>
      <w:r w:rsidRPr="00EB2C51">
        <w:rPr>
          <w:rFonts w:eastAsiaTheme="minorHAnsi" w:cstheme="minorBidi"/>
        </w:rPr>
        <w:t>VRE screening effort</w:t>
      </w:r>
      <w:r>
        <w:tab/>
      </w:r>
      <w:r>
        <w:fldChar w:fldCharType="begin"/>
      </w:r>
      <w:r>
        <w:instrText xml:space="preserve"> PAGEREF _Toc459796634 \h </w:instrText>
      </w:r>
      <w:r>
        <w:fldChar w:fldCharType="separate"/>
      </w:r>
      <w:r w:rsidR="00556020">
        <w:t>3</w:t>
      </w:r>
      <w:r>
        <w:fldChar w:fldCharType="end"/>
      </w:r>
    </w:p>
    <w:p w:rsidR="00C16108" w:rsidRDefault="00C16108">
      <w:pPr>
        <w:pStyle w:val="TOC1"/>
        <w:rPr>
          <w:rFonts w:asciiTheme="minorHAnsi" w:eastAsiaTheme="minorEastAsia" w:hAnsiTheme="minorHAnsi" w:cstheme="minorBidi"/>
          <w:b w:val="0"/>
          <w:szCs w:val="22"/>
          <w:lang w:eastAsia="en-AU"/>
        </w:rPr>
      </w:pPr>
      <w:r w:rsidRPr="00EB2C51">
        <w:t>Antibiotic use surveillance</w:t>
      </w:r>
      <w:r>
        <w:tab/>
      </w:r>
      <w:r>
        <w:fldChar w:fldCharType="begin"/>
      </w:r>
      <w:r>
        <w:instrText xml:space="preserve"> PAGEREF _Toc459796635 \h </w:instrText>
      </w:r>
      <w:r>
        <w:fldChar w:fldCharType="separate"/>
      </w:r>
      <w:r w:rsidR="00556020">
        <w:t>3</w:t>
      </w:r>
      <w:r>
        <w:fldChar w:fldCharType="end"/>
      </w:r>
    </w:p>
    <w:p w:rsidR="00C16108" w:rsidRDefault="00C16108">
      <w:pPr>
        <w:pStyle w:val="TOC1"/>
        <w:rPr>
          <w:rFonts w:asciiTheme="minorHAnsi" w:eastAsiaTheme="minorEastAsia" w:hAnsiTheme="minorHAnsi" w:cstheme="minorBidi"/>
          <w:b w:val="0"/>
          <w:szCs w:val="22"/>
          <w:lang w:eastAsia="en-AU"/>
        </w:rPr>
      </w:pPr>
      <w:r w:rsidRPr="00EB2C51">
        <w:rPr>
          <w:bCs/>
          <w:lang w:eastAsia="en-AU"/>
        </w:rPr>
        <w:t>Appendix 1</w:t>
      </w:r>
      <w:r>
        <w:tab/>
      </w:r>
      <w:r>
        <w:fldChar w:fldCharType="begin"/>
      </w:r>
      <w:r>
        <w:instrText xml:space="preserve"> PAGEREF _Toc459796636 \h </w:instrText>
      </w:r>
      <w:r>
        <w:fldChar w:fldCharType="separate"/>
      </w:r>
      <w:r w:rsidR="00556020">
        <w:t>3</w:t>
      </w:r>
      <w:r>
        <w:fldChar w:fldCharType="end"/>
      </w:r>
    </w:p>
    <w:p w:rsidR="00C16108" w:rsidRDefault="00C16108">
      <w:pPr>
        <w:pStyle w:val="TOC2"/>
        <w:rPr>
          <w:rFonts w:asciiTheme="minorHAnsi" w:eastAsiaTheme="minorEastAsia" w:hAnsiTheme="minorHAnsi" w:cstheme="minorBidi"/>
          <w:b w:val="0"/>
          <w:szCs w:val="22"/>
        </w:rPr>
      </w:pPr>
      <w:r w:rsidRPr="00EB2C51">
        <w:rPr>
          <w:rFonts w:eastAsiaTheme="majorEastAsia" w:cstheme="majorBidi"/>
          <w:bCs/>
          <w:lang w:val="fr-FR"/>
        </w:rPr>
        <w:t xml:space="preserve">Staphylococcus aureus </w:t>
      </w:r>
      <w:r w:rsidRPr="00EB2C51">
        <w:rPr>
          <w:rFonts w:eastAsiaTheme="majorEastAsia" w:cstheme="majorBidi"/>
          <w:bCs/>
        </w:rPr>
        <w:t>bacteraemia</w:t>
      </w:r>
      <w:r w:rsidRPr="00EB2C51">
        <w:rPr>
          <w:rFonts w:eastAsiaTheme="majorEastAsia" w:cstheme="majorBidi"/>
          <w:bCs/>
          <w:lang w:val="fr-FR"/>
        </w:rPr>
        <w:t xml:space="preserve"> (SAB)</w:t>
      </w:r>
      <w:r>
        <w:tab/>
      </w:r>
      <w:r>
        <w:fldChar w:fldCharType="begin"/>
      </w:r>
      <w:r>
        <w:instrText xml:space="preserve"> PAGEREF _Toc459796644 \h </w:instrText>
      </w:r>
      <w:r>
        <w:fldChar w:fldCharType="separate"/>
      </w:r>
      <w:r w:rsidR="00556020">
        <w:t>3</w:t>
      </w:r>
      <w:r>
        <w:fldChar w:fldCharType="end"/>
      </w:r>
    </w:p>
    <w:p w:rsidR="00C16108" w:rsidRDefault="00C16108">
      <w:pPr>
        <w:pStyle w:val="TOC2"/>
        <w:rPr>
          <w:rFonts w:asciiTheme="minorHAnsi" w:eastAsiaTheme="minorEastAsia" w:hAnsiTheme="minorHAnsi" w:cstheme="minorBidi"/>
          <w:b w:val="0"/>
          <w:szCs w:val="22"/>
        </w:rPr>
      </w:pPr>
      <w:r w:rsidRPr="00EB2C51">
        <w:rPr>
          <w:rFonts w:cs="Times New Roman"/>
          <w:bCs/>
        </w:rPr>
        <w:t>Tasmanian numbers and rate per 10 000 patient days of HCA-SAB.</w:t>
      </w:r>
      <w:r>
        <w:tab/>
      </w:r>
      <w:r>
        <w:fldChar w:fldCharType="begin"/>
      </w:r>
      <w:r>
        <w:instrText xml:space="preserve"> PAGEREF _Toc459796645 \h </w:instrText>
      </w:r>
      <w:r>
        <w:fldChar w:fldCharType="separate"/>
      </w:r>
      <w:r w:rsidR="00556020">
        <w:t>3</w:t>
      </w:r>
      <w:r>
        <w:fldChar w:fldCharType="end"/>
      </w:r>
    </w:p>
    <w:p w:rsidR="00C16108" w:rsidRDefault="00C16108">
      <w:pPr>
        <w:pStyle w:val="TOC2"/>
        <w:rPr>
          <w:rFonts w:asciiTheme="minorHAnsi" w:eastAsiaTheme="minorEastAsia" w:hAnsiTheme="minorHAnsi" w:cstheme="minorBidi"/>
          <w:b w:val="0"/>
          <w:szCs w:val="22"/>
        </w:rPr>
      </w:pPr>
      <w:r w:rsidRPr="00EB2C51">
        <w:rPr>
          <w:rFonts w:eastAsiaTheme="majorEastAsia" w:cstheme="majorBidi"/>
          <w:bCs/>
          <w:i/>
        </w:rPr>
        <w:t>Clostridium difficile</w:t>
      </w:r>
      <w:r w:rsidRPr="00EB2C51">
        <w:rPr>
          <w:rFonts w:eastAsiaTheme="majorEastAsia" w:cstheme="majorBidi"/>
          <w:bCs/>
        </w:rPr>
        <w:t xml:space="preserve"> infection (CDI)</w:t>
      </w:r>
      <w:r>
        <w:tab/>
      </w:r>
      <w:r>
        <w:fldChar w:fldCharType="begin"/>
      </w:r>
      <w:r>
        <w:instrText xml:space="preserve"> PAGEREF _Toc459796646 \h </w:instrText>
      </w:r>
      <w:r>
        <w:fldChar w:fldCharType="separate"/>
      </w:r>
      <w:r w:rsidR="00556020">
        <w:t>3</w:t>
      </w:r>
      <w:r>
        <w:fldChar w:fldCharType="end"/>
      </w:r>
    </w:p>
    <w:p w:rsidR="00C16108" w:rsidRDefault="00C16108">
      <w:pPr>
        <w:pStyle w:val="TOC2"/>
        <w:rPr>
          <w:rFonts w:asciiTheme="minorHAnsi" w:eastAsiaTheme="minorEastAsia" w:hAnsiTheme="minorHAnsi" w:cstheme="minorBidi"/>
          <w:b w:val="0"/>
          <w:szCs w:val="22"/>
        </w:rPr>
      </w:pPr>
      <w:r w:rsidRPr="00EB2C51">
        <w:rPr>
          <w:rFonts w:eastAsiaTheme="majorEastAsia" w:cstheme="majorBidi"/>
          <w:bCs/>
        </w:rPr>
        <w:t>Vancomycin resistant enterococcus (VRE)</w:t>
      </w:r>
      <w:r>
        <w:tab/>
      </w:r>
      <w:r>
        <w:fldChar w:fldCharType="begin"/>
      </w:r>
      <w:r>
        <w:instrText xml:space="preserve"> PAGEREF _Toc459796647 \h </w:instrText>
      </w:r>
      <w:r>
        <w:fldChar w:fldCharType="separate"/>
      </w:r>
      <w:r w:rsidR="00556020">
        <w:t>3</w:t>
      </w:r>
      <w:r>
        <w:fldChar w:fldCharType="end"/>
      </w:r>
    </w:p>
    <w:p w:rsidR="00C16108" w:rsidRDefault="00C16108">
      <w:pPr>
        <w:pStyle w:val="TOC2"/>
        <w:rPr>
          <w:rFonts w:asciiTheme="minorHAnsi" w:eastAsiaTheme="minorEastAsia" w:hAnsiTheme="minorHAnsi" w:cstheme="minorBidi"/>
          <w:b w:val="0"/>
          <w:szCs w:val="22"/>
        </w:rPr>
      </w:pPr>
      <w:r w:rsidRPr="00EB2C51">
        <w:rPr>
          <w:rFonts w:eastAsiaTheme="majorEastAsia" w:cstheme="majorBidi"/>
          <w:bCs/>
        </w:rPr>
        <w:t>Hand hygiene compliance data June 2016</w:t>
      </w:r>
      <w:r>
        <w:tab/>
      </w:r>
      <w:r>
        <w:fldChar w:fldCharType="begin"/>
      </w:r>
      <w:r>
        <w:instrText xml:space="preserve"> PAGEREF _Toc459796648 \h </w:instrText>
      </w:r>
      <w:r>
        <w:fldChar w:fldCharType="separate"/>
      </w:r>
      <w:r w:rsidR="00556020">
        <w:t>3</w:t>
      </w:r>
      <w:r>
        <w:fldChar w:fldCharType="end"/>
      </w:r>
    </w:p>
    <w:p w:rsidR="00B62635" w:rsidRPr="00B62635" w:rsidRDefault="00B62635" w:rsidP="00B62635">
      <w:pPr>
        <w:tabs>
          <w:tab w:val="right" w:pos="9360"/>
        </w:tabs>
        <w:spacing w:afterLines="0"/>
        <w:ind w:left="720" w:right="278"/>
        <w:rPr>
          <w:rFonts w:eastAsia="Times New Roman" w:cs="Times New Roman"/>
          <w:bCs/>
          <w:sz w:val="28"/>
          <w:szCs w:val="28"/>
        </w:rPr>
      </w:pPr>
      <w:r w:rsidRPr="00B62635">
        <w:rPr>
          <w:rFonts w:ascii="Cambria" w:eastAsia="Times New Roman" w:hAnsi="Cambria" w:cs="Times New Roman"/>
          <w:b/>
          <w:bCs/>
          <w:i/>
          <w:color w:val="365F91"/>
          <w:sz w:val="28"/>
          <w:szCs w:val="28"/>
        </w:rPr>
        <w:fldChar w:fldCharType="end"/>
      </w:r>
    </w:p>
    <w:p w:rsidR="00B62635" w:rsidRPr="00B62635" w:rsidRDefault="00B62635" w:rsidP="00B62635">
      <w:pPr>
        <w:spacing w:after="336"/>
        <w:rPr>
          <w:rFonts w:eastAsia="Times New Roman" w:cs="Times New Roman"/>
          <w:bCs/>
          <w:sz w:val="28"/>
          <w:szCs w:val="28"/>
        </w:rPr>
      </w:pPr>
      <w:r w:rsidRPr="00B62635">
        <w:rPr>
          <w:rFonts w:eastAsia="Times New Roman" w:cs="Times New Roman"/>
          <w:bCs/>
          <w:sz w:val="28"/>
          <w:szCs w:val="28"/>
        </w:rPr>
        <w:br w:type="page"/>
      </w:r>
      <w:r w:rsidRPr="00B62635">
        <w:rPr>
          <w:b/>
          <w:bCs/>
          <w:sz w:val="40"/>
          <w:szCs w:val="40"/>
        </w:rPr>
        <w:t>Index of figures and tables</w:t>
      </w:r>
    </w:p>
    <w:p w:rsidR="00C16108" w:rsidRPr="00C16108" w:rsidRDefault="00B62635">
      <w:pPr>
        <w:pStyle w:val="TableofFigures"/>
        <w:tabs>
          <w:tab w:val="right" w:leader="dot" w:pos="9016"/>
        </w:tabs>
        <w:rPr>
          <w:rFonts w:asciiTheme="minorHAnsi" w:eastAsiaTheme="minorEastAsia" w:hAnsiTheme="minorHAnsi"/>
          <w:noProof/>
          <w:lang w:eastAsia="en-AU"/>
        </w:rPr>
      </w:pPr>
      <w:r w:rsidRPr="00C16108">
        <w:fldChar w:fldCharType="begin"/>
      </w:r>
      <w:r w:rsidRPr="00C16108">
        <w:instrText xml:space="preserve"> TOC \h \z \c "Figure" </w:instrText>
      </w:r>
      <w:r w:rsidRPr="00C16108">
        <w:fldChar w:fldCharType="separate"/>
      </w:r>
      <w:hyperlink w:anchor="_Toc459796587" w:history="1">
        <w:r w:rsidR="00C16108" w:rsidRPr="00C16108">
          <w:rPr>
            <w:rStyle w:val="Hyperlink"/>
            <w:rFonts w:eastAsia="Times New Roman" w:cs="Times New Roman"/>
            <w:bCs/>
            <w:noProof/>
          </w:rPr>
          <w:t xml:space="preserve">Figure 1 </w:t>
        </w:r>
        <w:r w:rsidR="00C16108" w:rsidRPr="00C16108">
          <w:rPr>
            <w:rStyle w:val="Hyperlink"/>
            <w:rFonts w:eastAsia="Times New Roman" w:cs="Times New Roman"/>
            <w:noProof/>
          </w:rPr>
          <w:t xml:space="preserve">Healthcare associated </w:t>
        </w:r>
        <w:r w:rsidR="00C16108" w:rsidRPr="00C16108">
          <w:rPr>
            <w:rStyle w:val="Hyperlink"/>
            <w:rFonts w:eastAsia="Times New Roman" w:cs="Times New Roman"/>
            <w:i/>
            <w:noProof/>
          </w:rPr>
          <w:t>Staphylococcus aureus</w:t>
        </w:r>
        <w:r w:rsidR="00C16108" w:rsidRPr="00C16108">
          <w:rPr>
            <w:rStyle w:val="Hyperlink"/>
            <w:rFonts w:eastAsia="Times New Roman" w:cs="Times New Roman"/>
            <w:noProof/>
          </w:rPr>
          <w:t xml:space="preserve"> bacteraemia rate by quarter</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_Toc459796587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588" w:history="1">
        <w:r w:rsidR="00C16108" w:rsidRPr="00C16108">
          <w:rPr>
            <w:rStyle w:val="Hyperlink"/>
            <w:noProof/>
          </w:rPr>
          <w:t xml:space="preserve">Figure 2 </w:t>
        </w:r>
        <w:r w:rsidR="00C16108" w:rsidRPr="00C16108">
          <w:rPr>
            <w:rStyle w:val="Hyperlink"/>
            <w:rFonts w:eastAsia="Times New Roman" w:cs="Times New Roman"/>
            <w:noProof/>
          </w:rPr>
          <w:t xml:space="preserve">Healthcare associated </w:t>
        </w:r>
        <w:r w:rsidR="00C16108" w:rsidRPr="00C16108">
          <w:rPr>
            <w:rStyle w:val="Hyperlink"/>
            <w:rFonts w:eastAsia="Times New Roman" w:cs="Times New Roman"/>
            <w:i/>
            <w:noProof/>
          </w:rPr>
          <w:t>Staphylococcus aureus</w:t>
        </w:r>
        <w:r w:rsidR="00C16108" w:rsidRPr="00C16108">
          <w:rPr>
            <w:rStyle w:val="Hyperlink"/>
            <w:noProof/>
          </w:rPr>
          <w:t xml:space="preserve"> bacteraemia rate by financial year</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_Toc459796588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589" w:history="1">
        <w:r w:rsidR="00C16108" w:rsidRPr="00C16108">
          <w:rPr>
            <w:rStyle w:val="Hyperlink"/>
            <w:rFonts w:eastAsia="Times New Roman" w:cs="Times New Roman"/>
            <w:bCs/>
            <w:noProof/>
          </w:rPr>
          <w:t xml:space="preserve">Figure 3 Healthcare associated </w:t>
        </w:r>
        <w:r w:rsidR="00C16108" w:rsidRPr="00C16108">
          <w:rPr>
            <w:rStyle w:val="Hyperlink"/>
            <w:rFonts w:eastAsia="Times New Roman" w:cs="Times New Roman"/>
            <w:bCs/>
            <w:i/>
            <w:noProof/>
          </w:rPr>
          <w:t>Staphylococcus aureus</w:t>
        </w:r>
        <w:r w:rsidR="00C16108" w:rsidRPr="00C16108">
          <w:rPr>
            <w:rStyle w:val="Hyperlink"/>
            <w:rFonts w:eastAsia="Times New Roman" w:cs="Times New Roman"/>
            <w:bCs/>
            <w:noProof/>
          </w:rPr>
          <w:t xml:space="preserve"> bacteraemia - rate by quarter</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_Toc459796589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590" w:history="1">
        <w:r w:rsidR="00C16108" w:rsidRPr="00C16108">
          <w:rPr>
            <w:rStyle w:val="Hyperlink"/>
            <w:noProof/>
          </w:rPr>
          <w:t xml:space="preserve">Figure 4  Healthcare associated </w:t>
        </w:r>
        <w:r w:rsidR="00C16108" w:rsidRPr="00C16108">
          <w:rPr>
            <w:rStyle w:val="Hyperlink"/>
            <w:i/>
            <w:noProof/>
          </w:rPr>
          <w:t>Staphylococcus aureus</w:t>
        </w:r>
        <w:r w:rsidR="00C16108" w:rsidRPr="00C16108">
          <w:rPr>
            <w:rStyle w:val="Hyperlink"/>
            <w:noProof/>
          </w:rPr>
          <w:t xml:space="preserve"> bacteraemia - rate by financial year</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_Toc459796590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591" w:history="1">
        <w:r w:rsidR="00C16108" w:rsidRPr="00C16108">
          <w:rPr>
            <w:rStyle w:val="Hyperlink"/>
            <w:noProof/>
          </w:rPr>
          <w:t>Figure 5 Healthcare associated MSSA and MRSA SAB – number by financial year</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_Toc459796591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592" w:history="1">
        <w:r w:rsidR="00C16108" w:rsidRPr="00C16108">
          <w:rPr>
            <w:rStyle w:val="Hyperlink"/>
            <w:noProof/>
          </w:rPr>
          <w:t>Figure 6 Total IV device related HCA SAB – number and percentage by financial year</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_Toc459796592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593" w:history="1">
        <w:r w:rsidR="00C16108" w:rsidRPr="00C16108">
          <w:rPr>
            <w:rStyle w:val="Hyperlink"/>
            <w:noProof/>
          </w:rPr>
          <w:t>Figure 7 Community associated CA-SAB – number and incidence/100 000 population</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_Toc459796593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594" w:history="1">
        <w:r w:rsidR="00C16108" w:rsidRPr="00C16108">
          <w:rPr>
            <w:rStyle w:val="Hyperlink"/>
            <w:noProof/>
          </w:rPr>
          <w:t>Figure 8 Community associated CA-SAB – number of MSSA and MRSA/financial year</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_Toc459796594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595" w:history="1">
        <w:r w:rsidR="00C16108" w:rsidRPr="00C16108">
          <w:rPr>
            <w:rStyle w:val="Hyperlink"/>
            <w:rFonts w:eastAsia="Times New Roman" w:cs="Times New Roman"/>
            <w:bCs/>
            <w:noProof/>
          </w:rPr>
          <w:t xml:space="preserve">Figure 9 </w:t>
        </w:r>
        <w:r w:rsidR="00C16108" w:rsidRPr="00C16108">
          <w:rPr>
            <w:rStyle w:val="Hyperlink"/>
            <w:rFonts w:eastAsia="Times New Roman" w:cs="Times New Roman"/>
            <w:noProof/>
          </w:rPr>
          <w:t>Hospital identified and HCA-HCF CDI – rate by quarter</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_Toc459796595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596" w:history="1">
        <w:r w:rsidR="00C16108" w:rsidRPr="00C16108">
          <w:rPr>
            <w:rStyle w:val="Hyperlink"/>
            <w:noProof/>
          </w:rPr>
          <w:t>Figure 10 Hospital identified and HCA-HCF CDI - rate by financial year.</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_Toc459796596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597" w:history="1">
        <w:r w:rsidR="00C16108" w:rsidRPr="00C16108">
          <w:rPr>
            <w:rStyle w:val="Hyperlink"/>
            <w:rFonts w:eastAsia="Times New Roman" w:cs="Times New Roman"/>
            <w:bCs/>
            <w:noProof/>
          </w:rPr>
          <w:t xml:space="preserve">Figure 11 </w:t>
        </w:r>
        <w:r w:rsidR="00C16108" w:rsidRPr="00C16108">
          <w:rPr>
            <w:rStyle w:val="Hyperlink"/>
            <w:rFonts w:eastAsia="Times New Roman" w:cs="Times New Roman"/>
            <w:noProof/>
          </w:rPr>
          <w:t>Hospital identified CDI by quarter</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_Toc459796597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598" w:history="1">
        <w:r w:rsidR="00C16108" w:rsidRPr="00C16108">
          <w:rPr>
            <w:rStyle w:val="Hyperlink"/>
            <w:rFonts w:eastAsia="Times New Roman" w:cs="Times New Roman"/>
            <w:bCs/>
            <w:noProof/>
          </w:rPr>
          <w:t xml:space="preserve">Figure 12 </w:t>
        </w:r>
        <w:r w:rsidR="00C16108" w:rsidRPr="00C16108">
          <w:rPr>
            <w:rStyle w:val="Hyperlink"/>
            <w:rFonts w:eastAsia="Times New Roman" w:cs="Times New Roman"/>
            <w:noProof/>
          </w:rPr>
          <w:t>HCA-HCF CDI by quarter</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_Toc459796598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599" w:history="1">
        <w:r w:rsidR="00C16108" w:rsidRPr="00C16108">
          <w:rPr>
            <w:rStyle w:val="Hyperlink"/>
            <w:rFonts w:eastAsia="Times New Roman" w:cs="Times New Roman"/>
            <w:bCs/>
            <w:noProof/>
          </w:rPr>
          <w:t xml:space="preserve">Figure 13 </w:t>
        </w:r>
        <w:r w:rsidR="00C16108" w:rsidRPr="00C16108">
          <w:rPr>
            <w:rStyle w:val="Hyperlink"/>
            <w:rFonts w:eastAsia="Times New Roman" w:cs="Times New Roman"/>
            <w:noProof/>
          </w:rPr>
          <w:t>Hospital identified CDI by financial year</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_Toc459796599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600" w:history="1">
        <w:r w:rsidR="00C16108" w:rsidRPr="00C16108">
          <w:rPr>
            <w:rStyle w:val="Hyperlink"/>
            <w:rFonts w:eastAsia="Times New Roman" w:cs="Times New Roman"/>
            <w:bCs/>
            <w:noProof/>
          </w:rPr>
          <w:t xml:space="preserve">Figure 14 </w:t>
        </w:r>
        <w:r w:rsidR="00C16108" w:rsidRPr="00C16108">
          <w:rPr>
            <w:rStyle w:val="Hyperlink"/>
            <w:rFonts w:eastAsia="Times New Roman" w:cs="Times New Roman"/>
            <w:noProof/>
          </w:rPr>
          <w:t>HCA-HCF CDI by financial year</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_Toc459796600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601" w:history="1">
        <w:r w:rsidR="00C16108" w:rsidRPr="00C16108">
          <w:rPr>
            <w:rStyle w:val="Hyperlink"/>
            <w:rFonts w:eastAsia="Times New Roman" w:cs="Times New Roman"/>
            <w:bCs/>
            <w:noProof/>
          </w:rPr>
          <w:t>Figure 15 New VRE isolates by quarter</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_Toc459796601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602" w:history="1">
        <w:r w:rsidR="00C16108" w:rsidRPr="00C16108">
          <w:rPr>
            <w:rStyle w:val="Hyperlink"/>
            <w:noProof/>
          </w:rPr>
          <w:t>Figure 16 New VRE isolates by financial year</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_Toc459796602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603" w:history="1">
        <w:r w:rsidR="00C16108" w:rsidRPr="00C16108">
          <w:rPr>
            <w:rStyle w:val="Hyperlink"/>
            <w:noProof/>
          </w:rPr>
          <w:t>Figure 17 New VRE isolates by genotype by financial year</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_Toc459796603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604" w:history="1">
        <w:r w:rsidR="00C16108" w:rsidRPr="00C16108">
          <w:rPr>
            <w:rStyle w:val="Hyperlink"/>
            <w:rFonts w:eastAsia="Times New Roman" w:cs="Times New Roman"/>
            <w:bCs/>
            <w:noProof/>
          </w:rPr>
          <w:t xml:space="preserve">Figure 18 </w:t>
        </w:r>
        <w:r w:rsidR="00C16108" w:rsidRPr="00C16108">
          <w:rPr>
            <w:rStyle w:val="Hyperlink"/>
            <w:rFonts w:eastAsia="Times New Roman" w:cs="Times New Roman"/>
            <w:noProof/>
          </w:rPr>
          <w:t>Hand hygiene compliance in Tasmanian public hospitals</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_Toc459796604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605" w:history="1">
        <w:r w:rsidR="00C16108" w:rsidRPr="00C16108">
          <w:rPr>
            <w:rStyle w:val="Hyperlink"/>
            <w:rFonts w:eastAsia="Times New Roman" w:cs="Times New Roman"/>
            <w:bCs/>
            <w:noProof/>
          </w:rPr>
          <w:t>Figure 19 Hand hygiene compliance by moment</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_Toc459796605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606" w:history="1">
        <w:r w:rsidR="00C16108" w:rsidRPr="00C16108">
          <w:rPr>
            <w:rStyle w:val="Hyperlink"/>
            <w:rFonts w:eastAsia="Times New Roman" w:cs="Times New Roman"/>
            <w:bCs/>
            <w:noProof/>
          </w:rPr>
          <w:t>Figure 20 Hand hygiene compliance by healthcare worker</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_Toc459796606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607" w:history="1">
        <w:r w:rsidR="00C16108" w:rsidRPr="00C16108">
          <w:rPr>
            <w:rStyle w:val="Hyperlink"/>
            <w:noProof/>
          </w:rPr>
          <w:t>Figure 21 Cephalosporin use</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_Toc459796607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608" w:history="1">
        <w:r w:rsidR="00C16108" w:rsidRPr="00C16108">
          <w:rPr>
            <w:rStyle w:val="Hyperlink"/>
            <w:noProof/>
          </w:rPr>
          <w:t>Figure 22 Fluoroquinolone use</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_Toc459796608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609" w:history="1">
        <w:r w:rsidR="00C16108" w:rsidRPr="00C16108">
          <w:rPr>
            <w:rStyle w:val="Hyperlink"/>
            <w:noProof/>
          </w:rPr>
          <w:t>Figure 23 Anti-pseudomonal penicillins plus ß-lactamase inhibitor use</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_Toc459796609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610" w:history="1">
        <w:r w:rsidR="00C16108" w:rsidRPr="00C16108">
          <w:rPr>
            <w:rStyle w:val="Hyperlink"/>
            <w:noProof/>
          </w:rPr>
          <w:t xml:space="preserve">Figure 24 </w:t>
        </w:r>
        <w:r w:rsidR="00C16108" w:rsidRPr="00C16108">
          <w:rPr>
            <w:rStyle w:val="Hyperlink"/>
            <w:noProof/>
            <w:lang w:eastAsia="en-AU"/>
          </w:rPr>
          <w:t>Vancomycin use</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_Toc459796610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B62635" w:rsidRPr="00D13BFF" w:rsidRDefault="00B62635" w:rsidP="00B62635">
      <w:pPr>
        <w:keepNext/>
        <w:keepLines/>
        <w:tabs>
          <w:tab w:val="left" w:pos="567"/>
        </w:tabs>
        <w:spacing w:afterLines="0" w:after="0"/>
        <w:outlineLvl w:val="0"/>
        <w:rPr>
          <w:rFonts w:eastAsia="Times New Roman" w:cs="Times New Roman"/>
          <w:bCs/>
          <w:sz w:val="20"/>
          <w:szCs w:val="20"/>
        </w:rPr>
      </w:pPr>
      <w:r w:rsidRPr="00C16108">
        <w:rPr>
          <w:rFonts w:eastAsia="Times New Roman" w:cs="Times New Roman"/>
          <w:bCs/>
        </w:rPr>
        <w:fldChar w:fldCharType="end"/>
      </w:r>
    </w:p>
    <w:p w:rsidR="00B62635" w:rsidRPr="004B39D8" w:rsidRDefault="00B62635" w:rsidP="00B62635">
      <w:pPr>
        <w:keepNext/>
        <w:keepLines/>
        <w:tabs>
          <w:tab w:val="left" w:pos="567"/>
        </w:tabs>
        <w:spacing w:afterLines="0" w:after="0"/>
        <w:outlineLvl w:val="0"/>
        <w:rPr>
          <w:rFonts w:ascii="Cambria" w:eastAsia="Times New Roman" w:hAnsi="Cambria" w:cs="Times New Roman"/>
          <w:bCs/>
          <w:sz w:val="20"/>
          <w:szCs w:val="20"/>
        </w:rPr>
      </w:pPr>
    </w:p>
    <w:p w:rsidR="00C16108" w:rsidRPr="00C16108" w:rsidRDefault="00B62635">
      <w:pPr>
        <w:pStyle w:val="TableofFigures"/>
        <w:tabs>
          <w:tab w:val="right" w:leader="dot" w:pos="9016"/>
        </w:tabs>
        <w:rPr>
          <w:rFonts w:asciiTheme="minorHAnsi" w:eastAsiaTheme="minorEastAsia" w:hAnsiTheme="minorHAnsi"/>
          <w:noProof/>
          <w:lang w:eastAsia="en-AU"/>
        </w:rPr>
      </w:pPr>
      <w:r w:rsidRPr="00C16108">
        <w:fldChar w:fldCharType="begin"/>
      </w:r>
      <w:r w:rsidRPr="00C16108">
        <w:instrText xml:space="preserve"> TOC \h \z \c "Table" </w:instrText>
      </w:r>
      <w:r w:rsidRPr="00C16108">
        <w:fldChar w:fldCharType="separate"/>
      </w:r>
      <w:hyperlink w:anchor="_Toc459796755" w:history="1">
        <w:r w:rsidR="00C16108" w:rsidRPr="00C16108">
          <w:rPr>
            <w:rStyle w:val="Hyperlink"/>
            <w:noProof/>
          </w:rPr>
          <w:t>Table 1 Proportion of VRE positives from screening specimens</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_Toc459796755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756" w:history="1">
        <w:r w:rsidR="00C16108" w:rsidRPr="00C16108">
          <w:rPr>
            <w:rStyle w:val="Hyperlink"/>
            <w:rFonts w:eastAsia="Times New Roman" w:cs="Times New Roman"/>
            <w:bCs/>
            <w:noProof/>
          </w:rPr>
          <w:t>Table 2 Tasmanian numbers and rate per 10 000 patient days of HCA-SAB.</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_Toc459796756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757" w:history="1">
        <w:r w:rsidR="00C16108" w:rsidRPr="00C16108">
          <w:rPr>
            <w:rStyle w:val="Hyperlink"/>
            <w:rFonts w:eastAsia="Times New Roman" w:cs="Times New Roman"/>
            <w:bCs/>
            <w:noProof/>
          </w:rPr>
          <w:t>Table 3 Royal Hobart Hospital numbers and rates per10 000 patient days of HCA-SAB</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_Toc459796757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758" w:history="1">
        <w:r w:rsidR="00C16108" w:rsidRPr="00C16108">
          <w:rPr>
            <w:rStyle w:val="Hyperlink"/>
            <w:rFonts w:eastAsia="Times New Roman" w:cs="Times New Roman"/>
            <w:bCs/>
            <w:noProof/>
          </w:rPr>
          <w:t>Table 4 Launceston General Hospital numbers and rates per10 000 patient days of HCA-SAB</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_Toc459796758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759" w:history="1">
        <w:r w:rsidR="00C16108" w:rsidRPr="00C16108">
          <w:rPr>
            <w:rStyle w:val="Hyperlink"/>
            <w:rFonts w:eastAsia="Times New Roman" w:cs="Times New Roman"/>
            <w:bCs/>
            <w:noProof/>
          </w:rPr>
          <w:t>Table 5 Mersey Community Hospital numbers and rates per10 000 patient days of HCA-SAB</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_Toc459796759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760" w:history="1">
        <w:r w:rsidR="00C16108" w:rsidRPr="00C16108">
          <w:rPr>
            <w:rStyle w:val="Hyperlink"/>
            <w:rFonts w:eastAsia="Times New Roman" w:cs="Times New Roman"/>
            <w:bCs/>
            <w:noProof/>
          </w:rPr>
          <w:t>Table 6 North West Regional Hospital numbers and rates per10 000 patient days of HCA-SAB.</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_Toc459796760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761" w:history="1">
        <w:r w:rsidR="00C16108" w:rsidRPr="00C16108">
          <w:rPr>
            <w:rStyle w:val="Hyperlink"/>
            <w:rFonts w:eastAsia="Times New Roman" w:cs="Times New Roman"/>
            <w:bCs/>
            <w:noProof/>
          </w:rPr>
          <w:t>Table 7 Tasmanian numbers and rates per10 000 patient days of CDI</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_Toc459796761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762" w:history="1">
        <w:r w:rsidR="00C16108" w:rsidRPr="00C16108">
          <w:rPr>
            <w:rStyle w:val="Hyperlink"/>
            <w:rFonts w:eastAsia="Times New Roman" w:cs="Times New Roman"/>
            <w:bCs/>
            <w:noProof/>
          </w:rPr>
          <w:t>Table 8 Hospital numbers and rates per10 000 patient days of hospital identified CDI</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_Toc459796762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763" w:history="1">
        <w:r w:rsidR="00C16108" w:rsidRPr="00C16108">
          <w:rPr>
            <w:rStyle w:val="Hyperlink"/>
            <w:rFonts w:eastAsia="Times New Roman" w:cs="Times New Roman"/>
            <w:bCs/>
            <w:noProof/>
          </w:rPr>
          <w:t>Table 9 Hospital numbers and rates per10 000 patient days of HCA-HCF CDI</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_Toc459796763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764" w:history="1">
        <w:r w:rsidR="00C16108" w:rsidRPr="00C16108">
          <w:rPr>
            <w:rStyle w:val="Hyperlink"/>
            <w:rFonts w:eastAsia="Times New Roman" w:cs="Times New Roman"/>
            <w:bCs/>
            <w:noProof/>
          </w:rPr>
          <w:t>Table 10 VRE isolates identified per quarter</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_Toc459796764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765" w:history="1">
        <w:r w:rsidR="00C16108" w:rsidRPr="00C16108">
          <w:rPr>
            <w:rStyle w:val="Hyperlink"/>
            <w:rFonts w:eastAsia="Times New Roman" w:cs="Times New Roman"/>
            <w:bCs/>
            <w:noProof/>
          </w:rPr>
          <w:t>Table 11 Classification of first VRE isolates</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_Toc459796765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766" w:history="1">
        <w:r w:rsidR="00C16108" w:rsidRPr="00C16108">
          <w:rPr>
            <w:rStyle w:val="Hyperlink"/>
            <w:rFonts w:eastAsia="Times New Roman" w:cs="Times New Roman"/>
            <w:bCs/>
            <w:noProof/>
          </w:rPr>
          <w:t>Table 13 Hand hygiene compliance rates by Tasmanian hospital and state level</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_Toc459796766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767" w:history="1">
        <w:r w:rsidR="00C16108" w:rsidRPr="00C16108">
          <w:rPr>
            <w:rStyle w:val="Hyperlink"/>
            <w:rFonts w:eastAsia="Times New Roman" w:cs="Times New Roman"/>
            <w:bCs/>
            <w:noProof/>
          </w:rPr>
          <w:t>Table 14 Tasmanian hand hygiene compliance rates by moment</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_Toc459796767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C16108" w:rsidRPr="00C16108" w:rsidRDefault="00DD6888">
      <w:pPr>
        <w:pStyle w:val="TableofFigures"/>
        <w:tabs>
          <w:tab w:val="right" w:leader="dot" w:pos="9016"/>
        </w:tabs>
        <w:rPr>
          <w:rFonts w:asciiTheme="minorHAnsi" w:eastAsiaTheme="minorEastAsia" w:hAnsiTheme="minorHAnsi"/>
          <w:noProof/>
          <w:lang w:eastAsia="en-AU"/>
        </w:rPr>
      </w:pPr>
      <w:hyperlink w:anchor="_Toc459796768" w:history="1">
        <w:r w:rsidR="00C16108" w:rsidRPr="00C16108">
          <w:rPr>
            <w:rStyle w:val="Hyperlink"/>
            <w:rFonts w:eastAsia="Times New Roman" w:cs="Times New Roman"/>
            <w:bCs/>
            <w:noProof/>
          </w:rPr>
          <w:t>Table 15 Tasmanian hand hygiene compliance rates by healthcare worker</w:t>
        </w:r>
        <w:r w:rsidR="00C16108" w:rsidRPr="00C16108">
          <w:rPr>
            <w:noProof/>
            <w:webHidden/>
          </w:rPr>
          <w:tab/>
        </w:r>
        <w:r w:rsidR="00C16108" w:rsidRPr="00C16108">
          <w:rPr>
            <w:noProof/>
            <w:webHidden/>
          </w:rPr>
          <w:fldChar w:fldCharType="begin"/>
        </w:r>
        <w:r w:rsidR="00C16108" w:rsidRPr="00C16108">
          <w:rPr>
            <w:noProof/>
            <w:webHidden/>
          </w:rPr>
          <w:instrText xml:space="preserve"> PAGEREF _Toc459796768 \h </w:instrText>
        </w:r>
        <w:r w:rsidR="00C16108" w:rsidRPr="00C16108">
          <w:rPr>
            <w:noProof/>
            <w:webHidden/>
          </w:rPr>
        </w:r>
        <w:r w:rsidR="00C16108" w:rsidRPr="00C16108">
          <w:rPr>
            <w:noProof/>
            <w:webHidden/>
          </w:rPr>
          <w:fldChar w:fldCharType="separate"/>
        </w:r>
        <w:r w:rsidR="00556020">
          <w:rPr>
            <w:noProof/>
            <w:webHidden/>
          </w:rPr>
          <w:t>3</w:t>
        </w:r>
        <w:r w:rsidR="00C16108" w:rsidRPr="00C16108">
          <w:rPr>
            <w:noProof/>
            <w:webHidden/>
          </w:rPr>
          <w:fldChar w:fldCharType="end"/>
        </w:r>
      </w:hyperlink>
    </w:p>
    <w:p w:rsidR="00B62635" w:rsidRPr="004B39D8" w:rsidRDefault="00B62635" w:rsidP="00B62635">
      <w:pPr>
        <w:spacing w:after="336"/>
      </w:pPr>
      <w:r w:rsidRPr="00C16108">
        <w:fldChar w:fldCharType="end"/>
      </w:r>
    </w:p>
    <w:p w:rsidR="00B62635" w:rsidRPr="00D13BFF" w:rsidRDefault="00B62635" w:rsidP="00B62635">
      <w:pPr>
        <w:keepNext/>
        <w:keepLines/>
        <w:spacing w:before="480" w:after="336"/>
        <w:outlineLvl w:val="0"/>
        <w:rPr>
          <w:rFonts w:eastAsiaTheme="majorEastAsia" w:cstheme="majorBidi"/>
          <w:b/>
          <w:bCs/>
          <w:sz w:val="40"/>
          <w:szCs w:val="40"/>
        </w:rPr>
      </w:pPr>
      <w:bookmarkStart w:id="5" w:name="_Toc459796623"/>
      <w:r w:rsidRPr="00D13BFF">
        <w:rPr>
          <w:rFonts w:eastAsiaTheme="majorEastAsia" w:cstheme="majorBidi"/>
          <w:b/>
          <w:bCs/>
          <w:sz w:val="40"/>
          <w:szCs w:val="40"/>
        </w:rPr>
        <w:t>Executive summary</w:t>
      </w:r>
      <w:bookmarkEnd w:id="5"/>
    </w:p>
    <w:p w:rsidR="00F5672B" w:rsidRPr="00D13BFF" w:rsidRDefault="00F5672B" w:rsidP="00F5672B">
      <w:pPr>
        <w:spacing w:afterLines="0"/>
      </w:pPr>
      <w:r w:rsidRPr="00D13BFF">
        <w:rPr>
          <w:rFonts w:cs="Arial"/>
        </w:rPr>
        <w:t xml:space="preserve">This report provides an overview of the </w:t>
      </w:r>
      <w:r w:rsidRPr="00D13BFF">
        <w:t xml:space="preserve">Tasmanian acute public hospitals’ healthcare associated infection (HAI) surveillance </w:t>
      </w:r>
      <w:r w:rsidR="00503C52">
        <w:t>data for the period 2015 – 16 in addition to data for quarter 2, 2016. C</w:t>
      </w:r>
      <w:r w:rsidRPr="00D13BFF">
        <w:t xml:space="preserve">ompared to the quarterly reports, this </w:t>
      </w:r>
      <w:r w:rsidR="00503C52">
        <w:t xml:space="preserve">annual </w:t>
      </w:r>
      <w:r w:rsidRPr="00D13BFF">
        <w:t xml:space="preserve">report contains additional detail, such as infection rates by financial year and antimicrobial use. The </w:t>
      </w:r>
      <w:hyperlink r:id="rId16" w:history="1">
        <w:r w:rsidRPr="00EE22C1">
          <w:rPr>
            <w:rStyle w:val="Hyperlink"/>
          </w:rPr>
          <w:t>TIPCU website</w:t>
        </w:r>
      </w:hyperlink>
      <w:r w:rsidRPr="00D13BFF">
        <w:t xml:space="preserve"> (</w:t>
      </w:r>
      <w:r w:rsidRPr="00EE22C1">
        <w:t>www.dhhs.tas.gov.au/tipcu</w:t>
      </w:r>
      <w:r w:rsidRPr="00D13BFF">
        <w:t xml:space="preserve">) contains details of the surveillance program, including the rationale for the indicators surveyed and the methodologies used in data collection, validation and analysis. </w:t>
      </w:r>
    </w:p>
    <w:p w:rsidR="00F5672B" w:rsidRPr="00D13BFF" w:rsidRDefault="00F5672B" w:rsidP="00F5672B">
      <w:pPr>
        <w:spacing w:afterLines="0"/>
      </w:pPr>
      <w:r w:rsidRPr="00D13BFF">
        <w:t>Any form of comparison between hospitals should be done with caution because data are not adjusted for patient characteristics that vary between hospitals. Further, the relatively small Tasmanian population and small number of events can result in volatility of rates from time to time. The raw data in the appendices illustrate this.</w:t>
      </w:r>
    </w:p>
    <w:p w:rsidR="00F5672B" w:rsidRPr="00D13BFF" w:rsidRDefault="00F5672B" w:rsidP="00F5672B">
      <w:pPr>
        <w:spacing w:afterLines="0"/>
      </w:pPr>
    </w:p>
    <w:p w:rsidR="00F5672B" w:rsidRPr="00D13BFF" w:rsidRDefault="00F5672B" w:rsidP="00F5672B">
      <w:pPr>
        <w:spacing w:afterLines="0"/>
      </w:pPr>
      <w:r w:rsidRPr="00D13BFF">
        <w:t xml:space="preserve">This report contains the following </w:t>
      </w:r>
      <w:r w:rsidR="006B3F11">
        <w:t xml:space="preserve">Tasmanian </w:t>
      </w:r>
      <w:r w:rsidRPr="00D13BFF">
        <w:t>findings.</w:t>
      </w:r>
    </w:p>
    <w:p w:rsidR="00F5672B" w:rsidRPr="00D13BFF" w:rsidRDefault="00F5672B" w:rsidP="00F5672B">
      <w:pPr>
        <w:numPr>
          <w:ilvl w:val="0"/>
          <w:numId w:val="3"/>
        </w:numPr>
        <w:tabs>
          <w:tab w:val="left" w:pos="567"/>
        </w:tabs>
        <w:spacing w:afterLines="0"/>
        <w:ind w:left="567" w:hanging="567"/>
      </w:pPr>
      <w:r w:rsidRPr="00D13BFF">
        <w:t xml:space="preserve">The rate of healthcare associated </w:t>
      </w:r>
      <w:r w:rsidRPr="00D13BFF">
        <w:rPr>
          <w:i/>
        </w:rPr>
        <w:t>Staphylococcus aureus</w:t>
      </w:r>
      <w:r w:rsidRPr="00D13BFF">
        <w:t xml:space="preserve"> bacteraemia (SAB) remains low.</w:t>
      </w:r>
    </w:p>
    <w:p w:rsidR="00F5672B" w:rsidRPr="00D13BFF" w:rsidRDefault="00F5672B" w:rsidP="00F5672B">
      <w:pPr>
        <w:numPr>
          <w:ilvl w:val="0"/>
          <w:numId w:val="3"/>
        </w:numPr>
        <w:tabs>
          <w:tab w:val="left" w:pos="567"/>
        </w:tabs>
        <w:spacing w:afterLines="0"/>
        <w:ind w:left="567" w:hanging="567"/>
      </w:pPr>
      <w:r w:rsidRPr="00D13BFF">
        <w:t>The number and rate of</w:t>
      </w:r>
      <w:r w:rsidR="006B3F11">
        <w:t xml:space="preserve"> both</w:t>
      </w:r>
      <w:r w:rsidRPr="00D13BFF">
        <w:t xml:space="preserve"> ‘hospital identified </w:t>
      </w:r>
      <w:r w:rsidRPr="00D13BFF">
        <w:rPr>
          <w:i/>
        </w:rPr>
        <w:t>Clostridium difficile</w:t>
      </w:r>
      <w:r w:rsidRPr="00D13BFF">
        <w:t xml:space="preserve"> infection (CDI)’ and ‘healthcare associated-healthcare facility onset (HCA-HCF) CDI’ </w:t>
      </w:r>
      <w:r w:rsidR="006B3F11" w:rsidRPr="00D13BFF">
        <w:t>remains stable</w:t>
      </w:r>
      <w:r w:rsidRPr="00D13BFF">
        <w:t xml:space="preserve">. </w:t>
      </w:r>
    </w:p>
    <w:p w:rsidR="00F5672B" w:rsidRPr="00D13BFF" w:rsidRDefault="00F5672B" w:rsidP="00F5672B">
      <w:pPr>
        <w:numPr>
          <w:ilvl w:val="0"/>
          <w:numId w:val="3"/>
        </w:numPr>
        <w:tabs>
          <w:tab w:val="left" w:pos="567"/>
        </w:tabs>
        <w:spacing w:afterLines="0"/>
        <w:ind w:left="567" w:hanging="567"/>
      </w:pPr>
      <w:r w:rsidRPr="00D13BFF">
        <w:t>The numbers of new</w:t>
      </w:r>
      <w:r w:rsidR="009F30ED">
        <w:t xml:space="preserve"> isolates of VRE identified remains high and is increasing. </w:t>
      </w:r>
    </w:p>
    <w:p w:rsidR="00F5672B" w:rsidRPr="00D13BFF" w:rsidRDefault="009F30ED" w:rsidP="00F5672B">
      <w:pPr>
        <w:numPr>
          <w:ilvl w:val="0"/>
          <w:numId w:val="3"/>
        </w:numPr>
        <w:tabs>
          <w:tab w:val="left" w:pos="567"/>
        </w:tabs>
        <w:spacing w:afterLines="0"/>
        <w:ind w:left="567" w:hanging="567"/>
      </w:pPr>
      <w:r>
        <w:t xml:space="preserve">Hand hygiene compliance at each of the hospitals is </w:t>
      </w:r>
      <w:r w:rsidR="00F5672B" w:rsidRPr="00D13BFF">
        <w:t>above the National Benchmark of 70 per cent.</w:t>
      </w:r>
    </w:p>
    <w:p w:rsidR="0035443D" w:rsidRDefault="00F5672B" w:rsidP="0035443D">
      <w:pPr>
        <w:numPr>
          <w:ilvl w:val="0"/>
          <w:numId w:val="3"/>
        </w:numPr>
        <w:tabs>
          <w:tab w:val="left" w:pos="567"/>
        </w:tabs>
        <w:spacing w:afterLines="0"/>
        <w:ind w:left="567" w:hanging="567"/>
      </w:pPr>
      <w:r w:rsidRPr="00D13BFF">
        <w:t xml:space="preserve">The overall Tasmanian public hospital hand hygiene compliance rate is above the National Benchmark. </w:t>
      </w:r>
      <w:bookmarkStart w:id="6" w:name="_Toc459796624"/>
    </w:p>
    <w:p w:rsidR="0035443D" w:rsidRDefault="0035443D" w:rsidP="0035443D">
      <w:pPr>
        <w:spacing w:after="336"/>
      </w:pPr>
      <w:r>
        <w:br w:type="page"/>
      </w:r>
    </w:p>
    <w:p w:rsidR="00743E1D" w:rsidRPr="00D13BFF" w:rsidRDefault="00743E1D" w:rsidP="0035443D">
      <w:pPr>
        <w:tabs>
          <w:tab w:val="left" w:pos="567"/>
        </w:tabs>
        <w:spacing w:afterLines="0"/>
        <w:rPr>
          <w:rFonts w:eastAsia="Times New Roman" w:cs="Times New Roman"/>
          <w:b/>
          <w:iCs/>
          <w:sz w:val="40"/>
          <w:szCs w:val="40"/>
        </w:rPr>
      </w:pPr>
      <w:r w:rsidRPr="00D13BFF">
        <w:rPr>
          <w:rFonts w:eastAsia="Times New Roman" w:cs="Times New Roman"/>
          <w:b/>
          <w:iCs/>
          <w:sz w:val="40"/>
          <w:szCs w:val="40"/>
        </w:rPr>
        <w:t>Achievements</w:t>
      </w:r>
      <w:bookmarkEnd w:id="6"/>
    </w:p>
    <w:p w:rsidR="00F5672B" w:rsidRPr="00D13BFF" w:rsidRDefault="00F5672B" w:rsidP="00F5672B">
      <w:pPr>
        <w:tabs>
          <w:tab w:val="left" w:pos="567"/>
        </w:tabs>
        <w:spacing w:afterLines="0"/>
      </w:pPr>
      <w:r w:rsidRPr="00D13BFF">
        <w:t>2015-16 TIPCU achievements of particular note include:</w:t>
      </w:r>
    </w:p>
    <w:p w:rsidR="00F5672B" w:rsidRPr="00D13BFF" w:rsidRDefault="00F5672B" w:rsidP="00F5672B">
      <w:pPr>
        <w:spacing w:afterLines="0"/>
        <w:rPr>
          <w:b/>
        </w:rPr>
      </w:pPr>
      <w:r w:rsidRPr="00D13BFF">
        <w:rPr>
          <w:b/>
        </w:rPr>
        <w:t>Governance</w:t>
      </w:r>
    </w:p>
    <w:p w:rsidR="00F5672B" w:rsidRPr="00D13BFF" w:rsidRDefault="00C16108" w:rsidP="00F5672B">
      <w:pPr>
        <w:numPr>
          <w:ilvl w:val="0"/>
          <w:numId w:val="3"/>
        </w:numPr>
        <w:tabs>
          <w:tab w:val="left" w:pos="567"/>
        </w:tabs>
        <w:spacing w:afterLines="0"/>
        <w:ind w:left="567" w:hanging="567"/>
      </w:pPr>
      <w:r>
        <w:t>r</w:t>
      </w:r>
      <w:r w:rsidRPr="00D13BFF">
        <w:t>eview</w:t>
      </w:r>
      <w:r>
        <w:t xml:space="preserve">ing </w:t>
      </w:r>
      <w:r w:rsidRPr="00D13BFF">
        <w:t>and</w:t>
      </w:r>
      <w:r w:rsidR="00F5672B" w:rsidRPr="00D13BFF">
        <w:t xml:space="preserve"> updating </w:t>
      </w:r>
      <w:r w:rsidR="009F30ED">
        <w:t xml:space="preserve">Department of Health and Human Services (DHHS) state-wide </w:t>
      </w:r>
      <w:r w:rsidR="00F5672B" w:rsidRPr="00D13BFF">
        <w:t xml:space="preserve">infection prevention and control policies, procedures and </w:t>
      </w:r>
      <w:r w:rsidR="006B3F11">
        <w:t>protocols</w:t>
      </w:r>
    </w:p>
    <w:p w:rsidR="00F5672B" w:rsidRPr="00D13BFF" w:rsidRDefault="00F5672B" w:rsidP="00F5672B">
      <w:pPr>
        <w:numPr>
          <w:ilvl w:val="0"/>
          <w:numId w:val="3"/>
        </w:numPr>
        <w:tabs>
          <w:tab w:val="left" w:pos="567"/>
        </w:tabs>
        <w:spacing w:afterLines="0"/>
        <w:ind w:left="567" w:hanging="567"/>
      </w:pPr>
      <w:r w:rsidRPr="00D13BFF">
        <w:t xml:space="preserve">continuing involvement </w:t>
      </w:r>
      <w:r w:rsidR="00BF2B46">
        <w:t>in the</w:t>
      </w:r>
      <w:r w:rsidRPr="00D13BFF">
        <w:t xml:space="preserve"> work </w:t>
      </w:r>
      <w:r w:rsidR="00BF2B46">
        <w:t>of</w:t>
      </w:r>
      <w:r w:rsidRPr="00D13BFF">
        <w:t xml:space="preserve"> the Australian Commission of Safety &amp; Quality in Health</w:t>
      </w:r>
      <w:r w:rsidR="00066DCB">
        <w:t xml:space="preserve"> C</w:t>
      </w:r>
      <w:r w:rsidRPr="00D13BFF">
        <w:t>are</w:t>
      </w:r>
    </w:p>
    <w:p w:rsidR="00F5672B" w:rsidRPr="00D13BFF" w:rsidRDefault="00F5672B" w:rsidP="00F5672B">
      <w:pPr>
        <w:numPr>
          <w:ilvl w:val="0"/>
          <w:numId w:val="3"/>
        </w:numPr>
        <w:tabs>
          <w:tab w:val="left" w:pos="567"/>
        </w:tabs>
        <w:spacing w:afterLines="0"/>
        <w:ind w:left="567" w:hanging="567"/>
      </w:pPr>
      <w:r w:rsidRPr="00D13BFF">
        <w:t>working with the Communicable Diseases Prevention Unit (CDPU)</w:t>
      </w:r>
      <w:r w:rsidR="006B3F11">
        <w:t xml:space="preserve"> within Public Health Services</w:t>
      </w:r>
    </w:p>
    <w:p w:rsidR="00F5672B" w:rsidRPr="00D13BFF" w:rsidRDefault="00F5672B" w:rsidP="00F5672B">
      <w:pPr>
        <w:spacing w:afterLines="0"/>
        <w:rPr>
          <w:b/>
        </w:rPr>
      </w:pPr>
      <w:r w:rsidRPr="00D13BFF">
        <w:rPr>
          <w:b/>
        </w:rPr>
        <w:t>Education and Training</w:t>
      </w:r>
    </w:p>
    <w:p w:rsidR="00F5672B" w:rsidRPr="00D13BFF" w:rsidRDefault="00BF2B46" w:rsidP="00F5672B">
      <w:pPr>
        <w:numPr>
          <w:ilvl w:val="0"/>
          <w:numId w:val="3"/>
        </w:numPr>
        <w:tabs>
          <w:tab w:val="left" w:pos="567"/>
        </w:tabs>
        <w:spacing w:afterLines="0"/>
        <w:ind w:left="567" w:hanging="567"/>
      </w:pPr>
      <w:r>
        <w:t>developing</w:t>
      </w:r>
      <w:r w:rsidR="00F5672B" w:rsidRPr="00D13BFF">
        <w:t xml:space="preserve"> online training resources for acute, non-acute and rural hospital settings</w:t>
      </w:r>
    </w:p>
    <w:p w:rsidR="00F5672B" w:rsidRPr="00D13BFF" w:rsidRDefault="00F5672B" w:rsidP="00F5672B">
      <w:pPr>
        <w:numPr>
          <w:ilvl w:val="0"/>
          <w:numId w:val="3"/>
        </w:numPr>
        <w:tabs>
          <w:tab w:val="left" w:pos="567"/>
        </w:tabs>
        <w:spacing w:afterLines="0"/>
        <w:ind w:left="567" w:hanging="567"/>
      </w:pPr>
      <w:r w:rsidRPr="00D13BFF">
        <w:t xml:space="preserve">production of a set of personal protective equipment </w:t>
      </w:r>
      <w:r w:rsidR="00BF2B46">
        <w:t xml:space="preserve">demonstration </w:t>
      </w:r>
      <w:r w:rsidRPr="00D13BFF">
        <w:t>videos on standard and transmission based precautions applicable to all healthcare settings</w:t>
      </w:r>
    </w:p>
    <w:p w:rsidR="00F5672B" w:rsidRPr="00D13BFF" w:rsidRDefault="00F5672B" w:rsidP="00F5672B">
      <w:pPr>
        <w:numPr>
          <w:ilvl w:val="0"/>
          <w:numId w:val="3"/>
        </w:numPr>
        <w:tabs>
          <w:tab w:val="left" w:pos="567"/>
        </w:tabs>
        <w:spacing w:afterLines="0"/>
        <w:ind w:left="567" w:hanging="567"/>
      </w:pPr>
      <w:proofErr w:type="gramStart"/>
      <w:r w:rsidRPr="00D13BFF">
        <w:t>review</w:t>
      </w:r>
      <w:r w:rsidR="00BF2B46">
        <w:t>ing</w:t>
      </w:r>
      <w:proofErr w:type="gramEnd"/>
      <w:r w:rsidR="00BF2B46">
        <w:t xml:space="preserve"> </w:t>
      </w:r>
      <w:r w:rsidRPr="00D13BFF">
        <w:t xml:space="preserve">a range of guidance for healthcare workers and </w:t>
      </w:r>
      <w:r w:rsidR="00BF2B46">
        <w:t xml:space="preserve">information for </w:t>
      </w:r>
      <w:r w:rsidRPr="00D13BFF">
        <w:t>the public on key issues related to healthcare associated infections.</w:t>
      </w:r>
    </w:p>
    <w:p w:rsidR="00F5672B" w:rsidRPr="00D13BFF" w:rsidRDefault="00F5672B" w:rsidP="00F5672B">
      <w:pPr>
        <w:spacing w:afterLines="0"/>
        <w:rPr>
          <w:b/>
        </w:rPr>
      </w:pPr>
      <w:r w:rsidRPr="00D13BFF">
        <w:rPr>
          <w:b/>
        </w:rPr>
        <w:t>Surveillance</w:t>
      </w:r>
    </w:p>
    <w:p w:rsidR="00F5672B" w:rsidRPr="00D13BFF" w:rsidRDefault="00F5672B" w:rsidP="00F5672B">
      <w:pPr>
        <w:numPr>
          <w:ilvl w:val="0"/>
          <w:numId w:val="3"/>
        </w:numPr>
        <w:spacing w:afterLines="0"/>
        <w:ind w:left="567" w:hanging="567"/>
      </w:pPr>
      <w:r w:rsidRPr="00D13BFF">
        <w:t>continuation of surveillance programs based on nationally agreed methodology and Tasmanian notifiable microorganisms</w:t>
      </w:r>
    </w:p>
    <w:p w:rsidR="00F5672B" w:rsidRPr="00D13BFF" w:rsidRDefault="00BF2B46" w:rsidP="00F5672B">
      <w:pPr>
        <w:numPr>
          <w:ilvl w:val="0"/>
          <w:numId w:val="3"/>
        </w:numPr>
        <w:tabs>
          <w:tab w:val="left" w:pos="567"/>
        </w:tabs>
        <w:spacing w:afterLines="0"/>
        <w:ind w:left="567" w:hanging="567"/>
      </w:pPr>
      <w:r>
        <w:t xml:space="preserve">continued </w:t>
      </w:r>
      <w:r w:rsidR="00F5672B" w:rsidRPr="00D13BFF">
        <w:t>provision of an environmental cleaning assessment program</w:t>
      </w:r>
    </w:p>
    <w:p w:rsidR="00F5672B" w:rsidRPr="00D13BFF" w:rsidRDefault="00BF2B46" w:rsidP="00F5672B">
      <w:pPr>
        <w:numPr>
          <w:ilvl w:val="0"/>
          <w:numId w:val="3"/>
        </w:numPr>
        <w:tabs>
          <w:tab w:val="left" w:pos="567"/>
        </w:tabs>
        <w:spacing w:afterLines="0"/>
        <w:ind w:left="567" w:hanging="567"/>
      </w:pPr>
      <w:r>
        <w:t>implementation</w:t>
      </w:r>
      <w:r w:rsidR="00F5672B" w:rsidRPr="00D13BFF">
        <w:t xml:space="preserve"> of</w:t>
      </w:r>
      <w:r>
        <w:t xml:space="preserve"> a surveillance program for</w:t>
      </w:r>
      <w:r w:rsidR="00F5672B" w:rsidRPr="00D13BFF">
        <w:t xml:space="preserve"> antimicrobial use in rural</w:t>
      </w:r>
      <w:r>
        <w:t xml:space="preserve"> hospitals</w:t>
      </w:r>
    </w:p>
    <w:p w:rsidR="00B62635" w:rsidRPr="00D13BFF" w:rsidRDefault="00B62635" w:rsidP="00B62635">
      <w:pPr>
        <w:spacing w:after="336"/>
      </w:pPr>
      <w:r w:rsidRPr="00D13BFF">
        <w:br w:type="page"/>
      </w:r>
    </w:p>
    <w:p w:rsidR="00B62635" w:rsidRPr="00D13BFF" w:rsidRDefault="00B62635" w:rsidP="00B62635">
      <w:pPr>
        <w:keepNext/>
        <w:keepLines/>
        <w:spacing w:before="480" w:after="336"/>
        <w:outlineLvl w:val="0"/>
        <w:rPr>
          <w:b/>
          <w:bCs/>
          <w:sz w:val="40"/>
          <w:szCs w:val="40"/>
        </w:rPr>
      </w:pPr>
      <w:bookmarkStart w:id="7" w:name="_Toc413158588"/>
      <w:bookmarkStart w:id="8" w:name="_Toc459796625"/>
      <w:r w:rsidRPr="00D13BFF">
        <w:rPr>
          <w:rFonts w:eastAsiaTheme="majorEastAsia" w:cstheme="majorBidi"/>
          <w:b/>
          <w:bCs/>
          <w:i/>
          <w:sz w:val="40"/>
          <w:szCs w:val="40"/>
        </w:rPr>
        <w:t>Staphylococcus aureus</w:t>
      </w:r>
      <w:r w:rsidRPr="00D13BFF">
        <w:rPr>
          <w:rFonts w:eastAsiaTheme="majorEastAsia" w:cstheme="majorBidi"/>
          <w:b/>
          <w:bCs/>
          <w:sz w:val="40"/>
          <w:szCs w:val="40"/>
        </w:rPr>
        <w:t xml:space="preserve"> bacteraemia (SAB)</w:t>
      </w:r>
      <w:bookmarkEnd w:id="7"/>
      <w:bookmarkEnd w:id="8"/>
    </w:p>
    <w:p w:rsidR="00B62635" w:rsidRPr="00D13BFF" w:rsidRDefault="00B62635" w:rsidP="00B62635">
      <w:pPr>
        <w:spacing w:afterLines="0"/>
      </w:pPr>
      <w:r w:rsidRPr="00D13BFF">
        <w:rPr>
          <w:i/>
        </w:rPr>
        <w:t>Staphylococcus aureus</w:t>
      </w:r>
      <w:r w:rsidRPr="00D13BFF">
        <w:t>, a common cause of serious healthcare associated bloodstream infection</w:t>
      </w:r>
      <w:r w:rsidR="00066DCB">
        <w:t xml:space="preserve"> (bacteraemia)</w:t>
      </w:r>
      <w:r w:rsidR="00503C52">
        <w:t xml:space="preserve"> and </w:t>
      </w:r>
      <w:r w:rsidRPr="00D13BFF">
        <w:t>cause</w:t>
      </w:r>
      <w:r w:rsidR="00503C52">
        <w:t xml:space="preserve">s significant patient morbidity. SAB </w:t>
      </w:r>
      <w:r w:rsidRPr="00D13BFF">
        <w:t xml:space="preserve">has an estimated </w:t>
      </w:r>
      <w:r w:rsidR="00066DCB">
        <w:t xml:space="preserve">30 day </w:t>
      </w:r>
      <w:r w:rsidRPr="00D13BFF">
        <w:t xml:space="preserve">mortality of around 25-30 per cent. Many healthcare associated </w:t>
      </w:r>
      <w:r w:rsidRPr="00D13BFF">
        <w:rPr>
          <w:i/>
        </w:rPr>
        <w:t>Staphylococcus aureus</w:t>
      </w:r>
      <w:r w:rsidRPr="00D13BFF">
        <w:t xml:space="preserve"> </w:t>
      </w:r>
      <w:proofErr w:type="spellStart"/>
      <w:r w:rsidR="00066DCB">
        <w:t>bacteraemias</w:t>
      </w:r>
      <w:proofErr w:type="spellEnd"/>
      <w:r w:rsidR="00066DCB">
        <w:t xml:space="preserve"> </w:t>
      </w:r>
      <w:r w:rsidRPr="00D13BFF">
        <w:t xml:space="preserve">(SAB) are preventable. </w:t>
      </w:r>
      <w:r w:rsidR="00066DCB">
        <w:rPr>
          <w:rFonts w:eastAsia="Times New Roman" w:cs="Times New Roman"/>
        </w:rPr>
        <w:t xml:space="preserve">SAB </w:t>
      </w:r>
      <w:r w:rsidRPr="00D13BFF">
        <w:rPr>
          <w:rFonts w:eastAsia="Times New Roman" w:cs="Times New Roman"/>
        </w:rPr>
        <w:t xml:space="preserve">was made a notifiable condition in Tasmania in 2008 pursuant to the </w:t>
      </w:r>
      <w:r w:rsidRPr="00D13BFF">
        <w:rPr>
          <w:rFonts w:eastAsia="Times New Roman" w:cs="Times New Roman"/>
          <w:i/>
        </w:rPr>
        <w:t>Public Health Act 1997</w:t>
      </w:r>
      <w:r w:rsidRPr="00D13BFF">
        <w:rPr>
          <w:rFonts w:eastAsia="Times New Roman" w:cs="Times New Roman"/>
        </w:rPr>
        <w:t xml:space="preserve">. Tasmania </w:t>
      </w:r>
      <w:r w:rsidR="00BF2B46">
        <w:rPr>
          <w:rFonts w:eastAsia="Times New Roman" w:cs="Times New Roman"/>
        </w:rPr>
        <w:t>was</w:t>
      </w:r>
      <w:r w:rsidRPr="00D13BFF">
        <w:rPr>
          <w:rFonts w:eastAsia="Times New Roman" w:cs="Times New Roman"/>
        </w:rPr>
        <w:t xml:space="preserve"> the first and </w:t>
      </w:r>
      <w:r w:rsidR="00BF2B46">
        <w:rPr>
          <w:rFonts w:eastAsia="Times New Roman" w:cs="Times New Roman"/>
        </w:rPr>
        <w:t xml:space="preserve">remains the </w:t>
      </w:r>
      <w:r w:rsidRPr="00D13BFF">
        <w:rPr>
          <w:rFonts w:eastAsia="Times New Roman" w:cs="Times New Roman"/>
        </w:rPr>
        <w:t>only Australian jurisdiction to introduce this measure.</w:t>
      </w:r>
    </w:p>
    <w:p w:rsidR="00B62635" w:rsidRPr="00D13BFF" w:rsidRDefault="00066DCB" w:rsidP="00B62635">
      <w:pPr>
        <w:tabs>
          <w:tab w:val="left" w:pos="567"/>
        </w:tabs>
        <w:spacing w:afterLines="0"/>
        <w:rPr>
          <w:rFonts w:eastAsia="Times New Roman" w:cs="Times New Roman"/>
        </w:rPr>
      </w:pPr>
      <w:r>
        <w:rPr>
          <w:rFonts w:eastAsia="Times New Roman" w:cs="Times New Roman"/>
        </w:rPr>
        <w:t>SAB s</w:t>
      </w:r>
      <w:r w:rsidR="00B62635" w:rsidRPr="00D13BFF">
        <w:rPr>
          <w:rFonts w:eastAsia="Times New Roman" w:cs="Times New Roman"/>
        </w:rPr>
        <w:t xml:space="preserve">urveillance is carried out in Tasmania using the nationally agreed surveillance definitions published by the Australian Commission on Safety and Quality in Health Care (ACSQHC). Under this definition a SAB is defined as healthcare associated if the patient’s first SAB positive blood culture was collected either &gt;48 hours after hospital admission or &lt;48 hours after discharge (Criterion A) </w:t>
      </w:r>
      <w:r w:rsidR="00B62635" w:rsidRPr="00D13BFF">
        <w:rPr>
          <w:rFonts w:eastAsia="Times New Roman" w:cs="Times New Roman"/>
          <w:b/>
        </w:rPr>
        <w:t>OR</w:t>
      </w:r>
      <w:r w:rsidR="00B62635" w:rsidRPr="00D13BFF">
        <w:rPr>
          <w:rFonts w:eastAsia="Times New Roman" w:cs="Times New Roman"/>
        </w:rPr>
        <w:t xml:space="preserve">  ≤48 hours after hospital admission and one of four key clinical healthcare related criteria was met (Criterion B).  </w:t>
      </w:r>
    </w:p>
    <w:p w:rsidR="00B62635" w:rsidRDefault="00B62635" w:rsidP="00B62635">
      <w:pPr>
        <w:tabs>
          <w:tab w:val="left" w:pos="567"/>
        </w:tabs>
        <w:spacing w:afterLines="0"/>
        <w:rPr>
          <w:rFonts w:eastAsia="Times New Roman" w:cs="Times New Roman"/>
        </w:rPr>
      </w:pPr>
      <w:r w:rsidRPr="00D13BFF">
        <w:rPr>
          <w:rFonts w:eastAsia="Times New Roman" w:cs="Times New Roman"/>
        </w:rPr>
        <w:t>The National Healthcare Agreement (2011) target is no more than two HCA SAB per10 000 patient days.</w:t>
      </w:r>
    </w:p>
    <w:p w:rsidR="00A657D5" w:rsidRPr="00D13BFF" w:rsidRDefault="00A657D5" w:rsidP="00B62635">
      <w:pPr>
        <w:tabs>
          <w:tab w:val="left" w:pos="567"/>
        </w:tabs>
        <w:spacing w:afterLines="0"/>
        <w:rPr>
          <w:rFonts w:eastAsia="Times New Roman" w:cs="Times New Roman"/>
        </w:rPr>
      </w:pPr>
    </w:p>
    <w:p w:rsidR="00A657D5" w:rsidRPr="008E161C" w:rsidRDefault="00B62635" w:rsidP="008E161C">
      <w:pPr>
        <w:keepNext/>
        <w:keepLines/>
        <w:spacing w:afterLines="0"/>
        <w:outlineLvl w:val="1"/>
        <w:rPr>
          <w:rFonts w:eastAsiaTheme="majorEastAsia" w:cstheme="majorBidi"/>
          <w:b/>
          <w:bCs/>
          <w:sz w:val="32"/>
          <w:szCs w:val="32"/>
        </w:rPr>
      </w:pPr>
      <w:bookmarkStart w:id="9" w:name="_Toc413158589"/>
      <w:bookmarkStart w:id="10" w:name="_Toc459796626"/>
      <w:r w:rsidRPr="00D13BFF">
        <w:rPr>
          <w:rFonts w:eastAsiaTheme="majorEastAsia" w:cstheme="majorBidi"/>
          <w:b/>
          <w:bCs/>
          <w:sz w:val="32"/>
          <w:szCs w:val="32"/>
        </w:rPr>
        <w:t>Tasmanian rates</w:t>
      </w:r>
      <w:bookmarkEnd w:id="9"/>
      <w:bookmarkEnd w:id="10"/>
    </w:p>
    <w:p w:rsidR="00B62635" w:rsidRPr="00D13BFF" w:rsidRDefault="005D0EB3" w:rsidP="00B62635">
      <w:pPr>
        <w:spacing w:afterLines="0"/>
      </w:pPr>
      <w:r w:rsidRPr="00D13BFF">
        <w:fldChar w:fldCharType="begin"/>
      </w:r>
      <w:r w:rsidRPr="00D13BFF">
        <w:instrText xml:space="preserve"> REF _Ref435167483 \h  \* MERGEFORMAT </w:instrText>
      </w:r>
      <w:r w:rsidRPr="00D13BFF">
        <w:fldChar w:fldCharType="separate"/>
      </w:r>
      <w:r w:rsidR="00556020" w:rsidRPr="00556020">
        <w:rPr>
          <w:rFonts w:eastAsia="Times New Roman" w:cs="Times New Roman"/>
          <w:bCs/>
        </w:rPr>
        <w:t xml:space="preserve">Figure </w:t>
      </w:r>
      <w:r w:rsidR="00556020" w:rsidRPr="00556020">
        <w:rPr>
          <w:rFonts w:eastAsia="Times New Roman" w:cs="Times New Roman"/>
          <w:bCs/>
          <w:noProof/>
        </w:rPr>
        <w:t>1</w:t>
      </w:r>
      <w:r w:rsidRPr="00D13BFF">
        <w:fldChar w:fldCharType="end"/>
      </w:r>
      <w:r w:rsidR="00743E1D" w:rsidRPr="00D13BFF">
        <w:t xml:space="preserve"> </w:t>
      </w:r>
      <w:r w:rsidR="00B62635" w:rsidRPr="00D13BFF">
        <w:t xml:space="preserve">presents the Tasmanian combined acute public hospital rates </w:t>
      </w:r>
      <w:r w:rsidRPr="00D13BFF">
        <w:t xml:space="preserve">of healthcare associated </w:t>
      </w:r>
      <w:r w:rsidRPr="00D13BFF">
        <w:rPr>
          <w:i/>
        </w:rPr>
        <w:t>Staphylococcus aureus</w:t>
      </w:r>
      <w:r w:rsidRPr="00D13BFF">
        <w:t xml:space="preserve"> bacteraemia (HCA SAB)</w:t>
      </w:r>
      <w:r w:rsidR="00D009AE" w:rsidRPr="00D13BFF">
        <w:t>,</w:t>
      </w:r>
      <w:r w:rsidRPr="00D13BFF">
        <w:t xml:space="preserve"> </w:t>
      </w:r>
      <w:r w:rsidR="00B62635" w:rsidRPr="00D13BFF">
        <w:t>by quarter</w:t>
      </w:r>
      <w:r w:rsidR="00743E1D" w:rsidRPr="00D13BFF">
        <w:t xml:space="preserve"> </w:t>
      </w:r>
      <w:r w:rsidR="006B3F11">
        <w:t>an</w:t>
      </w:r>
      <w:r w:rsidR="006B3F11" w:rsidRPr="006B3F11">
        <w:t xml:space="preserve">d </w:t>
      </w:r>
      <w:r w:rsidR="006B3F11" w:rsidRPr="006B3F11">
        <w:fldChar w:fldCharType="begin"/>
      </w:r>
      <w:r w:rsidR="006B3F11" w:rsidRPr="006B3F11">
        <w:instrText xml:space="preserve"> REF _Ref461538806 \h  \* MERGEFORMAT </w:instrText>
      </w:r>
      <w:r w:rsidR="006B3F11" w:rsidRPr="006B3F11">
        <w:fldChar w:fldCharType="separate"/>
      </w:r>
      <w:r w:rsidR="00556020" w:rsidRPr="00556020">
        <w:t xml:space="preserve">Figure </w:t>
      </w:r>
      <w:r w:rsidR="00556020" w:rsidRPr="00556020">
        <w:rPr>
          <w:noProof/>
        </w:rPr>
        <w:t>2</w:t>
      </w:r>
      <w:r w:rsidR="006B3F11" w:rsidRPr="006B3F11">
        <w:fldChar w:fldCharType="end"/>
      </w:r>
      <w:r w:rsidR="006B3F11">
        <w:t xml:space="preserve"> presents HCA SAB </w:t>
      </w:r>
      <w:r w:rsidR="00743E1D" w:rsidRPr="00D13BFF">
        <w:t>by financial year</w:t>
      </w:r>
      <w:r w:rsidR="00B62635" w:rsidRPr="00D13BFF">
        <w:t xml:space="preserve">. </w:t>
      </w:r>
    </w:p>
    <w:p w:rsidR="00B62635" w:rsidRPr="00D13BFF" w:rsidRDefault="00B62635" w:rsidP="00B62635">
      <w:pPr>
        <w:tabs>
          <w:tab w:val="left" w:pos="567"/>
        </w:tabs>
        <w:spacing w:afterLines="0"/>
        <w:rPr>
          <w:rFonts w:eastAsia="Times New Roman" w:cs="Times New Roman"/>
        </w:rPr>
      </w:pPr>
      <w:bookmarkStart w:id="11" w:name="_Ref435167483"/>
      <w:bookmarkStart w:id="12" w:name="_Toc459796587"/>
      <w:r w:rsidRPr="00D13BFF">
        <w:rPr>
          <w:rFonts w:eastAsia="Times New Roman" w:cs="Times New Roman"/>
          <w:b/>
          <w:bCs/>
        </w:rPr>
        <w:t xml:space="preserve">Figure </w:t>
      </w:r>
      <w:r w:rsidRPr="00D13BFF">
        <w:rPr>
          <w:rFonts w:eastAsia="Times New Roman" w:cs="Times New Roman"/>
          <w:b/>
          <w:bCs/>
        </w:rPr>
        <w:fldChar w:fldCharType="begin"/>
      </w:r>
      <w:r w:rsidRPr="00D13BFF">
        <w:rPr>
          <w:rFonts w:eastAsia="Times New Roman" w:cs="Times New Roman"/>
          <w:b/>
          <w:bCs/>
        </w:rPr>
        <w:instrText xml:space="preserve"> SEQ Figure \* ARABIC </w:instrText>
      </w:r>
      <w:r w:rsidRPr="00D13BFF">
        <w:rPr>
          <w:rFonts w:eastAsia="Times New Roman" w:cs="Times New Roman"/>
          <w:b/>
          <w:bCs/>
        </w:rPr>
        <w:fldChar w:fldCharType="separate"/>
      </w:r>
      <w:r w:rsidR="00556020">
        <w:rPr>
          <w:rFonts w:eastAsia="Times New Roman" w:cs="Times New Roman"/>
          <w:b/>
          <w:bCs/>
          <w:noProof/>
        </w:rPr>
        <w:t>1</w:t>
      </w:r>
      <w:r w:rsidRPr="00D13BFF">
        <w:rPr>
          <w:rFonts w:eastAsia="Times New Roman" w:cs="Times New Roman"/>
          <w:b/>
          <w:bCs/>
        </w:rPr>
        <w:fldChar w:fldCharType="end"/>
      </w:r>
      <w:bookmarkEnd w:id="11"/>
      <w:r w:rsidRPr="00D13BFF">
        <w:rPr>
          <w:rFonts w:eastAsia="Times New Roman" w:cs="Times New Roman"/>
          <w:b/>
          <w:bCs/>
        </w:rPr>
        <w:t xml:space="preserve"> </w:t>
      </w:r>
      <w:r w:rsidRPr="00D13BFF">
        <w:rPr>
          <w:rFonts w:eastAsia="Times New Roman" w:cs="Times New Roman"/>
        </w:rPr>
        <w:t xml:space="preserve">Healthcare associated </w:t>
      </w:r>
      <w:r w:rsidRPr="00D13BFF">
        <w:rPr>
          <w:rFonts w:eastAsia="Times New Roman" w:cs="Times New Roman"/>
          <w:i/>
        </w:rPr>
        <w:t>Staphylococcus aureus</w:t>
      </w:r>
      <w:r w:rsidRPr="00D13BFF">
        <w:rPr>
          <w:rFonts w:eastAsia="Times New Roman" w:cs="Times New Roman"/>
        </w:rPr>
        <w:t xml:space="preserve"> bacteraemia rate by quarter</w:t>
      </w:r>
      <w:bookmarkEnd w:id="12"/>
    </w:p>
    <w:p w:rsidR="00996ACF" w:rsidRPr="00D13BFF" w:rsidRDefault="00D009AE" w:rsidP="00B62635">
      <w:pPr>
        <w:tabs>
          <w:tab w:val="left" w:pos="567"/>
        </w:tabs>
        <w:spacing w:afterLines="0"/>
        <w:rPr>
          <w:rFonts w:eastAsia="Times New Roman" w:cs="Times New Roman"/>
        </w:rPr>
      </w:pPr>
      <w:r w:rsidRPr="00D13BFF">
        <w:rPr>
          <w:noProof/>
          <w:lang w:eastAsia="en-AU"/>
        </w:rPr>
        <w:drawing>
          <wp:inline distT="0" distB="0" distL="0" distR="0" wp14:anchorId="016A9BF0" wp14:editId="71ECFB9C">
            <wp:extent cx="5734050" cy="2828925"/>
            <wp:effectExtent l="0" t="0" r="19050" b="9525"/>
            <wp:docPr id="4" name="Chart 4" descr="Text description below" title="Figure 1 - Staphylococcus aureus chart by quarter - Tasmanian Rat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E161C" w:rsidRPr="00D13BFF" w:rsidRDefault="00D009AE" w:rsidP="00D009AE">
      <w:pPr>
        <w:spacing w:afterLines="0"/>
      </w:pPr>
      <w:r w:rsidRPr="00D13BFF">
        <w:t xml:space="preserve">The rate of HCA SAB for Q2 2016 was 1.2 per 10 000 patient days (95% CI 0.5 – 2.0) which </w:t>
      </w:r>
      <w:r w:rsidR="00066DCB">
        <w:t xml:space="preserve">met </w:t>
      </w:r>
      <w:r w:rsidRPr="00D13BFF">
        <w:t xml:space="preserve">than </w:t>
      </w:r>
      <w:r w:rsidRPr="00D13BFF">
        <w:rPr>
          <w:rFonts w:eastAsia="Times New Roman" w:cs="Times New Roman"/>
        </w:rPr>
        <w:t>the National Healthcare Agreement target of no more than two HCA SAB per10 000 patient days.</w:t>
      </w:r>
      <w:r w:rsidRPr="00D13BFF">
        <w:t xml:space="preserve">  </w:t>
      </w:r>
      <w:bookmarkStart w:id="13" w:name="_Ref458589372"/>
    </w:p>
    <w:p w:rsidR="00743E1D" w:rsidRPr="00D13BFF" w:rsidRDefault="00743E1D" w:rsidP="00D009AE">
      <w:pPr>
        <w:spacing w:afterLines="0"/>
        <w:rPr>
          <w:b/>
        </w:rPr>
      </w:pPr>
      <w:bookmarkStart w:id="14" w:name="_Ref461538806"/>
      <w:bookmarkStart w:id="15" w:name="_Toc459796588"/>
      <w:r w:rsidRPr="00D13BFF">
        <w:rPr>
          <w:b/>
        </w:rPr>
        <w:t xml:space="preserve">Figure </w:t>
      </w:r>
      <w:r w:rsidR="00996ACF" w:rsidRPr="00D13BFF">
        <w:rPr>
          <w:b/>
        </w:rPr>
        <w:fldChar w:fldCharType="begin"/>
      </w:r>
      <w:r w:rsidR="00996ACF" w:rsidRPr="00D13BFF">
        <w:rPr>
          <w:b/>
        </w:rPr>
        <w:instrText xml:space="preserve"> SEQ Figure \* ARABIC </w:instrText>
      </w:r>
      <w:r w:rsidR="00996ACF" w:rsidRPr="00D13BFF">
        <w:rPr>
          <w:b/>
        </w:rPr>
        <w:fldChar w:fldCharType="separate"/>
      </w:r>
      <w:r w:rsidR="00556020">
        <w:rPr>
          <w:b/>
          <w:noProof/>
        </w:rPr>
        <w:t>2</w:t>
      </w:r>
      <w:r w:rsidR="00996ACF" w:rsidRPr="00D13BFF">
        <w:rPr>
          <w:b/>
          <w:noProof/>
        </w:rPr>
        <w:fldChar w:fldCharType="end"/>
      </w:r>
      <w:bookmarkEnd w:id="13"/>
      <w:bookmarkEnd w:id="14"/>
      <w:r w:rsidR="005D0EB3" w:rsidRPr="00D13BFF">
        <w:rPr>
          <w:b/>
          <w:noProof/>
        </w:rPr>
        <w:t xml:space="preserve"> </w:t>
      </w:r>
      <w:r w:rsidR="005D0EB3" w:rsidRPr="00D13BFF">
        <w:rPr>
          <w:rFonts w:eastAsia="Times New Roman" w:cs="Times New Roman"/>
        </w:rPr>
        <w:t xml:space="preserve">Healthcare associated </w:t>
      </w:r>
      <w:r w:rsidR="005D0EB3" w:rsidRPr="00D13BFF">
        <w:rPr>
          <w:rFonts w:eastAsia="Times New Roman" w:cs="Times New Roman"/>
          <w:i/>
        </w:rPr>
        <w:t>Staphylococcus aureus</w:t>
      </w:r>
      <w:r w:rsidR="005D0EB3" w:rsidRPr="00D13BFF">
        <w:t xml:space="preserve"> bacteraemia rate by financial year</w:t>
      </w:r>
      <w:bookmarkEnd w:id="15"/>
    </w:p>
    <w:p w:rsidR="00996ACF" w:rsidRPr="00D13BFF" w:rsidRDefault="00D009AE" w:rsidP="00D009AE">
      <w:pPr>
        <w:tabs>
          <w:tab w:val="left" w:pos="567"/>
        </w:tabs>
        <w:spacing w:afterLines="0"/>
        <w:rPr>
          <w:rFonts w:eastAsia="Times New Roman" w:cs="Times New Roman"/>
          <w:bCs/>
        </w:rPr>
      </w:pPr>
      <w:r w:rsidRPr="00D13BFF">
        <w:rPr>
          <w:noProof/>
          <w:lang w:eastAsia="en-AU"/>
        </w:rPr>
        <w:drawing>
          <wp:inline distT="0" distB="0" distL="0" distR="0" wp14:anchorId="2B7D7D12" wp14:editId="0833E20D">
            <wp:extent cx="5731510" cy="3188137"/>
            <wp:effectExtent l="0" t="0" r="21590" b="12700"/>
            <wp:docPr id="5" name="Chart 5" descr="Text description below" title="Figure 2 - Staphylococcus aureus chart by financial year - Tasmanian Rat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Start w:id="16" w:name="_Ref397503426"/>
      <w:bookmarkStart w:id="17" w:name="_Toc397505330"/>
    </w:p>
    <w:p w:rsidR="00D009AE" w:rsidRPr="00D13BFF" w:rsidRDefault="00D009AE" w:rsidP="00996ACF">
      <w:pPr>
        <w:spacing w:afterLines="0"/>
      </w:pPr>
    </w:p>
    <w:p w:rsidR="00996ACF" w:rsidRPr="00D13BFF" w:rsidRDefault="00996ACF" w:rsidP="00996ACF">
      <w:pPr>
        <w:spacing w:afterLines="0"/>
      </w:pPr>
      <w:r w:rsidRPr="00D13BFF">
        <w:t xml:space="preserve">The </w:t>
      </w:r>
      <w:r w:rsidR="00D17763" w:rsidRPr="00D13BFF">
        <w:t xml:space="preserve">public hospital combined rate </w:t>
      </w:r>
      <w:r w:rsidRPr="00D13BFF">
        <w:t xml:space="preserve">of </w:t>
      </w:r>
      <w:r w:rsidR="00D009AE" w:rsidRPr="00D13BFF">
        <w:t xml:space="preserve">HCA SAB for 2015-16 </w:t>
      </w:r>
      <w:r w:rsidR="00D17763" w:rsidRPr="00D13BFF">
        <w:t xml:space="preserve">was </w:t>
      </w:r>
      <w:r w:rsidR="00D009AE" w:rsidRPr="00D13BFF">
        <w:t>1.0</w:t>
      </w:r>
      <w:r w:rsidRPr="00D13BFF">
        <w:t xml:space="preserve"> per</w:t>
      </w:r>
      <w:r w:rsidR="00D009AE" w:rsidRPr="00D13BFF">
        <w:t xml:space="preserve"> 10 000 patient days (95% CI 0.7 – 1.4</w:t>
      </w:r>
      <w:r w:rsidR="00D17763" w:rsidRPr="00D13BFF">
        <w:t>).  The annual rate of HCA SAB has remained stable for the past five years.</w:t>
      </w:r>
    </w:p>
    <w:p w:rsidR="0035443D" w:rsidRDefault="0035443D" w:rsidP="0035443D">
      <w:pPr>
        <w:spacing w:after="336"/>
        <w:rPr>
          <w:rFonts w:asciiTheme="majorHAnsi" w:eastAsiaTheme="majorEastAsia" w:hAnsiTheme="majorHAnsi" w:cstheme="majorBidi"/>
          <w:b/>
          <w:bCs/>
          <w:color w:val="4F81BD" w:themeColor="accent1"/>
          <w:sz w:val="26"/>
          <w:szCs w:val="26"/>
        </w:rPr>
      </w:pPr>
      <w:bookmarkStart w:id="18" w:name="_Toc459796627"/>
      <w:bookmarkEnd w:id="16"/>
      <w:bookmarkEnd w:id="17"/>
      <w:r>
        <w:rPr>
          <w:rFonts w:asciiTheme="majorHAnsi" w:eastAsiaTheme="majorEastAsia" w:hAnsiTheme="majorHAnsi" w:cstheme="majorBidi"/>
          <w:b/>
          <w:bCs/>
          <w:color w:val="4F81BD" w:themeColor="accent1"/>
          <w:sz w:val="26"/>
          <w:szCs w:val="26"/>
        </w:rPr>
        <w:br w:type="page"/>
      </w:r>
    </w:p>
    <w:p w:rsidR="00B62635" w:rsidRPr="00B62635" w:rsidRDefault="00B62635" w:rsidP="00B62635">
      <w:pPr>
        <w:keepNext/>
        <w:keepLines/>
        <w:spacing w:before="200" w:after="336"/>
        <w:outlineLvl w:val="1"/>
        <w:rPr>
          <w:rFonts w:eastAsia="Times New Roman" w:cs="Times New Roman"/>
          <w:b/>
          <w:bCs/>
          <w:color w:val="4F81BD" w:themeColor="accent1"/>
          <w:sz w:val="32"/>
          <w:szCs w:val="32"/>
        </w:rPr>
      </w:pPr>
      <w:r w:rsidRPr="00B62635">
        <w:rPr>
          <w:rFonts w:eastAsiaTheme="majorEastAsia" w:cstheme="majorBidi"/>
          <w:b/>
          <w:bCs/>
          <w:sz w:val="32"/>
          <w:szCs w:val="32"/>
        </w:rPr>
        <w:t>Hospital rates</w:t>
      </w:r>
      <w:bookmarkEnd w:id="18"/>
      <w:r w:rsidRPr="00B62635">
        <w:rPr>
          <w:rFonts w:eastAsiaTheme="majorEastAsia" w:cstheme="majorBidi"/>
          <w:b/>
          <w:bCs/>
          <w:sz w:val="32"/>
          <w:szCs w:val="32"/>
        </w:rPr>
        <w:t xml:space="preserve"> </w:t>
      </w:r>
    </w:p>
    <w:p w:rsidR="00556020" w:rsidRPr="00BF2B46" w:rsidRDefault="00D009AE" w:rsidP="00BC4E4B">
      <w:pPr>
        <w:spacing w:afterLines="0"/>
      </w:pPr>
      <w:r w:rsidRPr="008E161C">
        <w:rPr>
          <w:noProof/>
        </w:rPr>
        <w:fldChar w:fldCharType="begin"/>
      </w:r>
      <w:r w:rsidRPr="008E161C">
        <w:rPr>
          <w:noProof/>
        </w:rPr>
        <w:instrText xml:space="preserve"> REF _Ref458589844 \h  \* MERGEFORMAT </w:instrText>
      </w:r>
      <w:r w:rsidRPr="008E161C">
        <w:rPr>
          <w:noProof/>
        </w:rPr>
      </w:r>
      <w:r w:rsidRPr="008E161C">
        <w:rPr>
          <w:noProof/>
        </w:rPr>
        <w:fldChar w:fldCharType="separate"/>
      </w:r>
      <w:r w:rsidR="00556020">
        <w:t>In</w:t>
      </w:r>
      <w:r w:rsidR="00556020">
        <w:rPr>
          <w:noProof/>
        </w:rPr>
        <w:t xml:space="preserve"> Q2 2016, the rate </w:t>
      </w:r>
      <w:r w:rsidR="00556020">
        <w:t>of HCA SAB for</w:t>
      </w:r>
      <w:r w:rsidR="00556020" w:rsidRPr="00556020">
        <w:rPr>
          <w:rFonts w:eastAsia="Times New Roman" w:cs="Times New Roman"/>
          <w:bCs/>
        </w:rPr>
        <w:t xml:space="preserve"> all</w:t>
      </w:r>
      <w:r w:rsidR="00556020" w:rsidRPr="00556020">
        <w:rPr>
          <w:rFonts w:eastAsia="Times New Roman" w:cs="Times New Roman"/>
          <w:bCs/>
          <w:noProof/>
        </w:rPr>
        <w:t xml:space="preserve"> </w:t>
      </w:r>
      <w:r w:rsidR="00556020">
        <w:t xml:space="preserve">public hospitals met the </w:t>
      </w:r>
      <w:r w:rsidR="00556020" w:rsidRPr="00BF2B46">
        <w:rPr>
          <w:rFonts w:eastAsia="Times New Roman" w:cs="Times New Roman"/>
        </w:rPr>
        <w:t>National Healthcare Agreement target of no more than two HCA SAB per10 000 patient days.</w:t>
      </w:r>
      <w:r w:rsidR="00556020" w:rsidRPr="00BF2B46">
        <w:t xml:space="preserve">  </w:t>
      </w:r>
    </w:p>
    <w:p w:rsidR="00B62635" w:rsidRPr="00B62635" w:rsidRDefault="00556020" w:rsidP="00B62635">
      <w:pPr>
        <w:spacing w:afterLines="0"/>
      </w:pPr>
      <w:r w:rsidRPr="00D13BFF">
        <w:t xml:space="preserve">Figure </w:t>
      </w:r>
      <w:r>
        <w:rPr>
          <w:noProof/>
        </w:rPr>
        <w:t>4</w:t>
      </w:r>
      <w:r w:rsidR="00D009AE" w:rsidRPr="008E161C">
        <w:rPr>
          <w:noProof/>
        </w:rPr>
        <w:fldChar w:fldCharType="end"/>
      </w:r>
      <w:r w:rsidR="00B62635" w:rsidRPr="008E161C">
        <w:t xml:space="preserve">presents the individual acute public hospitals </w:t>
      </w:r>
      <w:r w:rsidR="006B3F11">
        <w:t xml:space="preserve">rates of HCA SAB by quarter and </w:t>
      </w:r>
      <w:r w:rsidR="006B3F11" w:rsidRPr="008E161C">
        <w:t xml:space="preserve">Figure </w:t>
      </w:r>
      <w:r w:rsidR="006B3F11" w:rsidRPr="008E161C">
        <w:rPr>
          <w:noProof/>
        </w:rPr>
        <w:t>4</w:t>
      </w:r>
      <w:r w:rsidR="006B3F11">
        <w:rPr>
          <w:noProof/>
        </w:rPr>
        <w:t xml:space="preserve"> presents </w:t>
      </w:r>
      <w:r w:rsidR="00BC4E4B">
        <w:t>HCA SAB</w:t>
      </w:r>
      <w:r w:rsidR="006B3F11">
        <w:t xml:space="preserve"> for the individual acute public hospitals by financial year</w:t>
      </w:r>
      <w:r w:rsidR="00BC4E4B">
        <w:t xml:space="preserve">. </w:t>
      </w:r>
      <w:r w:rsidR="00B62635" w:rsidRPr="00B62635">
        <w:t xml:space="preserve">This information is also contained in tables within the appendix. </w:t>
      </w:r>
    </w:p>
    <w:p w:rsidR="00B62635" w:rsidRDefault="00B62635" w:rsidP="00B62635">
      <w:pPr>
        <w:tabs>
          <w:tab w:val="left" w:pos="567"/>
        </w:tabs>
        <w:spacing w:afterLines="0"/>
        <w:rPr>
          <w:rFonts w:eastAsia="Times New Roman" w:cs="Times New Roman"/>
          <w:bCs/>
        </w:rPr>
      </w:pPr>
      <w:bookmarkStart w:id="19" w:name="_Ref435167714"/>
      <w:bookmarkStart w:id="20" w:name="_Ref332962070"/>
      <w:bookmarkStart w:id="21" w:name="_Toc397505333"/>
      <w:bookmarkStart w:id="22" w:name="_Toc459796589"/>
      <w:r w:rsidRPr="00B62635">
        <w:rPr>
          <w:rFonts w:eastAsia="Times New Roman" w:cs="Times New Roman"/>
          <w:b/>
          <w:bCs/>
        </w:rPr>
        <w:t xml:space="preserve">Figure </w:t>
      </w:r>
      <w:r w:rsidRPr="00B62635">
        <w:rPr>
          <w:rFonts w:eastAsia="Times New Roman" w:cs="Times New Roman"/>
          <w:b/>
          <w:bCs/>
        </w:rPr>
        <w:fldChar w:fldCharType="begin"/>
      </w:r>
      <w:r w:rsidRPr="00B62635">
        <w:rPr>
          <w:rFonts w:eastAsia="Times New Roman" w:cs="Times New Roman"/>
          <w:b/>
          <w:bCs/>
        </w:rPr>
        <w:instrText xml:space="preserve"> SEQ Figure \* ARABIC </w:instrText>
      </w:r>
      <w:r w:rsidRPr="00B62635">
        <w:rPr>
          <w:rFonts w:eastAsia="Times New Roman" w:cs="Times New Roman"/>
          <w:b/>
          <w:bCs/>
        </w:rPr>
        <w:fldChar w:fldCharType="separate"/>
      </w:r>
      <w:r w:rsidR="00556020">
        <w:rPr>
          <w:rFonts w:eastAsia="Times New Roman" w:cs="Times New Roman"/>
          <w:b/>
          <w:bCs/>
          <w:noProof/>
        </w:rPr>
        <w:t>3</w:t>
      </w:r>
      <w:r w:rsidRPr="00B62635">
        <w:rPr>
          <w:rFonts w:eastAsia="Times New Roman" w:cs="Times New Roman"/>
          <w:b/>
          <w:bCs/>
        </w:rPr>
        <w:fldChar w:fldCharType="end"/>
      </w:r>
      <w:bookmarkEnd w:id="19"/>
      <w:r w:rsidRPr="00B62635">
        <w:rPr>
          <w:rFonts w:eastAsia="Times New Roman" w:cs="Times New Roman"/>
          <w:b/>
          <w:bCs/>
        </w:rPr>
        <w:t xml:space="preserve"> </w:t>
      </w:r>
      <w:r w:rsidRPr="00B62635">
        <w:rPr>
          <w:rFonts w:eastAsia="Times New Roman" w:cs="Times New Roman"/>
          <w:bCs/>
        </w:rPr>
        <w:t xml:space="preserve">Healthcare associated </w:t>
      </w:r>
      <w:r w:rsidRPr="00B62635">
        <w:rPr>
          <w:rFonts w:eastAsia="Times New Roman" w:cs="Times New Roman"/>
          <w:bCs/>
          <w:i/>
        </w:rPr>
        <w:t>Staphylococcus aureus</w:t>
      </w:r>
      <w:r w:rsidRPr="00B62635">
        <w:rPr>
          <w:rFonts w:eastAsia="Times New Roman" w:cs="Times New Roman"/>
          <w:bCs/>
        </w:rPr>
        <w:t xml:space="preserve"> bacteraemia - rate by quarter</w:t>
      </w:r>
      <w:bookmarkEnd w:id="20"/>
      <w:bookmarkEnd w:id="21"/>
      <w:bookmarkEnd w:id="22"/>
    </w:p>
    <w:p w:rsidR="00D009AE" w:rsidRPr="00D13BFF" w:rsidRDefault="00BC4E4B" w:rsidP="00B62635">
      <w:pPr>
        <w:tabs>
          <w:tab w:val="left" w:pos="567"/>
        </w:tabs>
        <w:spacing w:afterLines="0"/>
        <w:rPr>
          <w:rFonts w:eastAsia="Times New Roman" w:cs="Times New Roman"/>
          <w:bCs/>
        </w:rPr>
      </w:pPr>
      <w:r w:rsidRPr="00D13BFF">
        <w:rPr>
          <w:noProof/>
          <w:lang w:eastAsia="en-AU"/>
        </w:rPr>
        <w:drawing>
          <wp:inline distT="0" distB="0" distL="0" distR="0" wp14:anchorId="4973BD47" wp14:editId="78311B3D">
            <wp:extent cx="5734050" cy="2867025"/>
            <wp:effectExtent l="0" t="0" r="19050" b="9525"/>
            <wp:docPr id="9" name="Chart 9" descr="Text description below" title="Figure 3 - Staphylococcus aureus chart by quarter - Hospital Rat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C4E4B" w:rsidRPr="00BF2B46" w:rsidRDefault="00BF2B46" w:rsidP="00BC4E4B">
      <w:pPr>
        <w:spacing w:afterLines="0"/>
      </w:pPr>
      <w:bookmarkStart w:id="23" w:name="_Ref458589844"/>
      <w:r>
        <w:t xml:space="preserve">In Q2 2016, </w:t>
      </w:r>
      <w:r w:rsidR="00066DCB">
        <w:t xml:space="preserve">the rate of HCA SAB for all public hospitals met the </w:t>
      </w:r>
      <w:r w:rsidR="00BC4E4B" w:rsidRPr="00BF2B46">
        <w:rPr>
          <w:rFonts w:eastAsia="Times New Roman" w:cs="Times New Roman"/>
        </w:rPr>
        <w:t>National Healthcare Agreement target of no more than two HCA SAB per10 000 patient days.</w:t>
      </w:r>
      <w:r w:rsidR="00BC4E4B" w:rsidRPr="00BF2B46">
        <w:t xml:space="preserve">  </w:t>
      </w:r>
    </w:p>
    <w:p w:rsidR="00404139" w:rsidRPr="00D13BFF" w:rsidRDefault="00404139" w:rsidP="00404139">
      <w:pPr>
        <w:pStyle w:val="Caption"/>
        <w:rPr>
          <w:b w:val="0"/>
          <w:sz w:val="22"/>
          <w:szCs w:val="22"/>
        </w:rPr>
      </w:pPr>
      <w:bookmarkStart w:id="24" w:name="_Toc459796590"/>
      <w:r w:rsidRPr="00D13BFF">
        <w:rPr>
          <w:sz w:val="22"/>
          <w:szCs w:val="22"/>
        </w:rPr>
        <w:t xml:space="preserve">Figure </w:t>
      </w:r>
      <w:r w:rsidR="00996ACF" w:rsidRPr="00D13BFF">
        <w:rPr>
          <w:sz w:val="22"/>
          <w:szCs w:val="22"/>
        </w:rPr>
        <w:fldChar w:fldCharType="begin"/>
      </w:r>
      <w:r w:rsidR="00996ACF" w:rsidRPr="00D13BFF">
        <w:rPr>
          <w:sz w:val="22"/>
          <w:szCs w:val="22"/>
        </w:rPr>
        <w:instrText xml:space="preserve"> SEQ Figure \* ARABIC </w:instrText>
      </w:r>
      <w:r w:rsidR="00996ACF" w:rsidRPr="00D13BFF">
        <w:rPr>
          <w:sz w:val="22"/>
          <w:szCs w:val="22"/>
        </w:rPr>
        <w:fldChar w:fldCharType="separate"/>
      </w:r>
      <w:r w:rsidR="00556020">
        <w:rPr>
          <w:noProof/>
          <w:sz w:val="22"/>
          <w:szCs w:val="22"/>
        </w:rPr>
        <w:t>4</w:t>
      </w:r>
      <w:r w:rsidR="00996ACF" w:rsidRPr="00D13BFF">
        <w:rPr>
          <w:noProof/>
          <w:sz w:val="22"/>
          <w:szCs w:val="22"/>
        </w:rPr>
        <w:fldChar w:fldCharType="end"/>
      </w:r>
      <w:bookmarkEnd w:id="23"/>
      <w:r w:rsidRPr="00D13BFF">
        <w:rPr>
          <w:sz w:val="22"/>
          <w:szCs w:val="22"/>
        </w:rPr>
        <w:t xml:space="preserve">  </w:t>
      </w:r>
      <w:r w:rsidRPr="00D13BFF">
        <w:rPr>
          <w:b w:val="0"/>
          <w:bCs w:val="0"/>
          <w:sz w:val="22"/>
          <w:szCs w:val="22"/>
        </w:rPr>
        <w:t xml:space="preserve">Healthcare associated </w:t>
      </w:r>
      <w:r w:rsidRPr="00D13BFF">
        <w:rPr>
          <w:b w:val="0"/>
          <w:bCs w:val="0"/>
          <w:i/>
          <w:sz w:val="22"/>
          <w:szCs w:val="22"/>
        </w:rPr>
        <w:t>Staphylococcus aureus</w:t>
      </w:r>
      <w:r w:rsidRPr="00D13BFF">
        <w:rPr>
          <w:b w:val="0"/>
          <w:bCs w:val="0"/>
          <w:sz w:val="22"/>
          <w:szCs w:val="22"/>
        </w:rPr>
        <w:t xml:space="preserve"> bacteraemia - rate by financial year</w:t>
      </w:r>
      <w:bookmarkEnd w:id="24"/>
    </w:p>
    <w:p w:rsidR="00B62635" w:rsidRPr="00D13BFF" w:rsidRDefault="00D009AE" w:rsidP="00B62635">
      <w:pPr>
        <w:spacing w:afterLines="0" w:after="200" w:line="276" w:lineRule="auto"/>
        <w:rPr>
          <w:noProof/>
          <w:lang w:eastAsia="en-AU"/>
        </w:rPr>
      </w:pPr>
      <w:r w:rsidRPr="00D13BFF">
        <w:rPr>
          <w:noProof/>
          <w:lang w:eastAsia="en-AU"/>
        </w:rPr>
        <w:drawing>
          <wp:inline distT="0" distB="0" distL="0" distR="0" wp14:anchorId="0EEEFA2F" wp14:editId="01009CD8">
            <wp:extent cx="5734050" cy="2762250"/>
            <wp:effectExtent l="0" t="0" r="19050" b="19050"/>
            <wp:docPr id="8" name="Chart 8" descr="Text description below" title="Figure 4 - Staphylococcus aureus chart by financial year - Hospital Rat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62635" w:rsidRPr="00D13BFF" w:rsidRDefault="00BF2B46" w:rsidP="00996ACF">
      <w:pPr>
        <w:spacing w:afterLines="0"/>
      </w:pPr>
      <w:r>
        <w:t>The</w:t>
      </w:r>
      <w:r w:rsidR="00404139" w:rsidRPr="00D13BFF">
        <w:t xml:space="preserve"> annual HCA SAB rates for 2015 – 16 </w:t>
      </w:r>
      <w:r>
        <w:t xml:space="preserve">at each public hospital </w:t>
      </w:r>
      <w:r w:rsidR="00066DCB">
        <w:t xml:space="preserve">met </w:t>
      </w:r>
      <w:r w:rsidR="00B62635" w:rsidRPr="00D13BFF">
        <w:t xml:space="preserve">than </w:t>
      </w:r>
      <w:r w:rsidR="00B62635" w:rsidRPr="00D13BFF">
        <w:rPr>
          <w:rFonts w:eastAsia="Times New Roman" w:cs="Times New Roman"/>
        </w:rPr>
        <w:t>the National Healthcare Agreement target of no more than two HCA SAB per 10 000 patient days.</w:t>
      </w:r>
      <w:r>
        <w:rPr>
          <w:rFonts w:eastAsia="Times New Roman" w:cs="Times New Roman"/>
        </w:rPr>
        <w:t xml:space="preserve">  </w:t>
      </w:r>
    </w:p>
    <w:p w:rsidR="00B36CA9" w:rsidRPr="00D13BFF" w:rsidRDefault="00B36CA9" w:rsidP="00B36CA9">
      <w:pPr>
        <w:pStyle w:val="Heading2"/>
        <w:spacing w:before="0" w:afterLines="0" w:after="140"/>
        <w:rPr>
          <w:rFonts w:ascii="Gill Sans MT" w:hAnsi="Gill Sans MT"/>
          <w:color w:val="auto"/>
          <w:sz w:val="32"/>
          <w:szCs w:val="32"/>
        </w:rPr>
      </w:pPr>
      <w:bookmarkStart w:id="25" w:name="_Toc426637997"/>
      <w:bookmarkStart w:id="26" w:name="_Toc459796628"/>
      <w:r w:rsidRPr="00D13BFF">
        <w:rPr>
          <w:rFonts w:ascii="Gill Sans MT" w:hAnsi="Gill Sans MT"/>
          <w:color w:val="auto"/>
          <w:sz w:val="32"/>
          <w:szCs w:val="32"/>
        </w:rPr>
        <w:t>HCA SAB related to MSSA or MRSA</w:t>
      </w:r>
      <w:bookmarkEnd w:id="25"/>
      <w:bookmarkEnd w:id="26"/>
      <w:r w:rsidRPr="00D13BFF">
        <w:rPr>
          <w:rFonts w:ascii="Gill Sans MT" w:hAnsi="Gill Sans MT"/>
          <w:color w:val="auto"/>
          <w:sz w:val="32"/>
          <w:szCs w:val="32"/>
        </w:rPr>
        <w:t xml:space="preserve"> </w:t>
      </w:r>
    </w:p>
    <w:p w:rsidR="00B36CA9" w:rsidRPr="00D13BFF" w:rsidRDefault="00B36CA9" w:rsidP="00B36CA9">
      <w:pPr>
        <w:spacing w:afterLines="0"/>
      </w:pPr>
      <w:r w:rsidRPr="00D13BFF">
        <w:fldChar w:fldCharType="begin"/>
      </w:r>
      <w:r w:rsidRPr="00D13BFF">
        <w:instrText xml:space="preserve"> REF _Ref426701161 \h  \* MERGEFORMAT </w:instrText>
      </w:r>
      <w:r w:rsidRPr="00D13BFF">
        <w:fldChar w:fldCharType="separate"/>
      </w:r>
      <w:r w:rsidR="00556020" w:rsidRPr="00D13BFF">
        <w:t xml:space="preserve">Figure </w:t>
      </w:r>
      <w:r w:rsidR="00556020">
        <w:rPr>
          <w:noProof/>
        </w:rPr>
        <w:t>5</w:t>
      </w:r>
      <w:r w:rsidRPr="00D13BFF">
        <w:fldChar w:fldCharType="end"/>
      </w:r>
      <w:r w:rsidR="00503C52">
        <w:t xml:space="preserve"> presents HCA </w:t>
      </w:r>
      <w:r w:rsidRPr="00D13BFF">
        <w:t xml:space="preserve">SAB </w:t>
      </w:r>
      <w:r w:rsidR="00066DCB">
        <w:t xml:space="preserve">according to susceptibility; </w:t>
      </w:r>
      <w:r w:rsidRPr="00D13BFF">
        <w:t xml:space="preserve">methicillin sensitive </w:t>
      </w:r>
      <w:r w:rsidRPr="00D13BFF">
        <w:rPr>
          <w:i/>
        </w:rPr>
        <w:t>Staphylococcus aureus</w:t>
      </w:r>
      <w:r w:rsidRPr="00D13BFF">
        <w:t xml:space="preserve"> (HCA-MSSA) and methicillin resistant </w:t>
      </w:r>
      <w:r w:rsidRPr="00D13BFF">
        <w:rPr>
          <w:i/>
        </w:rPr>
        <w:t>Staphylococcus aureus</w:t>
      </w:r>
      <w:r w:rsidRPr="00D13BFF">
        <w:t xml:space="preserve"> (HCA-MRSA) by financial year.</w:t>
      </w:r>
    </w:p>
    <w:p w:rsidR="00B36CA9" w:rsidRPr="00D13BFF" w:rsidRDefault="00B36CA9" w:rsidP="00B36CA9">
      <w:pPr>
        <w:pStyle w:val="Caption"/>
        <w:spacing w:after="336"/>
        <w:rPr>
          <w:sz w:val="22"/>
          <w:szCs w:val="22"/>
        </w:rPr>
      </w:pPr>
      <w:bookmarkStart w:id="27" w:name="_Ref426701161"/>
      <w:bookmarkStart w:id="28" w:name="_Toc426702890"/>
      <w:bookmarkStart w:id="29" w:name="_Toc459796591"/>
      <w:r w:rsidRPr="00D13BFF">
        <w:rPr>
          <w:sz w:val="22"/>
          <w:szCs w:val="22"/>
        </w:rPr>
        <w:t xml:space="preserve">Figure </w:t>
      </w:r>
      <w:r w:rsidRPr="00D13BFF">
        <w:rPr>
          <w:sz w:val="22"/>
          <w:szCs w:val="22"/>
        </w:rPr>
        <w:fldChar w:fldCharType="begin"/>
      </w:r>
      <w:r w:rsidRPr="00D13BFF">
        <w:rPr>
          <w:sz w:val="22"/>
          <w:szCs w:val="22"/>
        </w:rPr>
        <w:instrText xml:space="preserve"> SEQ Figure \* ARABIC </w:instrText>
      </w:r>
      <w:r w:rsidRPr="00D13BFF">
        <w:rPr>
          <w:sz w:val="22"/>
          <w:szCs w:val="22"/>
        </w:rPr>
        <w:fldChar w:fldCharType="separate"/>
      </w:r>
      <w:r w:rsidR="00556020">
        <w:rPr>
          <w:noProof/>
          <w:sz w:val="22"/>
          <w:szCs w:val="22"/>
        </w:rPr>
        <w:t>5</w:t>
      </w:r>
      <w:r w:rsidRPr="00D13BFF">
        <w:rPr>
          <w:noProof/>
          <w:sz w:val="22"/>
          <w:szCs w:val="22"/>
        </w:rPr>
        <w:fldChar w:fldCharType="end"/>
      </w:r>
      <w:bookmarkEnd w:id="27"/>
      <w:r w:rsidRPr="00D13BFF">
        <w:rPr>
          <w:sz w:val="22"/>
          <w:szCs w:val="22"/>
        </w:rPr>
        <w:t xml:space="preserve"> </w:t>
      </w:r>
      <w:r w:rsidRPr="00D13BFF">
        <w:rPr>
          <w:b w:val="0"/>
          <w:sz w:val="22"/>
          <w:szCs w:val="22"/>
        </w:rPr>
        <w:t>Healthcare associated MSSA and MRSA SAB – number by financial year</w:t>
      </w:r>
      <w:bookmarkEnd w:id="28"/>
      <w:bookmarkEnd w:id="29"/>
    </w:p>
    <w:p w:rsidR="00B36CA9" w:rsidRPr="00D13BFF" w:rsidRDefault="00BC0483" w:rsidP="00B36CA9">
      <w:pPr>
        <w:spacing w:after="336"/>
        <w:rPr>
          <w:noProof/>
          <w:lang w:eastAsia="en-AU"/>
        </w:rPr>
      </w:pPr>
      <w:r w:rsidRPr="00D13BFF">
        <w:rPr>
          <w:noProof/>
          <w:lang w:eastAsia="en-AU"/>
        </w:rPr>
        <w:drawing>
          <wp:inline distT="0" distB="0" distL="0" distR="0" wp14:anchorId="0F8DADB0" wp14:editId="494CFAA7">
            <wp:extent cx="5731510" cy="3224764"/>
            <wp:effectExtent l="0" t="0" r="21590" b="13970"/>
            <wp:docPr id="10" name="Chart 10" descr="Text Description below" title="Figure 5 - MSSA and MRSA SAB Chart –  financial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62635" w:rsidRPr="00D13BFF" w:rsidRDefault="003A6F0D" w:rsidP="00B62635">
      <w:pPr>
        <w:spacing w:afterLines="0"/>
      </w:pPr>
      <w:r w:rsidRPr="00D13BFF">
        <w:t>The total number of HCA SAB remains low and stable</w:t>
      </w:r>
      <w:r w:rsidR="00066DCB">
        <w:t xml:space="preserve">, the majority remain </w:t>
      </w:r>
      <w:r w:rsidR="000D55A1">
        <w:t xml:space="preserve">MSSA </w:t>
      </w:r>
      <w:r w:rsidR="000D55A1" w:rsidRPr="00D13BFF">
        <w:t>but</w:t>
      </w:r>
      <w:r w:rsidRPr="00D13BFF">
        <w:t xml:space="preserve"> t</w:t>
      </w:r>
      <w:r w:rsidR="00B36CA9" w:rsidRPr="00D13BFF">
        <w:t xml:space="preserve">he </w:t>
      </w:r>
      <w:r w:rsidR="00BC0483" w:rsidRPr="00D13BFF">
        <w:t xml:space="preserve">proportion of </w:t>
      </w:r>
      <w:r w:rsidRPr="00D13BFF">
        <w:t xml:space="preserve">HCA SAB that are MRSA increased in 2015 – 16 </w:t>
      </w:r>
      <w:r w:rsidR="00066DCB">
        <w:t xml:space="preserve">financial year </w:t>
      </w:r>
      <w:r w:rsidRPr="00D13BFF">
        <w:t xml:space="preserve">compared with the previous three years.  </w:t>
      </w:r>
      <w:r w:rsidR="00B36CA9" w:rsidRPr="00D13BFF">
        <w:t xml:space="preserve"> </w:t>
      </w:r>
      <w:r w:rsidR="00B62635" w:rsidRPr="00D13BFF">
        <w:br w:type="page"/>
      </w:r>
    </w:p>
    <w:p w:rsidR="00B36CA9" w:rsidRPr="00D13BFF" w:rsidRDefault="00B36CA9" w:rsidP="00B36CA9">
      <w:pPr>
        <w:pStyle w:val="Heading2"/>
        <w:spacing w:before="0" w:afterLines="0" w:after="140"/>
        <w:rPr>
          <w:rFonts w:ascii="Gill Sans MT" w:hAnsi="Gill Sans MT"/>
          <w:color w:val="auto"/>
          <w:sz w:val="32"/>
          <w:szCs w:val="32"/>
        </w:rPr>
      </w:pPr>
      <w:bookmarkStart w:id="30" w:name="_Toc459796629"/>
      <w:r w:rsidRPr="00D13BFF">
        <w:rPr>
          <w:rFonts w:ascii="Gill Sans MT" w:hAnsi="Gill Sans MT"/>
          <w:color w:val="auto"/>
          <w:sz w:val="32"/>
          <w:szCs w:val="32"/>
        </w:rPr>
        <w:t>HCA SAB related to IV devices</w:t>
      </w:r>
      <w:bookmarkEnd w:id="30"/>
    </w:p>
    <w:p w:rsidR="00B36CA9" w:rsidRPr="00D13BFF" w:rsidRDefault="00B36CA9" w:rsidP="00B36CA9">
      <w:pPr>
        <w:spacing w:afterLines="0"/>
      </w:pPr>
      <w:r w:rsidRPr="00D13BFF">
        <w:t>Healthcare associated SAB are classified where possible into four categories</w:t>
      </w:r>
      <w:r w:rsidR="00665D07">
        <w:t xml:space="preserve">: </w:t>
      </w:r>
      <w:r w:rsidR="00066DCB">
        <w:t xml:space="preserve">SAB related to </w:t>
      </w:r>
      <w:r w:rsidRPr="00D13BFF">
        <w:t xml:space="preserve">an indwelling </w:t>
      </w:r>
      <w:r w:rsidR="00066DCB">
        <w:t xml:space="preserve">medical </w:t>
      </w:r>
      <w:r w:rsidRPr="00D13BFF">
        <w:t>device, a surgical</w:t>
      </w:r>
      <w:r w:rsidR="00066DCB">
        <w:t xml:space="preserve"> site</w:t>
      </w:r>
      <w:r w:rsidRPr="00D13BFF">
        <w:t xml:space="preserve">, invasive instrumentation or </w:t>
      </w:r>
      <w:r w:rsidR="00066DCB">
        <w:t xml:space="preserve">cytotoxic therapy induced </w:t>
      </w:r>
      <w:r w:rsidRPr="00D13BFF">
        <w:t>neutropenia. TIPCU reports annually on all HCA SAB related to one type of indwelling device</w:t>
      </w:r>
      <w:r w:rsidR="00066DCB">
        <w:t xml:space="preserve"> </w:t>
      </w:r>
      <w:r w:rsidRPr="00D13BFF">
        <w:t>– intravenous devices (IV)</w:t>
      </w:r>
      <w:r w:rsidR="00066DCB">
        <w:t xml:space="preserve"> devices</w:t>
      </w:r>
      <w:r w:rsidRPr="00D13BFF">
        <w:t xml:space="preserve">. </w:t>
      </w:r>
      <w:r w:rsidRPr="00D13BFF">
        <w:rPr>
          <w:b/>
        </w:rPr>
        <w:fldChar w:fldCharType="begin"/>
      </w:r>
      <w:r w:rsidRPr="00D13BFF">
        <w:rPr>
          <w:b/>
        </w:rPr>
        <w:instrText xml:space="preserve"> REF _Ref426701198 \h  \* MERGEFORMAT </w:instrText>
      </w:r>
      <w:r w:rsidRPr="00D13BFF">
        <w:rPr>
          <w:b/>
        </w:rPr>
      </w:r>
      <w:r w:rsidRPr="00D13BFF">
        <w:rPr>
          <w:b/>
        </w:rPr>
        <w:fldChar w:fldCharType="separate"/>
      </w:r>
      <w:r w:rsidR="00556020" w:rsidRPr="00D13BFF">
        <w:t xml:space="preserve">Figure </w:t>
      </w:r>
      <w:r w:rsidR="00556020">
        <w:rPr>
          <w:noProof/>
        </w:rPr>
        <w:t>6</w:t>
      </w:r>
      <w:r w:rsidRPr="00D13BFF">
        <w:rPr>
          <w:b/>
        </w:rPr>
        <w:fldChar w:fldCharType="end"/>
      </w:r>
      <w:r w:rsidRPr="00D13BFF">
        <w:rPr>
          <w:b/>
        </w:rPr>
        <w:t xml:space="preserve"> </w:t>
      </w:r>
      <w:r w:rsidRPr="00D13BFF">
        <w:t>presents the number and percentage of IV device related HCA SAB.</w:t>
      </w:r>
    </w:p>
    <w:p w:rsidR="00B36CA9" w:rsidRDefault="00B36CA9" w:rsidP="00B36CA9">
      <w:pPr>
        <w:pStyle w:val="Caption"/>
        <w:spacing w:after="336"/>
        <w:rPr>
          <w:b w:val="0"/>
          <w:sz w:val="22"/>
          <w:szCs w:val="22"/>
        </w:rPr>
      </w:pPr>
      <w:bookmarkStart w:id="31" w:name="_Ref426701198"/>
      <w:bookmarkStart w:id="32" w:name="_Toc397505331"/>
      <w:bookmarkStart w:id="33" w:name="_Toc426702891"/>
      <w:bookmarkStart w:id="34" w:name="_Toc459796592"/>
      <w:r w:rsidRPr="00D13BFF">
        <w:rPr>
          <w:sz w:val="22"/>
          <w:szCs w:val="22"/>
        </w:rPr>
        <w:t xml:space="preserve">Figure </w:t>
      </w:r>
      <w:r w:rsidRPr="00D13BFF">
        <w:rPr>
          <w:sz w:val="22"/>
          <w:szCs w:val="22"/>
        </w:rPr>
        <w:fldChar w:fldCharType="begin"/>
      </w:r>
      <w:r w:rsidRPr="00D13BFF">
        <w:rPr>
          <w:sz w:val="22"/>
          <w:szCs w:val="22"/>
        </w:rPr>
        <w:instrText xml:space="preserve"> SEQ Figure \* ARABIC </w:instrText>
      </w:r>
      <w:r w:rsidRPr="00D13BFF">
        <w:rPr>
          <w:sz w:val="22"/>
          <w:szCs w:val="22"/>
        </w:rPr>
        <w:fldChar w:fldCharType="separate"/>
      </w:r>
      <w:r w:rsidR="00556020">
        <w:rPr>
          <w:noProof/>
          <w:sz w:val="22"/>
          <w:szCs w:val="22"/>
        </w:rPr>
        <w:t>6</w:t>
      </w:r>
      <w:r w:rsidRPr="00D13BFF">
        <w:rPr>
          <w:sz w:val="22"/>
          <w:szCs w:val="22"/>
        </w:rPr>
        <w:fldChar w:fldCharType="end"/>
      </w:r>
      <w:bookmarkEnd w:id="31"/>
      <w:r w:rsidRPr="00D13BFF">
        <w:rPr>
          <w:sz w:val="22"/>
          <w:szCs w:val="22"/>
        </w:rPr>
        <w:t xml:space="preserve"> </w:t>
      </w:r>
      <w:r w:rsidR="00066DCB">
        <w:rPr>
          <w:b w:val="0"/>
          <w:sz w:val="22"/>
          <w:szCs w:val="22"/>
        </w:rPr>
        <w:t xml:space="preserve">Total IV device related HCA </w:t>
      </w:r>
      <w:r w:rsidRPr="00D13BFF">
        <w:rPr>
          <w:b w:val="0"/>
          <w:sz w:val="22"/>
          <w:szCs w:val="22"/>
        </w:rPr>
        <w:t>SAB</w:t>
      </w:r>
      <w:bookmarkEnd w:id="32"/>
      <w:r w:rsidRPr="00D13BFF">
        <w:rPr>
          <w:b w:val="0"/>
          <w:sz w:val="22"/>
          <w:szCs w:val="22"/>
        </w:rPr>
        <w:t xml:space="preserve"> – number and percentage by financial year</w:t>
      </w:r>
      <w:bookmarkEnd w:id="33"/>
      <w:bookmarkEnd w:id="34"/>
    </w:p>
    <w:p w:rsidR="00B36CA9" w:rsidRPr="00D13BFF" w:rsidRDefault="00DB7814" w:rsidP="00B36CA9">
      <w:pPr>
        <w:spacing w:after="336"/>
      </w:pPr>
      <w:r>
        <w:rPr>
          <w:noProof/>
          <w:lang w:eastAsia="en-AU"/>
        </w:rPr>
        <w:drawing>
          <wp:inline distT="0" distB="0" distL="0" distR="0" wp14:anchorId="2938A31C" wp14:editId="7CD6416F">
            <wp:extent cx="5731510" cy="3210602"/>
            <wp:effectExtent l="0" t="0" r="21590" b="27940"/>
            <wp:docPr id="15" name="Chart 15" descr="Text Description below" title="Figure 6 - Total IV device related HCA SAB Chart –  financial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36CA9" w:rsidRPr="00D13BFF" w:rsidRDefault="00B36CA9" w:rsidP="00B36CA9">
      <w:pPr>
        <w:spacing w:afterLines="0"/>
      </w:pPr>
      <w:r w:rsidRPr="00D13BFF">
        <w:t xml:space="preserve">The number of HCA SAB secondary to an IV device has </w:t>
      </w:r>
      <w:r w:rsidR="005C24E5" w:rsidRPr="00D13BFF">
        <w:t>relatively remained stable over the past five</w:t>
      </w:r>
      <w:r w:rsidRPr="00D13BFF">
        <w:t xml:space="preserve"> years</w:t>
      </w:r>
      <w:r w:rsidR="008F201D" w:rsidRPr="00D13BFF">
        <w:t>.</w:t>
      </w:r>
    </w:p>
    <w:p w:rsidR="0035443D" w:rsidRDefault="00D83AFE" w:rsidP="0035443D">
      <w:pPr>
        <w:spacing w:afterLines="0" w:after="336"/>
      </w:pPr>
      <w:r>
        <w:t>I</w:t>
      </w:r>
      <w:r w:rsidR="00B36CA9" w:rsidRPr="00D13BFF">
        <w:t xml:space="preserve">nfection prevention strategies such as intravenous device management procedures and processes, in conjunction with </w:t>
      </w:r>
      <w:r>
        <w:t xml:space="preserve">good adherence to </w:t>
      </w:r>
      <w:r w:rsidR="00B36CA9" w:rsidRPr="00D13BFF">
        <w:t>aseptic</w:t>
      </w:r>
      <w:r w:rsidR="00066DCB">
        <w:t xml:space="preserve"> non-touch</w:t>
      </w:r>
      <w:r w:rsidR="00B36CA9" w:rsidRPr="00D13BFF">
        <w:t xml:space="preserve"> technique</w:t>
      </w:r>
      <w:r>
        <w:t xml:space="preserve"> principles</w:t>
      </w:r>
      <w:r w:rsidR="00B36CA9" w:rsidRPr="00D13BFF">
        <w:t xml:space="preserve">, can reduce the risk of patients developing a SAB secondary to an IV device. These strategies should be implemented and evaluated </w:t>
      </w:r>
      <w:r>
        <w:t>i</w:t>
      </w:r>
      <w:r w:rsidR="00B36CA9" w:rsidRPr="00D13BFF">
        <w:t xml:space="preserve">n all healthcare settings where IV devices are used. </w:t>
      </w:r>
    </w:p>
    <w:p w:rsidR="0035443D" w:rsidRDefault="0035443D" w:rsidP="0035443D">
      <w:pPr>
        <w:spacing w:after="336"/>
      </w:pPr>
      <w:r>
        <w:br w:type="page"/>
      </w:r>
    </w:p>
    <w:p w:rsidR="00B36CA9" w:rsidRPr="00D13BFF" w:rsidRDefault="00B36CA9" w:rsidP="0035443D">
      <w:pPr>
        <w:spacing w:afterLines="0" w:after="336"/>
        <w:rPr>
          <w:rFonts w:eastAsiaTheme="majorEastAsia" w:cstheme="majorBidi"/>
          <w:b/>
          <w:bCs/>
          <w:sz w:val="32"/>
          <w:szCs w:val="32"/>
        </w:rPr>
      </w:pPr>
      <w:r w:rsidRPr="00D13BFF">
        <w:rPr>
          <w:rFonts w:eastAsiaTheme="majorEastAsia" w:cstheme="majorBidi"/>
          <w:b/>
          <w:bCs/>
          <w:sz w:val="32"/>
          <w:szCs w:val="32"/>
        </w:rPr>
        <w:t>Community associated SAB</w:t>
      </w:r>
    </w:p>
    <w:p w:rsidR="00B36CA9" w:rsidRPr="00D13BFF" w:rsidRDefault="00B36CA9" w:rsidP="00B36CA9">
      <w:pPr>
        <w:spacing w:afterLines="0"/>
      </w:pPr>
      <w:r w:rsidRPr="00D13BFF">
        <w:rPr>
          <w:b/>
        </w:rPr>
        <w:fldChar w:fldCharType="begin"/>
      </w:r>
      <w:r w:rsidRPr="00D13BFF">
        <w:rPr>
          <w:b/>
        </w:rPr>
        <w:instrText xml:space="preserve"> REF _Ref426701337 \h  \* MERGEFORMAT </w:instrText>
      </w:r>
      <w:r w:rsidRPr="00D13BFF">
        <w:rPr>
          <w:b/>
        </w:rPr>
      </w:r>
      <w:r w:rsidRPr="00D13BFF">
        <w:rPr>
          <w:b/>
        </w:rPr>
        <w:fldChar w:fldCharType="separate"/>
      </w:r>
      <w:r w:rsidR="00556020" w:rsidRPr="00556020">
        <w:rPr>
          <w:b/>
        </w:rPr>
        <w:t xml:space="preserve">Figure </w:t>
      </w:r>
      <w:r w:rsidR="00556020" w:rsidRPr="00556020">
        <w:rPr>
          <w:b/>
          <w:noProof/>
        </w:rPr>
        <w:t>7</w:t>
      </w:r>
      <w:r w:rsidRPr="00D13BFF">
        <w:rPr>
          <w:b/>
        </w:rPr>
        <w:fldChar w:fldCharType="end"/>
      </w:r>
      <w:r w:rsidRPr="00D13BFF">
        <w:t xml:space="preserve"> and </w:t>
      </w:r>
      <w:r w:rsidRPr="00D13BFF">
        <w:rPr>
          <w:b/>
        </w:rPr>
        <w:fldChar w:fldCharType="begin"/>
      </w:r>
      <w:r w:rsidRPr="00D13BFF">
        <w:rPr>
          <w:b/>
        </w:rPr>
        <w:instrText xml:space="preserve"> REF _Ref426701445 \h  \* MERGEFORMAT </w:instrText>
      </w:r>
      <w:r w:rsidRPr="00D13BFF">
        <w:rPr>
          <w:b/>
        </w:rPr>
      </w:r>
      <w:r w:rsidRPr="00D13BFF">
        <w:rPr>
          <w:b/>
        </w:rPr>
        <w:fldChar w:fldCharType="separate"/>
      </w:r>
      <w:r w:rsidR="00556020" w:rsidRPr="00556020">
        <w:rPr>
          <w:b/>
        </w:rPr>
        <w:t xml:space="preserve">Figure </w:t>
      </w:r>
      <w:r w:rsidR="00556020" w:rsidRPr="00556020">
        <w:rPr>
          <w:b/>
          <w:noProof/>
        </w:rPr>
        <w:t>8</w:t>
      </w:r>
      <w:r w:rsidRPr="00D13BFF">
        <w:rPr>
          <w:b/>
        </w:rPr>
        <w:fldChar w:fldCharType="end"/>
      </w:r>
      <w:r w:rsidRPr="00D13BFF">
        <w:t xml:space="preserve"> present the Tasmanian number and incidence/100 000 population of community associated SAB (CA-SAB) by financial year and presents CA-SAB numbers </w:t>
      </w:r>
      <w:r w:rsidR="00066DCB">
        <w:t>according to antibiotic susceptibility;</w:t>
      </w:r>
      <w:r w:rsidRPr="00D13BFF">
        <w:t xml:space="preserve"> methicillin sensitive </w:t>
      </w:r>
      <w:r w:rsidRPr="00D13BFF">
        <w:rPr>
          <w:i/>
        </w:rPr>
        <w:t>Staphylococcus aureus</w:t>
      </w:r>
      <w:r w:rsidRPr="00D13BFF">
        <w:t xml:space="preserve"> (CA-MSSA) and methicillin resistant </w:t>
      </w:r>
      <w:r w:rsidRPr="00D13BFF">
        <w:rPr>
          <w:i/>
        </w:rPr>
        <w:t>Staphylococcus aureus</w:t>
      </w:r>
      <w:r w:rsidRPr="00D13BFF">
        <w:t xml:space="preserve"> (CA-MRSA).</w:t>
      </w:r>
    </w:p>
    <w:p w:rsidR="00B36CA9" w:rsidRPr="00D13BFF" w:rsidRDefault="00B36CA9" w:rsidP="00B36CA9">
      <w:pPr>
        <w:pStyle w:val="Caption"/>
        <w:spacing w:after="336"/>
        <w:rPr>
          <w:b w:val="0"/>
          <w:sz w:val="22"/>
          <w:szCs w:val="22"/>
        </w:rPr>
      </w:pPr>
      <w:bookmarkStart w:id="35" w:name="_Ref426701337"/>
      <w:bookmarkStart w:id="36" w:name="_Toc397505335"/>
      <w:bookmarkStart w:id="37" w:name="_Toc426702892"/>
      <w:bookmarkStart w:id="38" w:name="_Toc459796593"/>
      <w:r w:rsidRPr="00D13BFF">
        <w:rPr>
          <w:sz w:val="22"/>
          <w:szCs w:val="22"/>
        </w:rPr>
        <w:t xml:space="preserve">Figure </w:t>
      </w:r>
      <w:r w:rsidRPr="00D13BFF">
        <w:rPr>
          <w:sz w:val="22"/>
          <w:szCs w:val="22"/>
        </w:rPr>
        <w:fldChar w:fldCharType="begin"/>
      </w:r>
      <w:r w:rsidRPr="00D13BFF">
        <w:rPr>
          <w:sz w:val="22"/>
          <w:szCs w:val="22"/>
        </w:rPr>
        <w:instrText xml:space="preserve"> SEQ Figure \* ARABIC </w:instrText>
      </w:r>
      <w:r w:rsidRPr="00D13BFF">
        <w:rPr>
          <w:sz w:val="22"/>
          <w:szCs w:val="22"/>
        </w:rPr>
        <w:fldChar w:fldCharType="separate"/>
      </w:r>
      <w:r w:rsidR="00556020">
        <w:rPr>
          <w:noProof/>
          <w:sz w:val="22"/>
          <w:szCs w:val="22"/>
        </w:rPr>
        <w:t>7</w:t>
      </w:r>
      <w:r w:rsidRPr="00D13BFF">
        <w:rPr>
          <w:sz w:val="22"/>
          <w:szCs w:val="22"/>
        </w:rPr>
        <w:fldChar w:fldCharType="end"/>
      </w:r>
      <w:bookmarkEnd w:id="35"/>
      <w:r w:rsidRPr="00D13BFF">
        <w:rPr>
          <w:sz w:val="22"/>
          <w:szCs w:val="22"/>
        </w:rPr>
        <w:t xml:space="preserve"> </w:t>
      </w:r>
      <w:r w:rsidRPr="00D13BFF">
        <w:rPr>
          <w:b w:val="0"/>
          <w:sz w:val="22"/>
          <w:szCs w:val="22"/>
        </w:rPr>
        <w:t>Community associated CA-SAB – number and incidence/100 000 population</w:t>
      </w:r>
      <w:bookmarkEnd w:id="36"/>
      <w:bookmarkEnd w:id="37"/>
      <w:bookmarkEnd w:id="38"/>
    </w:p>
    <w:p w:rsidR="00B36CA9" w:rsidRPr="00D13BFF" w:rsidRDefault="000B117C" w:rsidP="00B36CA9">
      <w:pPr>
        <w:spacing w:after="336"/>
      </w:pPr>
      <w:r w:rsidRPr="00D13BFF">
        <w:rPr>
          <w:noProof/>
          <w:lang w:eastAsia="en-AU"/>
        </w:rPr>
        <w:drawing>
          <wp:inline distT="0" distB="0" distL="0" distR="0" wp14:anchorId="42993E7A" wp14:editId="0BFEB19B">
            <wp:extent cx="5734050" cy="2371725"/>
            <wp:effectExtent l="0" t="0" r="19050" b="9525"/>
            <wp:docPr id="13" name="Chart 13" descr="Combined Figure 7 and 8 text description provided below Figure 8" title="Figure 7 - Community associated CA-SAB Chart – number and incidence/100 000 popul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36CA9" w:rsidRPr="00D13BFF" w:rsidRDefault="00B36CA9" w:rsidP="00B36CA9">
      <w:pPr>
        <w:pStyle w:val="Caption"/>
        <w:spacing w:after="336"/>
        <w:rPr>
          <w:bCs w:val="0"/>
          <w:sz w:val="22"/>
          <w:szCs w:val="22"/>
        </w:rPr>
      </w:pPr>
      <w:bookmarkStart w:id="39" w:name="_Ref426701445"/>
      <w:bookmarkStart w:id="40" w:name="_Toc397505336"/>
      <w:bookmarkStart w:id="41" w:name="_Toc426702893"/>
      <w:bookmarkStart w:id="42" w:name="_Toc459796594"/>
      <w:r w:rsidRPr="00D13BFF">
        <w:rPr>
          <w:sz w:val="22"/>
          <w:szCs w:val="22"/>
        </w:rPr>
        <w:t xml:space="preserve">Figure </w:t>
      </w:r>
      <w:r w:rsidRPr="00D13BFF">
        <w:rPr>
          <w:sz w:val="22"/>
          <w:szCs w:val="22"/>
        </w:rPr>
        <w:fldChar w:fldCharType="begin"/>
      </w:r>
      <w:r w:rsidRPr="00D13BFF">
        <w:rPr>
          <w:sz w:val="22"/>
          <w:szCs w:val="22"/>
        </w:rPr>
        <w:instrText xml:space="preserve"> SEQ Figure \* ARABIC </w:instrText>
      </w:r>
      <w:r w:rsidRPr="00D13BFF">
        <w:rPr>
          <w:sz w:val="22"/>
          <w:szCs w:val="22"/>
        </w:rPr>
        <w:fldChar w:fldCharType="separate"/>
      </w:r>
      <w:r w:rsidR="00556020">
        <w:rPr>
          <w:noProof/>
          <w:sz w:val="22"/>
          <w:szCs w:val="22"/>
        </w:rPr>
        <w:t>8</w:t>
      </w:r>
      <w:r w:rsidRPr="00D13BFF">
        <w:rPr>
          <w:sz w:val="22"/>
          <w:szCs w:val="22"/>
        </w:rPr>
        <w:fldChar w:fldCharType="end"/>
      </w:r>
      <w:bookmarkEnd w:id="39"/>
      <w:r w:rsidRPr="00D13BFF">
        <w:rPr>
          <w:sz w:val="22"/>
          <w:szCs w:val="22"/>
        </w:rPr>
        <w:t xml:space="preserve"> </w:t>
      </w:r>
      <w:r w:rsidRPr="00D13BFF">
        <w:rPr>
          <w:b w:val="0"/>
          <w:bCs w:val="0"/>
          <w:sz w:val="22"/>
          <w:szCs w:val="22"/>
        </w:rPr>
        <w:t>Community associated CA-SAB – number of MSSA and MRSA/</w:t>
      </w:r>
      <w:bookmarkEnd w:id="40"/>
      <w:r w:rsidRPr="00D13BFF">
        <w:rPr>
          <w:b w:val="0"/>
          <w:bCs w:val="0"/>
          <w:sz w:val="22"/>
          <w:szCs w:val="22"/>
        </w:rPr>
        <w:t>financial year</w:t>
      </w:r>
      <w:bookmarkEnd w:id="41"/>
      <w:bookmarkEnd w:id="42"/>
    </w:p>
    <w:p w:rsidR="00B36CA9" w:rsidRPr="00D13BFF" w:rsidRDefault="000B117C" w:rsidP="00B36CA9">
      <w:pPr>
        <w:spacing w:after="336"/>
      </w:pPr>
      <w:r w:rsidRPr="00D13BFF">
        <w:rPr>
          <w:noProof/>
          <w:lang w:eastAsia="en-AU"/>
        </w:rPr>
        <w:drawing>
          <wp:inline distT="0" distB="0" distL="0" distR="0" wp14:anchorId="44F02E45" wp14:editId="4D2BF84A">
            <wp:extent cx="5734050" cy="2466975"/>
            <wp:effectExtent l="0" t="0" r="19050" b="9525"/>
            <wp:docPr id="14" name="Chart 14" descr="Combined Figure 7 and 8 text description provided below" title="Figure 8 - Community associated CA-SAB Chart – number of MSSA and MRSA/financial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36CA9" w:rsidRPr="00D13BFF" w:rsidRDefault="00DB7814" w:rsidP="00B36CA9">
      <w:pPr>
        <w:spacing w:afterLines="0"/>
      </w:pPr>
      <w:r>
        <w:t xml:space="preserve">There are three times as many CA-SAB than HCA SAB and was </w:t>
      </w:r>
      <w:r w:rsidR="000B117C" w:rsidRPr="00D13BFF">
        <w:t xml:space="preserve">been an increase </w:t>
      </w:r>
      <w:r w:rsidR="00B36CA9" w:rsidRPr="00D13BFF">
        <w:t xml:space="preserve">in both the number and </w:t>
      </w:r>
      <w:r w:rsidR="000B117C" w:rsidRPr="00D13BFF">
        <w:t xml:space="preserve">incidence </w:t>
      </w:r>
      <w:r w:rsidR="00B36CA9" w:rsidRPr="00D13BFF">
        <w:t xml:space="preserve">of </w:t>
      </w:r>
      <w:r>
        <w:t>CA-</w:t>
      </w:r>
      <w:r w:rsidR="000B117C" w:rsidRPr="00D13BFF">
        <w:t>SAB during 2015-16 compared to 2014-15</w:t>
      </w:r>
      <w:r w:rsidR="00B36CA9" w:rsidRPr="00D13BFF">
        <w:t xml:space="preserve">. </w:t>
      </w:r>
      <w:r>
        <w:t xml:space="preserve">The </w:t>
      </w:r>
      <w:r w:rsidR="00B36CA9" w:rsidRPr="00D13BFF">
        <w:t>reason</w:t>
      </w:r>
      <w:r w:rsidR="000B117C" w:rsidRPr="00D13BFF">
        <w:t>/</w:t>
      </w:r>
      <w:r w:rsidR="00B36CA9" w:rsidRPr="00D13BFF">
        <w:t xml:space="preserve">s for </w:t>
      </w:r>
      <w:r w:rsidR="00160E8E">
        <w:t>the</w:t>
      </w:r>
      <w:r w:rsidR="000B117C" w:rsidRPr="00D13BFF">
        <w:t xml:space="preserve"> increase</w:t>
      </w:r>
      <w:r>
        <w:t xml:space="preserve"> </w:t>
      </w:r>
      <w:proofErr w:type="gramStart"/>
      <w:r>
        <w:t>are</w:t>
      </w:r>
      <w:proofErr w:type="gramEnd"/>
      <w:r>
        <w:t xml:space="preserve"> unclear</w:t>
      </w:r>
      <w:r w:rsidR="000B117C" w:rsidRPr="00D13BFF">
        <w:t xml:space="preserve"> </w:t>
      </w:r>
      <w:r w:rsidR="00B36CA9" w:rsidRPr="00D13BFF">
        <w:t xml:space="preserve">but </w:t>
      </w:r>
      <w:r w:rsidR="000D55A1">
        <w:t>it is</w:t>
      </w:r>
      <w:r w:rsidR="00160E8E">
        <w:t xml:space="preserve"> not region</w:t>
      </w:r>
      <w:r w:rsidR="00B36CA9" w:rsidRPr="00D13BFF">
        <w:t xml:space="preserve"> or</w:t>
      </w:r>
      <w:r w:rsidR="00160E8E">
        <w:t xml:space="preserve"> </w:t>
      </w:r>
      <w:r w:rsidR="00B36CA9" w:rsidRPr="00D13BFF">
        <w:t xml:space="preserve">age </w:t>
      </w:r>
      <w:r w:rsidR="00160E8E">
        <w:t>specific</w:t>
      </w:r>
      <w:r w:rsidR="00B36CA9" w:rsidRPr="00D13BFF">
        <w:t xml:space="preserve">. </w:t>
      </w:r>
      <w:r w:rsidR="005C24E5" w:rsidRPr="00D13BFF">
        <w:t>It is not possible to compare rates with other jurisdictions as Tasmania is the only state/territory where SAB is a notifiable disease.</w:t>
      </w:r>
      <w:r>
        <w:t xml:space="preserve"> </w:t>
      </w:r>
    </w:p>
    <w:p w:rsidR="00B36CA9" w:rsidRPr="00D13BFF" w:rsidRDefault="00B36CA9" w:rsidP="00B36CA9">
      <w:pPr>
        <w:spacing w:afterLines="0"/>
      </w:pPr>
      <w:r w:rsidRPr="00D13BFF">
        <w:t xml:space="preserve">The </w:t>
      </w:r>
      <w:r w:rsidR="00066DCB">
        <w:t xml:space="preserve">majority of CA-SAB is due to MSSA with the </w:t>
      </w:r>
      <w:r w:rsidRPr="00D13BFF">
        <w:t>number</w:t>
      </w:r>
      <w:r w:rsidR="00066DCB">
        <w:t>s</w:t>
      </w:r>
      <w:r w:rsidRPr="00D13BFF">
        <w:t xml:space="preserve"> o</w:t>
      </w:r>
      <w:r w:rsidR="00066DCB">
        <w:t xml:space="preserve">f CA-SAB caused by MRSA remaining </w:t>
      </w:r>
      <w:r w:rsidRPr="00D13BFF">
        <w:t>low.</w:t>
      </w:r>
      <w:r w:rsidR="005C24E5" w:rsidRPr="00D13BFF">
        <w:t xml:space="preserve"> </w:t>
      </w:r>
    </w:p>
    <w:p w:rsidR="00B62635" w:rsidRPr="00B62635" w:rsidRDefault="00B62635" w:rsidP="00B62635">
      <w:pPr>
        <w:keepNext/>
        <w:keepLines/>
        <w:spacing w:before="480" w:after="336"/>
        <w:outlineLvl w:val="0"/>
        <w:rPr>
          <w:rFonts w:eastAsiaTheme="majorEastAsia" w:cstheme="majorBidi"/>
          <w:b/>
          <w:bCs/>
          <w:sz w:val="40"/>
          <w:szCs w:val="40"/>
        </w:rPr>
      </w:pPr>
      <w:bookmarkStart w:id="43" w:name="_Toc459796630"/>
      <w:r w:rsidRPr="00B62635">
        <w:rPr>
          <w:rFonts w:eastAsiaTheme="majorEastAsia" w:cstheme="majorBidi"/>
          <w:b/>
          <w:bCs/>
          <w:i/>
          <w:sz w:val="40"/>
          <w:szCs w:val="40"/>
        </w:rPr>
        <w:t>Clostridium difficile</w:t>
      </w:r>
      <w:r w:rsidRPr="00B62635">
        <w:rPr>
          <w:rFonts w:eastAsiaTheme="majorEastAsia" w:cstheme="majorBidi"/>
          <w:b/>
          <w:bCs/>
          <w:sz w:val="40"/>
          <w:szCs w:val="40"/>
        </w:rPr>
        <w:t xml:space="preserve"> infection</w:t>
      </w:r>
      <w:bookmarkEnd w:id="43"/>
      <w:r w:rsidRPr="00B62635">
        <w:rPr>
          <w:rFonts w:eastAsiaTheme="majorEastAsia" w:cstheme="majorBidi"/>
          <w:b/>
          <w:bCs/>
          <w:sz w:val="40"/>
          <w:szCs w:val="40"/>
        </w:rPr>
        <w:t xml:space="preserve"> </w:t>
      </w:r>
    </w:p>
    <w:p w:rsidR="00B62635" w:rsidRPr="00B62635" w:rsidRDefault="00B62635" w:rsidP="00B62635">
      <w:pPr>
        <w:spacing w:afterLines="0"/>
      </w:pPr>
      <w:r w:rsidRPr="00B62635">
        <w:rPr>
          <w:i/>
        </w:rPr>
        <w:t>Clostridium difficile</w:t>
      </w:r>
      <w:r w:rsidRPr="00B62635">
        <w:t xml:space="preserve"> infection (CDI) is a bowel infection caused by the bacterium </w:t>
      </w:r>
      <w:r w:rsidRPr="00B62635">
        <w:rPr>
          <w:i/>
        </w:rPr>
        <w:t>Clostridium difficile</w:t>
      </w:r>
      <w:r w:rsidRPr="00B62635">
        <w:t xml:space="preserve"> and is a common cause of healthcare associated diarrhoea. CDI causes significant patient morbidity and mortality and can result in increased hospital stays and costs.  Factors that may contribute to higher CDI rates include the overuse of antibiotics, ineffective infection control processes and suboptimal levels of environmental cleanliness. </w:t>
      </w:r>
    </w:p>
    <w:p w:rsidR="00B62635" w:rsidRPr="00B62635" w:rsidRDefault="00B62635" w:rsidP="00B62635">
      <w:pPr>
        <w:tabs>
          <w:tab w:val="left" w:pos="567"/>
        </w:tabs>
        <w:spacing w:afterLines="0"/>
      </w:pPr>
      <w:r w:rsidRPr="00B62635">
        <w:t xml:space="preserve">Surveillance of CDI in Tasmania uses the ACSQHC’s nationally agreed surveillance definitions. </w:t>
      </w:r>
      <w:r w:rsidRPr="00B62635">
        <w:rPr>
          <w:b/>
        </w:rPr>
        <w:t>Hospital identified CDI</w:t>
      </w:r>
      <w:r w:rsidRPr="00B62635">
        <w:t xml:space="preserve"> are CDI infections identified in a hospital; this category includes healthcare facility and community associated infections.</w:t>
      </w:r>
    </w:p>
    <w:p w:rsidR="00B62635" w:rsidRPr="00B62635" w:rsidRDefault="00B62635" w:rsidP="00B62635">
      <w:pPr>
        <w:tabs>
          <w:tab w:val="left" w:pos="567"/>
        </w:tabs>
        <w:spacing w:afterLines="0"/>
      </w:pPr>
      <w:r w:rsidRPr="00B62635">
        <w:rPr>
          <w:b/>
        </w:rPr>
        <w:t xml:space="preserve">Healthcare associated – healthcare facility </w:t>
      </w:r>
      <w:proofErr w:type="gramStart"/>
      <w:r w:rsidRPr="00B62635">
        <w:rPr>
          <w:b/>
        </w:rPr>
        <w:t>onset</w:t>
      </w:r>
      <w:r w:rsidRPr="00B62635">
        <w:t xml:space="preserve"> (HCA-HCF) CDI are</w:t>
      </w:r>
      <w:proofErr w:type="gramEnd"/>
      <w:r w:rsidRPr="00B62635">
        <w:t xml:space="preserve"> a sub-group of hospital identified cases. This category only includes infections that occurred 48 hours or more after a patient was admitted to hospital. The HCA – HCF rate excludes people who present to hospital with symptoms of CDI and/or develop symptoms within two days of admission. </w:t>
      </w:r>
    </w:p>
    <w:p w:rsidR="00B62635" w:rsidRPr="00B62635" w:rsidRDefault="00B62635" w:rsidP="00B62635">
      <w:pPr>
        <w:keepNext/>
        <w:keepLines/>
        <w:spacing w:afterLines="0"/>
        <w:outlineLvl w:val="1"/>
        <w:rPr>
          <w:rFonts w:eastAsiaTheme="majorEastAsia" w:cstheme="majorBidi"/>
          <w:b/>
          <w:bCs/>
          <w:sz w:val="32"/>
          <w:szCs w:val="32"/>
        </w:rPr>
      </w:pPr>
      <w:bookmarkStart w:id="44" w:name="_Toc459796631"/>
      <w:r w:rsidRPr="00B62635">
        <w:rPr>
          <w:rFonts w:eastAsiaTheme="majorEastAsia" w:cstheme="majorBidi"/>
          <w:b/>
          <w:bCs/>
          <w:sz w:val="32"/>
          <w:szCs w:val="32"/>
        </w:rPr>
        <w:t>Tasmanian rates</w:t>
      </w:r>
      <w:bookmarkEnd w:id="44"/>
    </w:p>
    <w:p w:rsidR="00B62635" w:rsidRPr="00B62635" w:rsidRDefault="00B62635" w:rsidP="00B62635">
      <w:pPr>
        <w:spacing w:afterLines="0"/>
      </w:pPr>
      <w:r w:rsidRPr="00B62635">
        <w:t xml:space="preserve">Figure </w:t>
      </w:r>
      <w:r w:rsidR="00B36CA9">
        <w:rPr>
          <w:noProof/>
        </w:rPr>
        <w:t>9 and Figure 10</w:t>
      </w:r>
      <w:r w:rsidRPr="00B62635">
        <w:t xml:space="preserve"> presents the Tasmanian combined acute public hospital rates of hospital identified CDI and HCA-HCF CDI by quarter</w:t>
      </w:r>
      <w:r w:rsidR="00B36CA9">
        <w:t xml:space="preserve"> and financial year</w:t>
      </w:r>
      <w:r w:rsidRPr="00B62635">
        <w:t xml:space="preserve">. </w:t>
      </w:r>
    </w:p>
    <w:p w:rsidR="00B62635" w:rsidRPr="00B62635" w:rsidRDefault="00B62635" w:rsidP="00B62635">
      <w:pPr>
        <w:tabs>
          <w:tab w:val="left" w:pos="567"/>
        </w:tabs>
        <w:spacing w:afterLines="0"/>
        <w:rPr>
          <w:rFonts w:eastAsia="Times New Roman" w:cs="Times New Roman"/>
        </w:rPr>
      </w:pPr>
      <w:bookmarkStart w:id="45" w:name="_Ref435167737"/>
      <w:bookmarkStart w:id="46" w:name="_Toc459796595"/>
      <w:r w:rsidRPr="00B62635">
        <w:rPr>
          <w:rFonts w:eastAsia="Times New Roman" w:cs="Times New Roman"/>
          <w:b/>
          <w:bCs/>
        </w:rPr>
        <w:t xml:space="preserve">Figure </w:t>
      </w:r>
      <w:r w:rsidRPr="00B62635">
        <w:rPr>
          <w:rFonts w:eastAsia="Times New Roman" w:cs="Times New Roman"/>
          <w:b/>
          <w:bCs/>
        </w:rPr>
        <w:fldChar w:fldCharType="begin"/>
      </w:r>
      <w:r w:rsidRPr="00B62635">
        <w:rPr>
          <w:rFonts w:eastAsia="Times New Roman" w:cs="Times New Roman"/>
          <w:b/>
          <w:bCs/>
        </w:rPr>
        <w:instrText xml:space="preserve"> SEQ Figure \* ARABIC </w:instrText>
      </w:r>
      <w:r w:rsidRPr="00B62635">
        <w:rPr>
          <w:rFonts w:eastAsia="Times New Roman" w:cs="Times New Roman"/>
          <w:b/>
          <w:bCs/>
        </w:rPr>
        <w:fldChar w:fldCharType="separate"/>
      </w:r>
      <w:r w:rsidR="00556020">
        <w:rPr>
          <w:rFonts w:eastAsia="Times New Roman" w:cs="Times New Roman"/>
          <w:b/>
          <w:bCs/>
          <w:noProof/>
        </w:rPr>
        <w:t>9</w:t>
      </w:r>
      <w:r w:rsidRPr="00B62635">
        <w:rPr>
          <w:rFonts w:eastAsia="Times New Roman" w:cs="Times New Roman"/>
          <w:b/>
          <w:bCs/>
        </w:rPr>
        <w:fldChar w:fldCharType="end"/>
      </w:r>
      <w:bookmarkEnd w:id="45"/>
      <w:r w:rsidRPr="00B62635">
        <w:rPr>
          <w:rFonts w:eastAsia="Times New Roman" w:cs="Times New Roman"/>
          <w:b/>
          <w:bCs/>
        </w:rPr>
        <w:t xml:space="preserve"> </w:t>
      </w:r>
      <w:r w:rsidRPr="00B62635">
        <w:rPr>
          <w:rFonts w:eastAsia="Times New Roman" w:cs="Times New Roman"/>
        </w:rPr>
        <w:t>Hospital identified and HCA-HCF CDI – rate by quarter</w:t>
      </w:r>
      <w:bookmarkEnd w:id="46"/>
    </w:p>
    <w:p w:rsidR="00B62635" w:rsidRPr="00D13BFF" w:rsidRDefault="0080146E" w:rsidP="00B62635">
      <w:pPr>
        <w:spacing w:after="336"/>
      </w:pPr>
      <w:r w:rsidRPr="00D13BFF">
        <w:rPr>
          <w:noProof/>
          <w:lang w:eastAsia="en-AU"/>
        </w:rPr>
        <w:drawing>
          <wp:inline distT="0" distB="0" distL="0" distR="0" wp14:anchorId="2AE105F3" wp14:editId="15AE17AB">
            <wp:extent cx="5731510" cy="3222277"/>
            <wp:effectExtent l="0" t="0" r="21590" b="16510"/>
            <wp:docPr id="6" name="Chart 6" descr="Text description below" title="Figure 9 - Hospital identified and HCA-HCF CDI Chart – rate by quart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0146E" w:rsidRPr="00D13BFF" w:rsidRDefault="0080146E" w:rsidP="0080146E">
      <w:pPr>
        <w:spacing w:afterLines="0"/>
      </w:pPr>
      <w:r w:rsidRPr="00D13BFF">
        <w:t>The rate of hospital identified CDI for Q2 2016 was 5.5 per 10 000 patient days (95%</w:t>
      </w:r>
      <w:r w:rsidRPr="00D13BFF">
        <w:br/>
        <w:t>CI 3.9 – 7.1) and the rate of HCA-HCF over the same period was 2.1 per10 000 patient days (95% CI 1.1 – 3.1).</w:t>
      </w:r>
    </w:p>
    <w:p w:rsidR="00B36CA9" w:rsidRPr="00D13BFF" w:rsidRDefault="00B36CA9" w:rsidP="00B62635">
      <w:pPr>
        <w:tabs>
          <w:tab w:val="left" w:pos="567"/>
        </w:tabs>
        <w:spacing w:afterLines="0"/>
        <w:rPr>
          <w:rFonts w:eastAsia="Times New Roman" w:cs="Times New Roman"/>
          <w:bCs/>
        </w:rPr>
      </w:pPr>
    </w:p>
    <w:p w:rsidR="0080146E" w:rsidRPr="00D13BFF" w:rsidRDefault="0080146E" w:rsidP="00B62635">
      <w:pPr>
        <w:tabs>
          <w:tab w:val="left" w:pos="567"/>
        </w:tabs>
        <w:spacing w:afterLines="0"/>
        <w:rPr>
          <w:rFonts w:eastAsia="Times New Roman" w:cs="Times New Roman"/>
          <w:bCs/>
        </w:rPr>
      </w:pPr>
    </w:p>
    <w:p w:rsidR="00B36CA9" w:rsidRPr="00D13BFF" w:rsidRDefault="00B36CA9" w:rsidP="00B36CA9">
      <w:pPr>
        <w:pStyle w:val="Caption"/>
        <w:spacing w:after="336"/>
        <w:rPr>
          <w:bCs w:val="0"/>
          <w:sz w:val="22"/>
          <w:szCs w:val="22"/>
        </w:rPr>
      </w:pPr>
      <w:bookmarkStart w:id="47" w:name="_Ref426701552"/>
      <w:bookmarkStart w:id="48" w:name="_Toc426702895"/>
      <w:bookmarkStart w:id="49" w:name="_Toc459796596"/>
      <w:bookmarkStart w:id="50" w:name="_Ref397503748"/>
      <w:bookmarkStart w:id="51" w:name="_Ref332962139"/>
      <w:bookmarkStart w:id="52" w:name="_Toc397505337"/>
      <w:r w:rsidRPr="00D13BFF">
        <w:rPr>
          <w:sz w:val="22"/>
          <w:szCs w:val="22"/>
        </w:rPr>
        <w:t xml:space="preserve">Figure </w:t>
      </w:r>
      <w:r w:rsidRPr="00D13BFF">
        <w:rPr>
          <w:sz w:val="22"/>
          <w:szCs w:val="22"/>
        </w:rPr>
        <w:fldChar w:fldCharType="begin"/>
      </w:r>
      <w:r w:rsidRPr="00D13BFF">
        <w:rPr>
          <w:sz w:val="22"/>
          <w:szCs w:val="22"/>
        </w:rPr>
        <w:instrText xml:space="preserve"> SEQ Figure \* ARABIC </w:instrText>
      </w:r>
      <w:r w:rsidRPr="00D13BFF">
        <w:rPr>
          <w:sz w:val="22"/>
          <w:szCs w:val="22"/>
        </w:rPr>
        <w:fldChar w:fldCharType="separate"/>
      </w:r>
      <w:r w:rsidR="00556020">
        <w:rPr>
          <w:noProof/>
          <w:sz w:val="22"/>
          <w:szCs w:val="22"/>
        </w:rPr>
        <w:t>10</w:t>
      </w:r>
      <w:r w:rsidRPr="00D13BFF">
        <w:rPr>
          <w:sz w:val="22"/>
          <w:szCs w:val="22"/>
        </w:rPr>
        <w:fldChar w:fldCharType="end"/>
      </w:r>
      <w:bookmarkEnd w:id="47"/>
      <w:r w:rsidRPr="00D13BFF">
        <w:rPr>
          <w:sz w:val="22"/>
          <w:szCs w:val="22"/>
        </w:rPr>
        <w:t xml:space="preserve"> </w:t>
      </w:r>
      <w:r w:rsidRPr="00D13BFF">
        <w:rPr>
          <w:b w:val="0"/>
          <w:bCs w:val="0"/>
          <w:sz w:val="22"/>
          <w:szCs w:val="22"/>
        </w:rPr>
        <w:t>Hospital identified and HCA-HCF CDI - rate by financial year.</w:t>
      </w:r>
      <w:bookmarkEnd w:id="48"/>
      <w:bookmarkEnd w:id="49"/>
      <w:r w:rsidRPr="00D13BFF">
        <w:rPr>
          <w:bCs w:val="0"/>
          <w:sz w:val="22"/>
          <w:szCs w:val="22"/>
        </w:rPr>
        <w:t xml:space="preserve"> </w:t>
      </w:r>
    </w:p>
    <w:p w:rsidR="00B36CA9" w:rsidRPr="00D13BFF" w:rsidRDefault="0080146E" w:rsidP="00B36CA9">
      <w:pPr>
        <w:spacing w:after="336"/>
      </w:pPr>
      <w:r w:rsidRPr="00D13BFF">
        <w:rPr>
          <w:noProof/>
          <w:lang w:eastAsia="en-AU"/>
        </w:rPr>
        <w:drawing>
          <wp:inline distT="0" distB="0" distL="0" distR="0" wp14:anchorId="52CEAD2C" wp14:editId="5DD657B6">
            <wp:extent cx="5731510" cy="3222277"/>
            <wp:effectExtent l="0" t="0" r="21590" b="16510"/>
            <wp:docPr id="7" name="Chart 7" descr="Text description below" title="Figure 10 - Hospital identified and HCA-HCF CDI chart - rate by financial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36CA9" w:rsidRPr="00D13BFF" w:rsidRDefault="00B36CA9" w:rsidP="00B36CA9">
      <w:pPr>
        <w:spacing w:afterLines="0"/>
      </w:pPr>
      <w:r w:rsidRPr="00D13BFF">
        <w:t>The mean (average) rate of h</w:t>
      </w:r>
      <w:r w:rsidR="00DB7814">
        <w:t xml:space="preserve">ospital identified CDI for </w:t>
      </w:r>
      <w:r w:rsidR="0080146E" w:rsidRPr="00D13BFF">
        <w:t>2015 – 16 was 5.1</w:t>
      </w:r>
      <w:r w:rsidRPr="00D13BFF">
        <w:t xml:space="preserve"> per 10 000 patient days (95% CI </w:t>
      </w:r>
      <w:r w:rsidR="0080146E" w:rsidRPr="00D13BFF">
        <w:t>4.4 – 5.9</w:t>
      </w:r>
      <w:r w:rsidRPr="00D13BFF">
        <w:t xml:space="preserve">) and the mean rate of HCA-HCF CDI over the same period was </w:t>
      </w:r>
      <w:r w:rsidR="0080146E" w:rsidRPr="00D13BFF">
        <w:t>2.2</w:t>
      </w:r>
      <w:r w:rsidRPr="00D13BFF">
        <w:t xml:space="preserve"> per 10 000 patient days (95% CI</w:t>
      </w:r>
      <w:r w:rsidR="0080146E" w:rsidRPr="00D13BFF">
        <w:t xml:space="preserve"> 1.7 – 2.7</w:t>
      </w:r>
      <w:r w:rsidRPr="00D13BFF">
        <w:t>).</w:t>
      </w:r>
    </w:p>
    <w:p w:rsidR="0035443D" w:rsidRDefault="004B39D8" w:rsidP="0035443D">
      <w:pPr>
        <w:tabs>
          <w:tab w:val="left" w:pos="567"/>
        </w:tabs>
        <w:spacing w:afterLines="0"/>
      </w:pPr>
      <w:r>
        <w:t xml:space="preserve">The number and rate of </w:t>
      </w:r>
      <w:r w:rsidR="0080146E" w:rsidRPr="00D13BFF">
        <w:t xml:space="preserve">hospital identified </w:t>
      </w:r>
      <w:r>
        <w:t>CDI</w:t>
      </w:r>
      <w:r w:rsidR="0080146E" w:rsidRPr="00D13BFF">
        <w:t xml:space="preserve"> remains stable</w:t>
      </w:r>
      <w:r w:rsidR="00160E8E">
        <w:t xml:space="preserve">.  A significant achievement is that the </w:t>
      </w:r>
      <w:r>
        <w:t>number and rate of HCA-HCF CDI</w:t>
      </w:r>
      <w:r w:rsidR="0080146E" w:rsidRPr="00D13BFF">
        <w:t xml:space="preserve"> </w:t>
      </w:r>
      <w:r w:rsidR="00AC11FA" w:rsidRPr="00D13BFF">
        <w:t xml:space="preserve">remains at the lowest level </w:t>
      </w:r>
      <w:r w:rsidR="006B3F11">
        <w:t>in five</w:t>
      </w:r>
      <w:r w:rsidR="0080146E" w:rsidRPr="00D13BFF">
        <w:t xml:space="preserve"> years.</w:t>
      </w:r>
      <w:r w:rsidR="0080146E" w:rsidRPr="000B015E">
        <w:t xml:space="preserve"> </w:t>
      </w:r>
      <w:bookmarkEnd w:id="50"/>
      <w:bookmarkEnd w:id="51"/>
      <w:bookmarkEnd w:id="52"/>
    </w:p>
    <w:p w:rsidR="0035443D" w:rsidRDefault="0035443D" w:rsidP="0035443D">
      <w:pPr>
        <w:spacing w:after="336"/>
      </w:pPr>
      <w:r>
        <w:br w:type="page"/>
      </w:r>
    </w:p>
    <w:p w:rsidR="00B36CA9" w:rsidRDefault="00B36CA9" w:rsidP="0035443D">
      <w:pPr>
        <w:tabs>
          <w:tab w:val="left" w:pos="567"/>
        </w:tabs>
        <w:spacing w:afterLines="0"/>
      </w:pPr>
    </w:p>
    <w:p w:rsidR="00B62635" w:rsidRPr="00B62635" w:rsidRDefault="00B62635" w:rsidP="00B62635">
      <w:pPr>
        <w:keepNext/>
        <w:keepLines/>
        <w:spacing w:before="200" w:after="336"/>
        <w:outlineLvl w:val="1"/>
        <w:rPr>
          <w:rFonts w:eastAsia="Times New Roman" w:cs="Times New Roman"/>
          <w:b/>
          <w:bCs/>
          <w:sz w:val="32"/>
          <w:szCs w:val="32"/>
        </w:rPr>
      </w:pPr>
      <w:bookmarkStart w:id="53" w:name="_Toc459796632"/>
      <w:r w:rsidRPr="00B62635">
        <w:rPr>
          <w:rFonts w:eastAsiaTheme="majorEastAsia" w:cstheme="majorBidi"/>
          <w:b/>
          <w:bCs/>
          <w:sz w:val="32"/>
          <w:szCs w:val="32"/>
        </w:rPr>
        <w:t xml:space="preserve">Hospital rates </w:t>
      </w:r>
      <w:r w:rsidR="00434C6E">
        <w:rPr>
          <w:rFonts w:eastAsiaTheme="majorEastAsia" w:cstheme="majorBidi"/>
          <w:b/>
          <w:bCs/>
          <w:sz w:val="32"/>
          <w:szCs w:val="32"/>
        </w:rPr>
        <w:t>– by quarter</w:t>
      </w:r>
      <w:bookmarkEnd w:id="53"/>
    </w:p>
    <w:p w:rsidR="00B62635" w:rsidRPr="00B62635" w:rsidRDefault="00B62635" w:rsidP="00B62635">
      <w:pPr>
        <w:spacing w:afterLines="0"/>
        <w:rPr>
          <w:b/>
          <w:bCs/>
        </w:rPr>
      </w:pPr>
      <w:r w:rsidRPr="00B62635">
        <w:t xml:space="preserve">Figure </w:t>
      </w:r>
      <w:r w:rsidR="00434C6E">
        <w:rPr>
          <w:noProof/>
        </w:rPr>
        <w:t>11</w:t>
      </w:r>
      <w:r w:rsidR="00434C6E">
        <w:t xml:space="preserve"> and Figure 12</w:t>
      </w:r>
      <w:r w:rsidRPr="00B62635">
        <w:t xml:space="preserve"> presents the individual acute public hospital rates of </w:t>
      </w:r>
      <w:r w:rsidRPr="00B62635">
        <w:rPr>
          <w:b/>
          <w:bCs/>
        </w:rPr>
        <w:t xml:space="preserve">hospital identified CDI </w:t>
      </w:r>
      <w:r w:rsidRPr="00B62635">
        <w:t xml:space="preserve">and </w:t>
      </w:r>
      <w:r w:rsidRPr="00B62635">
        <w:rPr>
          <w:b/>
          <w:bCs/>
        </w:rPr>
        <w:t>healthcare associated – healthcare facility onset (HCA-HCF) CDI</w:t>
      </w:r>
      <w:r w:rsidRPr="00B62635">
        <w:t xml:space="preserve"> by quarter</w:t>
      </w:r>
      <w:r w:rsidRPr="00B62635">
        <w:rPr>
          <w:b/>
          <w:bCs/>
        </w:rPr>
        <w:t>.</w:t>
      </w:r>
    </w:p>
    <w:p w:rsidR="00B62635" w:rsidRPr="00B62635" w:rsidRDefault="00B62635" w:rsidP="00B62635">
      <w:pPr>
        <w:tabs>
          <w:tab w:val="left" w:pos="567"/>
        </w:tabs>
        <w:spacing w:afterLines="0"/>
        <w:rPr>
          <w:rFonts w:eastAsia="Times New Roman" w:cs="Times New Roman"/>
        </w:rPr>
      </w:pPr>
      <w:bookmarkStart w:id="54" w:name="_Ref435167763"/>
      <w:bookmarkStart w:id="55" w:name="_Toc459796597"/>
      <w:r w:rsidRPr="00B62635">
        <w:rPr>
          <w:rFonts w:eastAsia="Times New Roman" w:cs="Times New Roman"/>
          <w:b/>
          <w:bCs/>
        </w:rPr>
        <w:t xml:space="preserve">Figure </w:t>
      </w:r>
      <w:r w:rsidRPr="00B62635">
        <w:rPr>
          <w:rFonts w:eastAsia="Times New Roman" w:cs="Times New Roman"/>
          <w:b/>
          <w:bCs/>
        </w:rPr>
        <w:fldChar w:fldCharType="begin"/>
      </w:r>
      <w:r w:rsidRPr="00B62635">
        <w:rPr>
          <w:rFonts w:eastAsia="Times New Roman" w:cs="Times New Roman"/>
          <w:b/>
          <w:bCs/>
        </w:rPr>
        <w:instrText xml:space="preserve"> SEQ Figure \* ARABIC </w:instrText>
      </w:r>
      <w:r w:rsidRPr="00B62635">
        <w:rPr>
          <w:rFonts w:eastAsia="Times New Roman" w:cs="Times New Roman"/>
          <w:b/>
          <w:bCs/>
        </w:rPr>
        <w:fldChar w:fldCharType="separate"/>
      </w:r>
      <w:r w:rsidR="00556020">
        <w:rPr>
          <w:rFonts w:eastAsia="Times New Roman" w:cs="Times New Roman"/>
          <w:b/>
          <w:bCs/>
          <w:noProof/>
        </w:rPr>
        <w:t>11</w:t>
      </w:r>
      <w:r w:rsidRPr="00B62635">
        <w:rPr>
          <w:rFonts w:eastAsia="Times New Roman" w:cs="Times New Roman"/>
          <w:b/>
          <w:bCs/>
        </w:rPr>
        <w:fldChar w:fldCharType="end"/>
      </w:r>
      <w:bookmarkEnd w:id="54"/>
      <w:r w:rsidRPr="00B62635">
        <w:rPr>
          <w:rFonts w:eastAsia="Times New Roman" w:cs="Times New Roman"/>
          <w:b/>
          <w:bCs/>
        </w:rPr>
        <w:t xml:space="preserve"> </w:t>
      </w:r>
      <w:r w:rsidRPr="00B62635">
        <w:rPr>
          <w:rFonts w:eastAsia="Times New Roman" w:cs="Times New Roman"/>
        </w:rPr>
        <w:t>Hospital identified CDI by quarter</w:t>
      </w:r>
      <w:bookmarkEnd w:id="55"/>
    </w:p>
    <w:p w:rsidR="00B62635" w:rsidRDefault="00AD6E23" w:rsidP="00B62635">
      <w:pPr>
        <w:spacing w:after="336"/>
        <w:rPr>
          <w:b/>
          <w:bCs/>
        </w:rPr>
      </w:pPr>
      <w:bookmarkStart w:id="56" w:name="_Toc413158595"/>
      <w:r>
        <w:rPr>
          <w:b/>
          <w:bCs/>
          <w:noProof/>
          <w:lang w:eastAsia="en-AU"/>
        </w:rPr>
        <w:drawing>
          <wp:inline distT="0" distB="0" distL="0" distR="0" wp14:anchorId="02EFBC16" wp14:editId="420F38BC">
            <wp:extent cx="5800725" cy="2800350"/>
            <wp:effectExtent l="0" t="0" r="9525" b="0"/>
            <wp:docPr id="20" name="Picture 20" descr="Combined Figure 11 and 12 text description provided below Figure 12" title="Figure 11- Hospital identified CDI by quarte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3900" cy="2801883"/>
                    </a:xfrm>
                    <a:prstGeom prst="rect">
                      <a:avLst/>
                    </a:prstGeom>
                    <a:noFill/>
                  </pic:spPr>
                </pic:pic>
              </a:graphicData>
            </a:graphic>
          </wp:inline>
        </w:drawing>
      </w:r>
    </w:p>
    <w:p w:rsidR="00B62635" w:rsidRPr="00B62635" w:rsidRDefault="00B62635" w:rsidP="00B62635">
      <w:pPr>
        <w:tabs>
          <w:tab w:val="left" w:pos="567"/>
        </w:tabs>
        <w:spacing w:afterLines="0"/>
        <w:rPr>
          <w:rFonts w:eastAsia="Times New Roman" w:cs="Times New Roman"/>
        </w:rPr>
      </w:pPr>
      <w:bookmarkStart w:id="57" w:name="_Ref435167770"/>
      <w:bookmarkStart w:id="58" w:name="_Toc459796598"/>
      <w:r w:rsidRPr="00B62635">
        <w:rPr>
          <w:rFonts w:eastAsia="Times New Roman" w:cs="Times New Roman"/>
          <w:b/>
          <w:bCs/>
        </w:rPr>
        <w:t xml:space="preserve">Figure </w:t>
      </w:r>
      <w:r w:rsidRPr="00B62635">
        <w:rPr>
          <w:rFonts w:eastAsia="Times New Roman" w:cs="Times New Roman"/>
          <w:b/>
          <w:bCs/>
        </w:rPr>
        <w:fldChar w:fldCharType="begin"/>
      </w:r>
      <w:r w:rsidRPr="00B62635">
        <w:rPr>
          <w:rFonts w:eastAsia="Times New Roman" w:cs="Times New Roman"/>
          <w:b/>
          <w:bCs/>
        </w:rPr>
        <w:instrText xml:space="preserve"> SEQ Figure \* ARABIC </w:instrText>
      </w:r>
      <w:r w:rsidRPr="00B62635">
        <w:rPr>
          <w:rFonts w:eastAsia="Times New Roman" w:cs="Times New Roman"/>
          <w:b/>
          <w:bCs/>
        </w:rPr>
        <w:fldChar w:fldCharType="separate"/>
      </w:r>
      <w:r w:rsidR="00556020">
        <w:rPr>
          <w:rFonts w:eastAsia="Times New Roman" w:cs="Times New Roman"/>
          <w:b/>
          <w:bCs/>
          <w:noProof/>
        </w:rPr>
        <w:t>12</w:t>
      </w:r>
      <w:r w:rsidRPr="00B62635">
        <w:rPr>
          <w:rFonts w:eastAsia="Times New Roman" w:cs="Times New Roman"/>
          <w:b/>
          <w:bCs/>
        </w:rPr>
        <w:fldChar w:fldCharType="end"/>
      </w:r>
      <w:bookmarkEnd w:id="57"/>
      <w:r w:rsidRPr="00B62635">
        <w:rPr>
          <w:rFonts w:eastAsia="Times New Roman" w:cs="Times New Roman"/>
          <w:b/>
          <w:bCs/>
        </w:rPr>
        <w:t xml:space="preserve"> </w:t>
      </w:r>
      <w:r w:rsidRPr="00B62635">
        <w:rPr>
          <w:rFonts w:eastAsia="Times New Roman" w:cs="Times New Roman"/>
        </w:rPr>
        <w:t>HCA-HCF CDI by quarter</w:t>
      </w:r>
      <w:bookmarkEnd w:id="58"/>
    </w:p>
    <w:p w:rsidR="00066DCB" w:rsidRPr="00066DCB" w:rsidRDefault="006B3F11" w:rsidP="00066DCB">
      <w:pPr>
        <w:spacing w:after="336"/>
        <w:rPr>
          <w:b/>
          <w:bCs/>
        </w:rPr>
      </w:pPr>
      <w:r>
        <w:rPr>
          <w:noProof/>
          <w:lang w:eastAsia="en-AU"/>
        </w:rPr>
        <w:drawing>
          <wp:inline distT="0" distB="0" distL="0" distR="0" wp14:anchorId="5D006C99" wp14:editId="7453146D">
            <wp:extent cx="5723906" cy="2624446"/>
            <wp:effectExtent l="0" t="0" r="10160" b="24130"/>
            <wp:docPr id="2" name="Chart 2" descr="Combined Figure 11 and 12 text desription provided below Figure 12" title="Figure - 12 HCA-HCF CDI chart by quarter "/>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66DCB" w:rsidRDefault="00066DCB" w:rsidP="00066DCB">
      <w:pPr>
        <w:spacing w:after="336"/>
      </w:pPr>
      <w:r w:rsidRPr="00066DCB">
        <w:t xml:space="preserve">The RHH has had a stable trend over 2015 – 16 for </w:t>
      </w:r>
      <w:r>
        <w:t>HCA-HCF CDI</w:t>
      </w:r>
      <w:r w:rsidRPr="00066DCB">
        <w:t>. The LGH has demonstrated an upward trend in Q</w:t>
      </w:r>
      <w:r w:rsidR="00DB7814">
        <w:t>2 2016 which can be explained by</w:t>
      </w:r>
      <w:r w:rsidRPr="00066DCB">
        <w:t xml:space="preserve"> a change to laboratory diagnostic algorithm, with enhanced sensitivity for detection of </w:t>
      </w:r>
      <w:r w:rsidRPr="00066DCB">
        <w:rPr>
          <w:i/>
        </w:rPr>
        <w:t>C. difficile</w:t>
      </w:r>
      <w:r w:rsidRPr="00066DCB">
        <w:t xml:space="preserve"> infection. The MCH and NWRH trends are dif</w:t>
      </w:r>
      <w:r w:rsidR="008B1D5F">
        <w:t xml:space="preserve">ficult to interpret </w:t>
      </w:r>
      <w:r w:rsidR="00DB7814">
        <w:t xml:space="preserve">because of the low number of cases reported. </w:t>
      </w:r>
    </w:p>
    <w:p w:rsidR="00434C6E" w:rsidRPr="00B62635" w:rsidRDefault="00434C6E" w:rsidP="00434C6E">
      <w:pPr>
        <w:keepNext/>
        <w:keepLines/>
        <w:spacing w:before="200" w:after="336"/>
        <w:outlineLvl w:val="1"/>
        <w:rPr>
          <w:rFonts w:eastAsia="Times New Roman" w:cs="Times New Roman"/>
          <w:b/>
          <w:bCs/>
          <w:sz w:val="32"/>
          <w:szCs w:val="32"/>
        </w:rPr>
      </w:pPr>
      <w:bookmarkStart w:id="59" w:name="_Toc459796633"/>
      <w:r w:rsidRPr="00B62635">
        <w:rPr>
          <w:rFonts w:eastAsiaTheme="majorEastAsia" w:cstheme="majorBidi"/>
          <w:b/>
          <w:bCs/>
          <w:sz w:val="32"/>
          <w:szCs w:val="32"/>
        </w:rPr>
        <w:t xml:space="preserve">Hospital rates </w:t>
      </w:r>
      <w:r>
        <w:rPr>
          <w:rFonts w:eastAsiaTheme="majorEastAsia" w:cstheme="majorBidi"/>
          <w:b/>
          <w:bCs/>
          <w:sz w:val="32"/>
          <w:szCs w:val="32"/>
        </w:rPr>
        <w:t>– by financial year</w:t>
      </w:r>
      <w:bookmarkEnd w:id="59"/>
    </w:p>
    <w:p w:rsidR="00434C6E" w:rsidRPr="00B62635" w:rsidRDefault="00434C6E" w:rsidP="00434C6E">
      <w:pPr>
        <w:spacing w:afterLines="0"/>
        <w:rPr>
          <w:b/>
          <w:bCs/>
        </w:rPr>
      </w:pPr>
      <w:r w:rsidRPr="00B62635">
        <w:t xml:space="preserve">Figure </w:t>
      </w:r>
      <w:r>
        <w:rPr>
          <w:noProof/>
        </w:rPr>
        <w:t>13</w:t>
      </w:r>
      <w:r>
        <w:t xml:space="preserve"> and Figure 14</w:t>
      </w:r>
      <w:r w:rsidRPr="00B62635">
        <w:t xml:space="preserve"> presents the individual acute public hospital rates of </w:t>
      </w:r>
      <w:r w:rsidRPr="00B62635">
        <w:rPr>
          <w:b/>
          <w:bCs/>
        </w:rPr>
        <w:t xml:space="preserve">hospital identified CDI </w:t>
      </w:r>
      <w:r w:rsidRPr="00B62635">
        <w:t xml:space="preserve">and </w:t>
      </w:r>
      <w:r w:rsidRPr="00B62635">
        <w:rPr>
          <w:b/>
          <w:bCs/>
        </w:rPr>
        <w:t>healthcare associated – healthcare facility onset (HCA-HCF) CDI</w:t>
      </w:r>
      <w:r>
        <w:t xml:space="preserve"> by financial year</w:t>
      </w:r>
      <w:r w:rsidRPr="00B62635">
        <w:rPr>
          <w:b/>
          <w:bCs/>
        </w:rPr>
        <w:t>.</w:t>
      </w:r>
    </w:p>
    <w:p w:rsidR="00434C6E" w:rsidRPr="00B62635" w:rsidRDefault="00434C6E" w:rsidP="00434C6E">
      <w:pPr>
        <w:tabs>
          <w:tab w:val="left" w:pos="567"/>
        </w:tabs>
        <w:spacing w:afterLines="0"/>
        <w:rPr>
          <w:rFonts w:eastAsia="Times New Roman" w:cs="Times New Roman"/>
        </w:rPr>
      </w:pPr>
      <w:bookmarkStart w:id="60" w:name="_Toc459796599"/>
      <w:r w:rsidRPr="00B62635">
        <w:rPr>
          <w:rFonts w:eastAsia="Times New Roman" w:cs="Times New Roman"/>
          <w:b/>
          <w:bCs/>
        </w:rPr>
        <w:t xml:space="preserve">Figure </w:t>
      </w:r>
      <w:r w:rsidRPr="00B62635">
        <w:rPr>
          <w:rFonts w:eastAsia="Times New Roman" w:cs="Times New Roman"/>
          <w:b/>
          <w:bCs/>
        </w:rPr>
        <w:fldChar w:fldCharType="begin"/>
      </w:r>
      <w:r w:rsidRPr="00B62635">
        <w:rPr>
          <w:rFonts w:eastAsia="Times New Roman" w:cs="Times New Roman"/>
          <w:b/>
          <w:bCs/>
        </w:rPr>
        <w:instrText xml:space="preserve"> SEQ Figure \* ARABIC </w:instrText>
      </w:r>
      <w:r w:rsidRPr="00B62635">
        <w:rPr>
          <w:rFonts w:eastAsia="Times New Roman" w:cs="Times New Roman"/>
          <w:b/>
          <w:bCs/>
        </w:rPr>
        <w:fldChar w:fldCharType="separate"/>
      </w:r>
      <w:r w:rsidR="00556020">
        <w:rPr>
          <w:rFonts w:eastAsia="Times New Roman" w:cs="Times New Roman"/>
          <w:b/>
          <w:bCs/>
          <w:noProof/>
        </w:rPr>
        <w:t>13</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rPr>
        <w:t>Ho</w:t>
      </w:r>
      <w:r>
        <w:rPr>
          <w:rFonts w:eastAsia="Times New Roman" w:cs="Times New Roman"/>
        </w:rPr>
        <w:t>spital identified CDI by financial year</w:t>
      </w:r>
      <w:bookmarkEnd w:id="60"/>
    </w:p>
    <w:p w:rsidR="00434C6E" w:rsidRPr="00B62635" w:rsidRDefault="00CA5D15" w:rsidP="00434C6E">
      <w:pPr>
        <w:spacing w:after="336"/>
        <w:rPr>
          <w:b/>
          <w:bCs/>
        </w:rPr>
      </w:pPr>
      <w:r>
        <w:rPr>
          <w:noProof/>
          <w:lang w:eastAsia="en-AU"/>
        </w:rPr>
        <w:drawing>
          <wp:inline distT="0" distB="0" distL="0" distR="0" wp14:anchorId="32439A8D" wp14:editId="668CDDED">
            <wp:extent cx="5732060" cy="2961564"/>
            <wp:effectExtent l="0" t="0" r="21590" b="10795"/>
            <wp:docPr id="22" name="Chart 22" descr="Combined 13 and 14 text description provided below Figure 14" title="Figure 13 - Hospital identified CDI chart by financial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34C6E" w:rsidRPr="00B62635" w:rsidRDefault="00434C6E" w:rsidP="00434C6E">
      <w:pPr>
        <w:tabs>
          <w:tab w:val="left" w:pos="567"/>
        </w:tabs>
        <w:spacing w:afterLines="0"/>
        <w:rPr>
          <w:rFonts w:eastAsia="Times New Roman" w:cs="Times New Roman"/>
        </w:rPr>
      </w:pPr>
      <w:bookmarkStart w:id="61" w:name="_Toc459796600"/>
      <w:r w:rsidRPr="00B62635">
        <w:rPr>
          <w:rFonts w:eastAsia="Times New Roman" w:cs="Times New Roman"/>
          <w:b/>
          <w:bCs/>
        </w:rPr>
        <w:t xml:space="preserve">Figure </w:t>
      </w:r>
      <w:r w:rsidRPr="00B62635">
        <w:rPr>
          <w:rFonts w:eastAsia="Times New Roman" w:cs="Times New Roman"/>
          <w:b/>
          <w:bCs/>
        </w:rPr>
        <w:fldChar w:fldCharType="begin"/>
      </w:r>
      <w:r w:rsidRPr="00B62635">
        <w:rPr>
          <w:rFonts w:eastAsia="Times New Roman" w:cs="Times New Roman"/>
          <w:b/>
          <w:bCs/>
        </w:rPr>
        <w:instrText xml:space="preserve"> SEQ Figure \* ARABIC </w:instrText>
      </w:r>
      <w:r w:rsidRPr="00B62635">
        <w:rPr>
          <w:rFonts w:eastAsia="Times New Roman" w:cs="Times New Roman"/>
          <w:b/>
          <w:bCs/>
        </w:rPr>
        <w:fldChar w:fldCharType="separate"/>
      </w:r>
      <w:r w:rsidR="00556020">
        <w:rPr>
          <w:rFonts w:eastAsia="Times New Roman" w:cs="Times New Roman"/>
          <w:b/>
          <w:bCs/>
          <w:noProof/>
        </w:rPr>
        <w:t>14</w:t>
      </w:r>
      <w:r w:rsidRPr="00B62635">
        <w:rPr>
          <w:rFonts w:eastAsia="Times New Roman" w:cs="Times New Roman"/>
          <w:b/>
          <w:bCs/>
        </w:rPr>
        <w:fldChar w:fldCharType="end"/>
      </w:r>
      <w:r w:rsidRPr="00B62635">
        <w:rPr>
          <w:rFonts w:eastAsia="Times New Roman" w:cs="Times New Roman"/>
          <w:b/>
          <w:bCs/>
        </w:rPr>
        <w:t xml:space="preserve"> </w:t>
      </w:r>
      <w:r>
        <w:rPr>
          <w:rFonts w:eastAsia="Times New Roman" w:cs="Times New Roman"/>
        </w:rPr>
        <w:t>HCA-HCF CDI by financial year</w:t>
      </w:r>
      <w:bookmarkEnd w:id="61"/>
    </w:p>
    <w:p w:rsidR="00AD6E23" w:rsidRPr="00AD6E23" w:rsidRDefault="00CA5D15" w:rsidP="00AD6E23">
      <w:pPr>
        <w:spacing w:after="336"/>
        <w:rPr>
          <w:b/>
          <w:bCs/>
        </w:rPr>
      </w:pPr>
      <w:r>
        <w:rPr>
          <w:noProof/>
          <w:lang w:eastAsia="en-AU"/>
        </w:rPr>
        <w:drawing>
          <wp:inline distT="0" distB="0" distL="0" distR="0" wp14:anchorId="452AAA9C" wp14:editId="10DFF087">
            <wp:extent cx="5732060" cy="3070746"/>
            <wp:effectExtent l="0" t="0" r="21590" b="15875"/>
            <wp:docPr id="23" name="Chart 23" descr="Combined Figure 13 and 14 text description below" title="Figure - 14 HCA-HCF CDI chart by financial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A5D15" w:rsidRDefault="00AD6E23" w:rsidP="00CA5D15">
      <w:pPr>
        <w:spacing w:after="336"/>
      </w:pPr>
      <w:r>
        <w:t xml:space="preserve">All hospitals have a stable </w:t>
      </w:r>
      <w:r w:rsidR="004B39D8">
        <w:t xml:space="preserve">trend over 2015 – 16 for both </w:t>
      </w:r>
      <w:r w:rsidRPr="000B015E">
        <w:t xml:space="preserve">hospital identified </w:t>
      </w:r>
      <w:r w:rsidR="004B39D8">
        <w:t>CDI</w:t>
      </w:r>
      <w:r w:rsidRPr="000B015E">
        <w:t xml:space="preserve"> </w:t>
      </w:r>
      <w:r>
        <w:t xml:space="preserve">and </w:t>
      </w:r>
      <w:r w:rsidR="004B39D8">
        <w:t>HCA-HCF</w:t>
      </w:r>
      <w:r w:rsidRPr="000B015E">
        <w:t xml:space="preserve"> CDI.</w:t>
      </w:r>
    </w:p>
    <w:p w:rsidR="00B62635" w:rsidRPr="00CA5D15" w:rsidRDefault="00B62635" w:rsidP="00CA5D15">
      <w:pPr>
        <w:spacing w:after="336"/>
      </w:pPr>
      <w:r w:rsidRPr="00B62635">
        <w:rPr>
          <w:rFonts w:eastAsiaTheme="majorEastAsia" w:cstheme="majorBidi"/>
          <w:b/>
          <w:bCs/>
          <w:sz w:val="32"/>
          <w:szCs w:val="32"/>
        </w:rPr>
        <w:t>Vancomycin resistant enterococcus (VRE)</w:t>
      </w:r>
      <w:bookmarkEnd w:id="56"/>
    </w:p>
    <w:p w:rsidR="00B62635" w:rsidRPr="00B62635" w:rsidRDefault="00B62635" w:rsidP="00B62635">
      <w:pPr>
        <w:autoSpaceDE w:val="0"/>
        <w:autoSpaceDN w:val="0"/>
        <w:adjustRightInd w:val="0"/>
        <w:spacing w:afterLines="0"/>
        <w:rPr>
          <w:rFonts w:cs="Arial"/>
        </w:rPr>
      </w:pPr>
      <w:r w:rsidRPr="00B62635">
        <w:rPr>
          <w:rFonts w:cs="Arial"/>
        </w:rPr>
        <w:t xml:space="preserve">Enterococci are bacteria normally present in the human gastrointestinal and female genital tract. Enterococci can cause infections of the urinary tract, bloodstream and wounds.  Enterococci that have acquired resistance to the antibiotic vancomycin are called vancomycin-resistant enterococci or VRE.  VRE infections can be more difficult to treat then those caused by vancomycin sensitive enterococci. Factors </w:t>
      </w:r>
      <w:r w:rsidR="00160E8E">
        <w:rPr>
          <w:rFonts w:cs="Arial"/>
        </w:rPr>
        <w:t>that can</w:t>
      </w:r>
      <w:r w:rsidRPr="00B62635">
        <w:rPr>
          <w:rFonts w:cs="Arial"/>
        </w:rPr>
        <w:t xml:space="preserve"> contribute to the transmission of VRE in hospitals are ineffective infection control practices, overuse of antibiotics and suboptimal environmental cleanliness.</w:t>
      </w:r>
    </w:p>
    <w:p w:rsidR="00B62635" w:rsidRPr="00B62635" w:rsidRDefault="00B62635" w:rsidP="00490A10">
      <w:pPr>
        <w:tabs>
          <w:tab w:val="left" w:pos="567"/>
        </w:tabs>
        <w:spacing w:afterLines="0"/>
        <w:rPr>
          <w:rFonts w:eastAsia="Times New Roman" w:cs="Arial"/>
        </w:rPr>
      </w:pPr>
      <w:r w:rsidRPr="00B62635">
        <w:rPr>
          <w:rFonts w:eastAsia="Times New Roman" w:cs="Times New Roman"/>
        </w:rPr>
        <w:t xml:space="preserve">Identification of VRE is a notifiable condition in Tasmania pursuant to the </w:t>
      </w:r>
      <w:r w:rsidRPr="00B62635">
        <w:rPr>
          <w:rFonts w:eastAsia="Times New Roman" w:cs="Times New Roman"/>
          <w:i/>
        </w:rPr>
        <w:t>Public Health Act 1997</w:t>
      </w:r>
      <w:r w:rsidRPr="00B62635">
        <w:rPr>
          <w:rFonts w:eastAsia="Times New Roman" w:cs="Times New Roman"/>
        </w:rPr>
        <w:t>.</w:t>
      </w:r>
    </w:p>
    <w:p w:rsidR="00B62635" w:rsidRPr="00B62635" w:rsidRDefault="00B62635" w:rsidP="00490A10">
      <w:pPr>
        <w:tabs>
          <w:tab w:val="left" w:pos="567"/>
        </w:tabs>
        <w:spacing w:afterLines="0"/>
        <w:rPr>
          <w:lang w:eastAsia="en-AU"/>
        </w:rPr>
      </w:pPr>
      <w:r w:rsidRPr="00B62635">
        <w:rPr>
          <w:lang w:eastAsia="en-AU"/>
        </w:rPr>
        <w:t xml:space="preserve">The number of people newly identified with VRE within hospitals does not necessarily reflect that VRE was acquired at that hospital.  VRE isolates identified can be affected by the amount of screening undertaken by hospitals. </w:t>
      </w:r>
      <w:r w:rsidR="002302C7">
        <w:rPr>
          <w:lang w:eastAsia="en-AU"/>
        </w:rPr>
        <w:t xml:space="preserve"> H</w:t>
      </w:r>
      <w:r w:rsidRPr="00B62635">
        <w:rPr>
          <w:lang w:eastAsia="en-AU"/>
        </w:rPr>
        <w:t xml:space="preserve">ospitals </w:t>
      </w:r>
      <w:r w:rsidR="002302C7">
        <w:rPr>
          <w:lang w:eastAsia="en-AU"/>
        </w:rPr>
        <w:t>that have an intensive</w:t>
      </w:r>
      <w:r w:rsidRPr="00B62635">
        <w:rPr>
          <w:lang w:eastAsia="en-AU"/>
        </w:rPr>
        <w:t xml:space="preserve"> screening program a</w:t>
      </w:r>
      <w:r w:rsidR="002302C7">
        <w:rPr>
          <w:lang w:eastAsia="en-AU"/>
        </w:rPr>
        <w:t xml:space="preserve">re likely to </w:t>
      </w:r>
      <w:r w:rsidRPr="00B62635">
        <w:rPr>
          <w:lang w:eastAsia="en-AU"/>
        </w:rPr>
        <w:t>identify more VRE.</w:t>
      </w:r>
    </w:p>
    <w:p w:rsidR="00490A10" w:rsidRDefault="00B62635" w:rsidP="00490A10">
      <w:pPr>
        <w:spacing w:afterLines="0"/>
        <w:contextualSpacing/>
      </w:pPr>
      <w:r w:rsidRPr="00B62635">
        <w:t xml:space="preserve">Figure </w:t>
      </w:r>
      <w:r w:rsidR="00434C6E">
        <w:rPr>
          <w:noProof/>
        </w:rPr>
        <w:t>15</w:t>
      </w:r>
      <w:r w:rsidRPr="00B62635">
        <w:t xml:space="preserve"> </w:t>
      </w:r>
      <w:r w:rsidR="00066DCB" w:rsidRPr="00066DCB">
        <w:t xml:space="preserve">presents the total of all new VRE screening and clinical isolates identified within Tasmania by quarter for the past seven quarters. This includes all new cases identified within Tasmania from public and private hospitals, rural hospitals, GP clinics and long term and residential care facilities. </w:t>
      </w:r>
      <w:r w:rsidR="00066DCB">
        <w:t xml:space="preserve">The patient’s first VRE </w:t>
      </w:r>
      <w:r w:rsidR="00066DCB" w:rsidRPr="00066DCB">
        <w:t>isolate</w:t>
      </w:r>
      <w:r w:rsidR="00066DCB">
        <w:t>s are classified according to</w:t>
      </w:r>
      <w:r w:rsidR="00066DCB" w:rsidRPr="00066DCB">
        <w:t xml:space="preserve"> whether it was from a screening or clinical specimen</w:t>
      </w:r>
      <w:r w:rsidRPr="00B62635">
        <w:t>.</w:t>
      </w:r>
    </w:p>
    <w:p w:rsidR="00B62635" w:rsidRPr="00B62635" w:rsidRDefault="00B62635" w:rsidP="00490A10">
      <w:pPr>
        <w:spacing w:afterLines="0"/>
        <w:contextualSpacing/>
      </w:pPr>
      <w:r w:rsidRPr="00B62635">
        <w:t xml:space="preserve"> </w:t>
      </w:r>
    </w:p>
    <w:p w:rsidR="00B62635" w:rsidRPr="00B62635" w:rsidRDefault="00B62635" w:rsidP="00B62635">
      <w:pPr>
        <w:tabs>
          <w:tab w:val="left" w:pos="567"/>
        </w:tabs>
        <w:spacing w:afterLines="0"/>
        <w:rPr>
          <w:rFonts w:eastAsia="Times New Roman" w:cs="Times New Roman"/>
          <w:bCs/>
        </w:rPr>
      </w:pPr>
      <w:bookmarkStart w:id="62" w:name="_Ref435167782"/>
      <w:bookmarkStart w:id="63" w:name="_Toc459796601"/>
      <w:r w:rsidRPr="00B62635">
        <w:rPr>
          <w:rFonts w:eastAsia="Times New Roman" w:cs="Times New Roman"/>
          <w:b/>
          <w:bCs/>
        </w:rPr>
        <w:t xml:space="preserve">Figure </w:t>
      </w:r>
      <w:r w:rsidRPr="00B62635">
        <w:rPr>
          <w:rFonts w:eastAsia="Times New Roman" w:cs="Times New Roman"/>
          <w:b/>
          <w:bCs/>
        </w:rPr>
        <w:fldChar w:fldCharType="begin"/>
      </w:r>
      <w:r w:rsidRPr="00B62635">
        <w:rPr>
          <w:rFonts w:eastAsia="Times New Roman" w:cs="Times New Roman"/>
          <w:b/>
          <w:bCs/>
        </w:rPr>
        <w:instrText xml:space="preserve"> SEQ Figure \* ARABIC </w:instrText>
      </w:r>
      <w:r w:rsidRPr="00B62635">
        <w:rPr>
          <w:rFonts w:eastAsia="Times New Roman" w:cs="Times New Roman"/>
          <w:b/>
          <w:bCs/>
        </w:rPr>
        <w:fldChar w:fldCharType="separate"/>
      </w:r>
      <w:r w:rsidR="00556020">
        <w:rPr>
          <w:rFonts w:eastAsia="Times New Roman" w:cs="Times New Roman"/>
          <w:b/>
          <w:bCs/>
          <w:noProof/>
        </w:rPr>
        <w:t>15</w:t>
      </w:r>
      <w:r w:rsidRPr="00B62635">
        <w:rPr>
          <w:rFonts w:eastAsia="Times New Roman" w:cs="Times New Roman"/>
          <w:b/>
          <w:bCs/>
        </w:rPr>
        <w:fldChar w:fldCharType="end"/>
      </w:r>
      <w:bookmarkEnd w:id="62"/>
      <w:r w:rsidRPr="00B62635">
        <w:rPr>
          <w:rFonts w:eastAsia="Times New Roman" w:cs="Times New Roman"/>
          <w:b/>
          <w:bCs/>
        </w:rPr>
        <w:t xml:space="preserve"> </w:t>
      </w:r>
      <w:r w:rsidRPr="00B62635">
        <w:rPr>
          <w:rFonts w:eastAsia="Times New Roman" w:cs="Times New Roman"/>
          <w:bCs/>
        </w:rPr>
        <w:t>New VRE isolates by quarter</w:t>
      </w:r>
      <w:bookmarkEnd w:id="63"/>
    </w:p>
    <w:p w:rsidR="0035443D" w:rsidRDefault="00C43AB0" w:rsidP="0035443D">
      <w:pPr>
        <w:spacing w:after="336"/>
        <w:rPr>
          <w:noProof/>
          <w:lang w:eastAsia="en-AU"/>
        </w:rPr>
      </w:pPr>
      <w:r>
        <w:rPr>
          <w:noProof/>
          <w:lang w:eastAsia="en-AU"/>
        </w:rPr>
        <w:drawing>
          <wp:inline distT="0" distB="0" distL="0" distR="0" wp14:anchorId="7A1B13F3" wp14:editId="7BD95838">
            <wp:extent cx="5731510" cy="3181262"/>
            <wp:effectExtent l="0" t="0" r="21590" b="19685"/>
            <wp:docPr id="21" name="Chart 21" descr="Combined Figure 15, 16 and 17 descriptive text provided below figure 17" title="Figure 15 - New VRE isolates Chart by quart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Start w:id="64" w:name="_Toc459796602"/>
    </w:p>
    <w:p w:rsidR="0035443D" w:rsidRDefault="0035443D" w:rsidP="0035443D">
      <w:pPr>
        <w:spacing w:after="336"/>
        <w:rPr>
          <w:noProof/>
          <w:lang w:eastAsia="en-AU"/>
        </w:rPr>
      </w:pPr>
      <w:r>
        <w:rPr>
          <w:noProof/>
          <w:lang w:eastAsia="en-AU"/>
        </w:rPr>
        <w:br w:type="page"/>
      </w:r>
    </w:p>
    <w:p w:rsidR="00DB564F" w:rsidRDefault="00DB564F" w:rsidP="0035443D">
      <w:pPr>
        <w:spacing w:after="336"/>
        <w:rPr>
          <w:b/>
          <w:bCs/>
        </w:rPr>
      </w:pPr>
      <w:r w:rsidRPr="0035443D">
        <w:rPr>
          <w:rFonts w:eastAsia="Times New Roman" w:cs="Times New Roman"/>
          <w:b/>
          <w:bCs/>
        </w:rPr>
        <w:t xml:space="preserve">Figure </w:t>
      </w:r>
      <w:r w:rsidRPr="0035443D">
        <w:rPr>
          <w:rFonts w:eastAsia="Times New Roman" w:cs="Times New Roman"/>
          <w:b/>
          <w:bCs/>
        </w:rPr>
        <w:fldChar w:fldCharType="begin"/>
      </w:r>
      <w:r w:rsidRPr="0035443D">
        <w:rPr>
          <w:rFonts w:eastAsia="Times New Roman" w:cs="Times New Roman"/>
          <w:b/>
          <w:bCs/>
        </w:rPr>
        <w:instrText xml:space="preserve"> SEQ Figure \* ARABIC </w:instrText>
      </w:r>
      <w:r w:rsidRPr="0035443D">
        <w:rPr>
          <w:rFonts w:eastAsia="Times New Roman" w:cs="Times New Roman"/>
          <w:b/>
          <w:bCs/>
        </w:rPr>
        <w:fldChar w:fldCharType="separate"/>
      </w:r>
      <w:r w:rsidR="00556020">
        <w:rPr>
          <w:rFonts w:eastAsia="Times New Roman" w:cs="Times New Roman"/>
          <w:b/>
          <w:bCs/>
          <w:noProof/>
        </w:rPr>
        <w:t>16</w:t>
      </w:r>
      <w:r w:rsidRPr="0035443D">
        <w:rPr>
          <w:rFonts w:eastAsia="Times New Roman" w:cs="Times New Roman"/>
          <w:b/>
          <w:bCs/>
        </w:rPr>
        <w:fldChar w:fldCharType="end"/>
      </w:r>
      <w:r w:rsidRPr="00DB564F">
        <w:rPr>
          <w:b/>
        </w:rPr>
        <w:t xml:space="preserve"> </w:t>
      </w:r>
      <w:r w:rsidRPr="0035443D">
        <w:rPr>
          <w:bCs/>
        </w:rPr>
        <w:t>New VRE isolates by financial year</w:t>
      </w:r>
      <w:bookmarkEnd w:id="64"/>
    </w:p>
    <w:p w:rsidR="005D40B6" w:rsidRPr="00490A10" w:rsidRDefault="00DB564F" w:rsidP="00490A10">
      <w:pPr>
        <w:spacing w:after="336"/>
      </w:pPr>
      <w:r>
        <w:rPr>
          <w:noProof/>
          <w:lang w:eastAsia="en-AU"/>
        </w:rPr>
        <w:drawing>
          <wp:inline distT="0" distB="0" distL="0" distR="0" wp14:anchorId="5C1A61CA" wp14:editId="7B266F8D">
            <wp:extent cx="5732060" cy="2975212"/>
            <wp:effectExtent l="0" t="0" r="21590" b="15875"/>
            <wp:docPr id="24" name="Chart 24" descr="Combined Figure 15, 16 and 17 descriptive text provided below Figure 17." title="Figure 16 - New VRE isolates chart by financial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B715C" w:rsidRPr="00B87A53" w:rsidRDefault="008B715C" w:rsidP="008B715C">
      <w:pPr>
        <w:pStyle w:val="Caption"/>
        <w:rPr>
          <w:b w:val="0"/>
          <w:sz w:val="22"/>
          <w:szCs w:val="22"/>
        </w:rPr>
      </w:pPr>
      <w:bookmarkStart w:id="65" w:name="_Toc459796603"/>
      <w:r w:rsidRPr="00B87A53">
        <w:rPr>
          <w:sz w:val="22"/>
          <w:szCs w:val="22"/>
        </w:rPr>
        <w:t xml:space="preserve">Figure </w:t>
      </w:r>
      <w:r w:rsidRPr="00B87A53">
        <w:rPr>
          <w:sz w:val="22"/>
          <w:szCs w:val="22"/>
        </w:rPr>
        <w:fldChar w:fldCharType="begin"/>
      </w:r>
      <w:r w:rsidRPr="00B87A53">
        <w:rPr>
          <w:sz w:val="22"/>
          <w:szCs w:val="22"/>
        </w:rPr>
        <w:instrText xml:space="preserve"> SEQ Figure \* ARABIC </w:instrText>
      </w:r>
      <w:r w:rsidRPr="00B87A53">
        <w:rPr>
          <w:sz w:val="22"/>
          <w:szCs w:val="22"/>
        </w:rPr>
        <w:fldChar w:fldCharType="separate"/>
      </w:r>
      <w:r w:rsidR="00556020">
        <w:rPr>
          <w:noProof/>
          <w:sz w:val="22"/>
          <w:szCs w:val="22"/>
        </w:rPr>
        <w:t>17</w:t>
      </w:r>
      <w:r w:rsidRPr="00B87A53">
        <w:rPr>
          <w:sz w:val="22"/>
          <w:szCs w:val="22"/>
        </w:rPr>
        <w:fldChar w:fldCharType="end"/>
      </w:r>
      <w:r w:rsidRPr="00B87A53">
        <w:rPr>
          <w:sz w:val="22"/>
          <w:szCs w:val="22"/>
        </w:rPr>
        <w:t xml:space="preserve"> </w:t>
      </w:r>
      <w:r w:rsidRPr="00B87A53">
        <w:rPr>
          <w:b w:val="0"/>
          <w:sz w:val="22"/>
          <w:szCs w:val="22"/>
        </w:rPr>
        <w:t>New VRE isolates by genotype by financial year</w:t>
      </w:r>
      <w:bookmarkEnd w:id="65"/>
      <w:r w:rsidRPr="00B87A53">
        <w:rPr>
          <w:b w:val="0"/>
          <w:sz w:val="22"/>
          <w:szCs w:val="22"/>
        </w:rPr>
        <w:t xml:space="preserve"> </w:t>
      </w:r>
    </w:p>
    <w:p w:rsidR="008B715C" w:rsidRDefault="008B715C" w:rsidP="00490A10">
      <w:pPr>
        <w:spacing w:afterLines="0"/>
      </w:pPr>
      <w:r>
        <w:rPr>
          <w:noProof/>
          <w:lang w:eastAsia="en-AU"/>
        </w:rPr>
        <w:drawing>
          <wp:inline distT="0" distB="0" distL="0" distR="0" wp14:anchorId="0C926704" wp14:editId="6786C26B">
            <wp:extent cx="5732060" cy="2879678"/>
            <wp:effectExtent l="0" t="0" r="21590" b="16510"/>
            <wp:docPr id="11" name="Chart 11" descr="Combine Figures 15, 16 and 17 descriptive text provided below" title="Figure 17 - New VRE isolates by genotype chart by financial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B715C" w:rsidRDefault="002302C7" w:rsidP="00490A10">
      <w:pPr>
        <w:spacing w:afterLines="0"/>
      </w:pPr>
      <w:r>
        <w:t>During</w:t>
      </w:r>
      <w:r w:rsidR="005D40B6">
        <w:t xml:space="preserve"> the past 2 years there has been an increase in identification of VRE colonisations and infections</w:t>
      </w:r>
      <w:r>
        <w:t xml:space="preserve"> with </w:t>
      </w:r>
      <w:r w:rsidR="005D40B6">
        <w:t xml:space="preserve">a </w:t>
      </w:r>
      <w:r>
        <w:t>significant</w:t>
      </w:r>
      <w:r w:rsidR="005D40B6">
        <w:t xml:space="preserve"> increase in </w:t>
      </w:r>
      <w:r w:rsidR="00490A10">
        <w:t xml:space="preserve">2015-16. </w:t>
      </w:r>
      <w:r>
        <w:t xml:space="preserve"> </w:t>
      </w:r>
      <w:r w:rsidR="00066DCB">
        <w:t xml:space="preserve">The majority of VRE within Tasmania remains </w:t>
      </w:r>
      <w:proofErr w:type="spellStart"/>
      <w:r w:rsidR="00066DCB">
        <w:t>vanB</w:t>
      </w:r>
      <w:proofErr w:type="spellEnd"/>
      <w:r w:rsidR="00066DCB">
        <w:t xml:space="preserve"> </w:t>
      </w:r>
      <w:r w:rsidR="00066DCB" w:rsidRPr="00066DCB">
        <w:rPr>
          <w:i/>
        </w:rPr>
        <w:t xml:space="preserve">E. </w:t>
      </w:r>
      <w:proofErr w:type="spellStart"/>
      <w:r w:rsidR="00066DCB" w:rsidRPr="00066DCB">
        <w:rPr>
          <w:i/>
        </w:rPr>
        <w:t>faecium</w:t>
      </w:r>
      <w:proofErr w:type="spellEnd"/>
      <w:r w:rsidR="00066DCB">
        <w:t xml:space="preserve"> but there has been a recent increase in the number of isolates with the </w:t>
      </w:r>
      <w:proofErr w:type="spellStart"/>
      <w:r w:rsidR="00066DCB">
        <w:t>vanA</w:t>
      </w:r>
      <w:proofErr w:type="spellEnd"/>
      <w:r w:rsidR="00066DCB">
        <w:t xml:space="preserve"> genotype which is concerning as there are limited </w:t>
      </w:r>
      <w:r w:rsidR="008B715C">
        <w:t>antimicrobial choice</w:t>
      </w:r>
      <w:r>
        <w:t>s</w:t>
      </w:r>
      <w:r w:rsidR="008B715C">
        <w:t xml:space="preserve"> for treatment of infection</w:t>
      </w:r>
      <w:r w:rsidR="00066DCB">
        <w:t xml:space="preserve"> with this organism</w:t>
      </w:r>
      <w:r w:rsidR="008B715C">
        <w:t xml:space="preserve">. </w:t>
      </w:r>
    </w:p>
    <w:p w:rsidR="005D40B6" w:rsidRDefault="005D40B6" w:rsidP="00490A10">
      <w:pPr>
        <w:spacing w:afterLines="0"/>
      </w:pPr>
      <w:r>
        <w:t xml:space="preserve">The reasons for the increase in new VRE isolates appear to be related to </w:t>
      </w:r>
      <w:r w:rsidR="00490A10">
        <w:t xml:space="preserve">targeted screening (identifying those more at risk of VRE colonisation), </w:t>
      </w:r>
      <w:r>
        <w:t xml:space="preserve">transmission of VRE amongst hospitalised patients and </w:t>
      </w:r>
      <w:r w:rsidR="002302C7">
        <w:t xml:space="preserve">an overall </w:t>
      </w:r>
      <w:r w:rsidR="00490A10">
        <w:t xml:space="preserve">increase in VRE </w:t>
      </w:r>
      <w:r w:rsidR="006B3F11">
        <w:t xml:space="preserve">burden within </w:t>
      </w:r>
      <w:r w:rsidR="00490A10">
        <w:t xml:space="preserve">Tasmania. </w:t>
      </w:r>
    </w:p>
    <w:p w:rsidR="004B39D8" w:rsidRPr="004B39D8" w:rsidRDefault="004B39D8" w:rsidP="004B39D8">
      <w:pPr>
        <w:pStyle w:val="Heading1"/>
        <w:spacing w:after="336"/>
        <w:rPr>
          <w:rFonts w:ascii="Gill Sans MT" w:hAnsi="Gill Sans MT"/>
          <w:sz w:val="32"/>
          <w:szCs w:val="32"/>
        </w:rPr>
      </w:pPr>
      <w:bookmarkStart w:id="66" w:name="_Toc459796634"/>
      <w:r w:rsidRPr="004B39D8">
        <w:rPr>
          <w:rFonts w:ascii="Gill Sans MT" w:eastAsiaTheme="minorHAnsi" w:hAnsi="Gill Sans MT" w:cstheme="minorBidi"/>
          <w:bCs w:val="0"/>
          <w:color w:val="auto"/>
          <w:sz w:val="32"/>
          <w:szCs w:val="32"/>
        </w:rPr>
        <w:t>VRE screening effort</w:t>
      </w:r>
      <w:bookmarkEnd w:id="66"/>
    </w:p>
    <w:p w:rsidR="00A334F5" w:rsidRDefault="00A334F5" w:rsidP="004B39D8">
      <w:pPr>
        <w:spacing w:afterLines="0"/>
      </w:pPr>
      <w:r>
        <w:t>The volume of VRE screening has increased in Tasmania i</w:t>
      </w:r>
      <w:r w:rsidR="008B1D5F">
        <w:t>n</w:t>
      </w:r>
      <w:r>
        <w:t xml:space="preserve"> response to the infection control management of VRE within acute public hospitals.</w:t>
      </w:r>
    </w:p>
    <w:p w:rsidR="00A334F5" w:rsidRDefault="00B87A53" w:rsidP="004B39D8">
      <w:pPr>
        <w:spacing w:afterLines="0"/>
      </w:pPr>
      <w:r w:rsidRPr="00C823CB">
        <w:fldChar w:fldCharType="begin"/>
      </w:r>
      <w:r w:rsidRPr="00C823CB">
        <w:instrText xml:space="preserve"> REF _Ref458776988 \h </w:instrText>
      </w:r>
      <w:r w:rsidR="00C823CB">
        <w:instrText xml:space="preserve"> \* MERGEFORMAT </w:instrText>
      </w:r>
      <w:r w:rsidRPr="00C823CB">
        <w:fldChar w:fldCharType="separate"/>
      </w:r>
      <w:r w:rsidR="00556020" w:rsidRPr="00556020">
        <w:t xml:space="preserve">Table </w:t>
      </w:r>
      <w:r w:rsidR="00556020" w:rsidRPr="00556020">
        <w:rPr>
          <w:noProof/>
        </w:rPr>
        <w:t>1</w:t>
      </w:r>
      <w:r w:rsidRPr="00C823CB">
        <w:fldChar w:fldCharType="end"/>
      </w:r>
      <w:r w:rsidR="00A334F5">
        <w:t xml:space="preserve">presents the VRE screening effort across the four larger acute public hospitals, demonstrating the numbers of screening specimens tested, the number of specimens that have cultured VRE and the percentage of screening specimens that cultured VRE. </w:t>
      </w:r>
      <w:r w:rsidR="0035443D">
        <w:br/>
      </w:r>
    </w:p>
    <w:p w:rsidR="00B87A53" w:rsidRDefault="00B87A53" w:rsidP="004B39D8">
      <w:pPr>
        <w:spacing w:afterLines="0"/>
      </w:pPr>
      <w:bookmarkStart w:id="67" w:name="_Ref458776988"/>
      <w:bookmarkStart w:id="68" w:name="_Toc459796755"/>
      <w:r w:rsidRPr="00C16108">
        <w:rPr>
          <w:b/>
        </w:rPr>
        <w:t xml:space="preserve">Table </w:t>
      </w:r>
      <w:r w:rsidRPr="00C16108">
        <w:rPr>
          <w:b/>
        </w:rPr>
        <w:fldChar w:fldCharType="begin"/>
      </w:r>
      <w:r w:rsidRPr="00C16108">
        <w:rPr>
          <w:b/>
        </w:rPr>
        <w:instrText xml:space="preserve"> SEQ Table \* ARABIC </w:instrText>
      </w:r>
      <w:r w:rsidRPr="00C16108">
        <w:rPr>
          <w:b/>
        </w:rPr>
        <w:fldChar w:fldCharType="separate"/>
      </w:r>
      <w:r w:rsidR="00556020">
        <w:rPr>
          <w:b/>
          <w:noProof/>
        </w:rPr>
        <w:t>1</w:t>
      </w:r>
      <w:r w:rsidRPr="00C16108">
        <w:rPr>
          <w:b/>
        </w:rPr>
        <w:fldChar w:fldCharType="end"/>
      </w:r>
      <w:bookmarkEnd w:id="67"/>
      <w:r w:rsidRPr="00B87A53">
        <w:t xml:space="preserve"> </w:t>
      </w:r>
      <w:r w:rsidR="00C16108">
        <w:t xml:space="preserve">Proportion of VRE positives </w:t>
      </w:r>
      <w:r w:rsidR="004B39D8">
        <w:t>from screening specimens</w:t>
      </w:r>
      <w:bookmarkEnd w:id="68"/>
    </w:p>
    <w:tbl>
      <w:tblPr>
        <w:tblW w:w="9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1 - Proportion of VRE positives from screening specimens"/>
        <w:tblDescription w:val="Text description below"/>
      </w:tblPr>
      <w:tblGrid>
        <w:gridCol w:w="793"/>
        <w:gridCol w:w="1134"/>
        <w:gridCol w:w="1134"/>
        <w:gridCol w:w="1134"/>
        <w:gridCol w:w="1134"/>
        <w:gridCol w:w="1134"/>
        <w:gridCol w:w="1134"/>
        <w:gridCol w:w="1134"/>
        <w:gridCol w:w="1134"/>
      </w:tblGrid>
      <w:tr w:rsidR="00A7123B" w:rsidRPr="00B62635" w:rsidTr="00A7123B">
        <w:trPr>
          <w:jc w:val="center"/>
        </w:trPr>
        <w:tc>
          <w:tcPr>
            <w:tcW w:w="793" w:type="dxa"/>
            <w:vMerge w:val="restart"/>
          </w:tcPr>
          <w:p w:rsidR="00A7123B" w:rsidRPr="00B62635" w:rsidRDefault="00A7123B" w:rsidP="000D55A1">
            <w:pPr>
              <w:spacing w:afterLines="0" w:after="120" w:line="240" w:lineRule="auto"/>
            </w:pPr>
          </w:p>
        </w:tc>
        <w:tc>
          <w:tcPr>
            <w:tcW w:w="2268" w:type="dxa"/>
            <w:gridSpan w:val="2"/>
            <w:shd w:val="clear" w:color="auto" w:fill="auto"/>
          </w:tcPr>
          <w:p w:rsidR="00A7123B" w:rsidRPr="00B62635" w:rsidRDefault="00A7123B" w:rsidP="000D55A1">
            <w:pPr>
              <w:spacing w:afterLines="0" w:after="120" w:line="240" w:lineRule="auto"/>
              <w:rPr>
                <w:b/>
              </w:rPr>
            </w:pPr>
            <w:r>
              <w:rPr>
                <w:b/>
              </w:rPr>
              <w:t>RHH</w:t>
            </w:r>
          </w:p>
        </w:tc>
        <w:tc>
          <w:tcPr>
            <w:tcW w:w="2268" w:type="dxa"/>
            <w:gridSpan w:val="2"/>
            <w:shd w:val="clear" w:color="auto" w:fill="auto"/>
          </w:tcPr>
          <w:p w:rsidR="00A7123B" w:rsidRPr="00B62635" w:rsidRDefault="00A7123B" w:rsidP="000D55A1">
            <w:pPr>
              <w:spacing w:afterLines="0" w:after="120" w:line="240" w:lineRule="auto"/>
              <w:rPr>
                <w:b/>
              </w:rPr>
            </w:pPr>
            <w:r>
              <w:rPr>
                <w:b/>
              </w:rPr>
              <w:t>LGH</w:t>
            </w:r>
          </w:p>
        </w:tc>
        <w:tc>
          <w:tcPr>
            <w:tcW w:w="2268" w:type="dxa"/>
            <w:gridSpan w:val="2"/>
          </w:tcPr>
          <w:p w:rsidR="00A7123B" w:rsidRPr="00B62635" w:rsidRDefault="00A7123B" w:rsidP="000D55A1">
            <w:pPr>
              <w:spacing w:afterLines="0" w:after="120" w:line="240" w:lineRule="auto"/>
              <w:rPr>
                <w:b/>
              </w:rPr>
            </w:pPr>
            <w:r>
              <w:rPr>
                <w:b/>
              </w:rPr>
              <w:t>MCH</w:t>
            </w:r>
          </w:p>
        </w:tc>
        <w:tc>
          <w:tcPr>
            <w:tcW w:w="2268" w:type="dxa"/>
            <w:gridSpan w:val="2"/>
            <w:shd w:val="clear" w:color="auto" w:fill="auto"/>
          </w:tcPr>
          <w:p w:rsidR="00A7123B" w:rsidRPr="00B62635" w:rsidRDefault="00A7123B" w:rsidP="000D55A1">
            <w:pPr>
              <w:spacing w:afterLines="0" w:after="120" w:line="240" w:lineRule="auto"/>
              <w:rPr>
                <w:b/>
              </w:rPr>
            </w:pPr>
            <w:r>
              <w:rPr>
                <w:b/>
              </w:rPr>
              <w:t>NWRH</w:t>
            </w:r>
          </w:p>
        </w:tc>
      </w:tr>
      <w:tr w:rsidR="00A7123B" w:rsidRPr="00B62635" w:rsidTr="00A7123B">
        <w:trPr>
          <w:jc w:val="center"/>
        </w:trPr>
        <w:tc>
          <w:tcPr>
            <w:tcW w:w="793" w:type="dxa"/>
            <w:vMerge/>
          </w:tcPr>
          <w:p w:rsidR="00A7123B" w:rsidRPr="00B62635" w:rsidRDefault="00A7123B" w:rsidP="000D55A1">
            <w:pPr>
              <w:spacing w:afterLines="0" w:after="120" w:line="240" w:lineRule="auto"/>
            </w:pPr>
          </w:p>
        </w:tc>
        <w:tc>
          <w:tcPr>
            <w:tcW w:w="1134" w:type="dxa"/>
            <w:shd w:val="clear" w:color="auto" w:fill="auto"/>
          </w:tcPr>
          <w:p w:rsidR="00A7123B" w:rsidRPr="00A334F5" w:rsidRDefault="004B39D8" w:rsidP="00A7123B">
            <w:pPr>
              <w:spacing w:afterLines="0" w:after="120" w:line="240" w:lineRule="auto"/>
              <w:jc w:val="center"/>
              <w:rPr>
                <w:b/>
                <w:sz w:val="18"/>
                <w:szCs w:val="18"/>
              </w:rPr>
            </w:pPr>
            <w:r w:rsidRPr="00A334F5">
              <w:rPr>
                <w:b/>
                <w:sz w:val="18"/>
                <w:szCs w:val="18"/>
              </w:rPr>
              <w:t xml:space="preserve">Screening specimens </w:t>
            </w:r>
            <w:r w:rsidR="00A7123B" w:rsidRPr="00A334F5">
              <w:rPr>
                <w:b/>
                <w:sz w:val="18"/>
                <w:szCs w:val="18"/>
              </w:rPr>
              <w:t>tested</w:t>
            </w:r>
          </w:p>
        </w:tc>
        <w:tc>
          <w:tcPr>
            <w:tcW w:w="1134" w:type="dxa"/>
            <w:shd w:val="clear" w:color="auto" w:fill="auto"/>
          </w:tcPr>
          <w:p w:rsidR="00A7123B" w:rsidRPr="00A334F5" w:rsidRDefault="00A7123B" w:rsidP="00A334F5">
            <w:pPr>
              <w:spacing w:afterLines="0" w:after="120" w:line="240" w:lineRule="auto"/>
              <w:jc w:val="center"/>
              <w:rPr>
                <w:b/>
                <w:sz w:val="18"/>
                <w:szCs w:val="18"/>
              </w:rPr>
            </w:pPr>
            <w:r w:rsidRPr="00A334F5">
              <w:rPr>
                <w:b/>
                <w:sz w:val="18"/>
                <w:szCs w:val="18"/>
              </w:rPr>
              <w:t xml:space="preserve">Positive specimens </w:t>
            </w:r>
          </w:p>
        </w:tc>
        <w:tc>
          <w:tcPr>
            <w:tcW w:w="1134" w:type="dxa"/>
            <w:shd w:val="clear" w:color="auto" w:fill="auto"/>
          </w:tcPr>
          <w:p w:rsidR="00A7123B" w:rsidRPr="00A334F5" w:rsidRDefault="004B39D8" w:rsidP="00A7123B">
            <w:pPr>
              <w:spacing w:afterLines="0" w:after="120" w:line="240" w:lineRule="auto"/>
              <w:jc w:val="center"/>
              <w:rPr>
                <w:b/>
                <w:sz w:val="18"/>
                <w:szCs w:val="18"/>
              </w:rPr>
            </w:pPr>
            <w:r w:rsidRPr="00A334F5">
              <w:rPr>
                <w:b/>
                <w:sz w:val="18"/>
                <w:szCs w:val="18"/>
              </w:rPr>
              <w:t>Screening specimens tested</w:t>
            </w:r>
          </w:p>
        </w:tc>
        <w:tc>
          <w:tcPr>
            <w:tcW w:w="1134" w:type="dxa"/>
          </w:tcPr>
          <w:p w:rsidR="00A7123B" w:rsidRPr="00A334F5" w:rsidRDefault="00A7123B" w:rsidP="00A334F5">
            <w:pPr>
              <w:spacing w:afterLines="0" w:after="120" w:line="240" w:lineRule="auto"/>
              <w:jc w:val="center"/>
              <w:rPr>
                <w:b/>
                <w:sz w:val="18"/>
                <w:szCs w:val="18"/>
              </w:rPr>
            </w:pPr>
            <w:r w:rsidRPr="00A334F5">
              <w:rPr>
                <w:b/>
                <w:sz w:val="18"/>
                <w:szCs w:val="18"/>
              </w:rPr>
              <w:t xml:space="preserve">Positive specimens </w:t>
            </w:r>
          </w:p>
        </w:tc>
        <w:tc>
          <w:tcPr>
            <w:tcW w:w="1134" w:type="dxa"/>
          </w:tcPr>
          <w:p w:rsidR="00A7123B" w:rsidRPr="00A334F5" w:rsidRDefault="004B39D8" w:rsidP="00A7123B">
            <w:pPr>
              <w:spacing w:afterLines="0" w:after="120" w:line="240" w:lineRule="auto"/>
              <w:jc w:val="center"/>
              <w:rPr>
                <w:b/>
                <w:sz w:val="18"/>
                <w:szCs w:val="18"/>
              </w:rPr>
            </w:pPr>
            <w:r w:rsidRPr="00A334F5">
              <w:rPr>
                <w:b/>
                <w:sz w:val="18"/>
                <w:szCs w:val="18"/>
              </w:rPr>
              <w:t>Screening specimens tested</w:t>
            </w:r>
          </w:p>
        </w:tc>
        <w:tc>
          <w:tcPr>
            <w:tcW w:w="1134" w:type="dxa"/>
            <w:shd w:val="clear" w:color="auto" w:fill="auto"/>
          </w:tcPr>
          <w:p w:rsidR="00A7123B" w:rsidRPr="00A334F5" w:rsidRDefault="00A7123B" w:rsidP="00A334F5">
            <w:pPr>
              <w:spacing w:afterLines="0" w:after="120" w:line="240" w:lineRule="auto"/>
              <w:jc w:val="center"/>
              <w:rPr>
                <w:b/>
                <w:sz w:val="18"/>
                <w:szCs w:val="18"/>
              </w:rPr>
            </w:pPr>
            <w:r w:rsidRPr="00A334F5">
              <w:rPr>
                <w:b/>
                <w:sz w:val="18"/>
                <w:szCs w:val="18"/>
              </w:rPr>
              <w:t xml:space="preserve">Positive specimens </w:t>
            </w:r>
          </w:p>
        </w:tc>
        <w:tc>
          <w:tcPr>
            <w:tcW w:w="1134" w:type="dxa"/>
            <w:shd w:val="clear" w:color="auto" w:fill="auto"/>
          </w:tcPr>
          <w:p w:rsidR="00A7123B" w:rsidRPr="00A334F5" w:rsidRDefault="004B39D8" w:rsidP="00A7123B">
            <w:pPr>
              <w:spacing w:afterLines="0" w:after="120" w:line="240" w:lineRule="auto"/>
              <w:jc w:val="center"/>
              <w:rPr>
                <w:b/>
                <w:sz w:val="18"/>
                <w:szCs w:val="18"/>
              </w:rPr>
            </w:pPr>
            <w:r w:rsidRPr="00A334F5">
              <w:rPr>
                <w:b/>
                <w:sz w:val="18"/>
                <w:szCs w:val="18"/>
              </w:rPr>
              <w:t>Screening specimens tested</w:t>
            </w:r>
          </w:p>
        </w:tc>
        <w:tc>
          <w:tcPr>
            <w:tcW w:w="1134" w:type="dxa"/>
            <w:shd w:val="clear" w:color="auto" w:fill="auto"/>
          </w:tcPr>
          <w:p w:rsidR="00A7123B" w:rsidRPr="00A334F5" w:rsidRDefault="00A7123B" w:rsidP="00A334F5">
            <w:pPr>
              <w:spacing w:afterLines="0" w:after="120" w:line="240" w:lineRule="auto"/>
              <w:jc w:val="center"/>
              <w:rPr>
                <w:b/>
                <w:sz w:val="18"/>
                <w:szCs w:val="18"/>
              </w:rPr>
            </w:pPr>
            <w:r w:rsidRPr="00A334F5">
              <w:rPr>
                <w:b/>
                <w:sz w:val="18"/>
                <w:szCs w:val="18"/>
              </w:rPr>
              <w:t xml:space="preserve">Positive specimens </w:t>
            </w:r>
          </w:p>
        </w:tc>
      </w:tr>
      <w:tr w:rsidR="00A7123B" w:rsidRPr="00B62635" w:rsidTr="00A7123B">
        <w:trPr>
          <w:jc w:val="center"/>
        </w:trPr>
        <w:tc>
          <w:tcPr>
            <w:tcW w:w="793" w:type="dxa"/>
          </w:tcPr>
          <w:p w:rsidR="00A7123B" w:rsidRPr="00B62635" w:rsidRDefault="00A7123B" w:rsidP="000D55A1">
            <w:pPr>
              <w:spacing w:afterLines="0" w:after="120" w:line="240" w:lineRule="auto"/>
            </w:pPr>
            <w:r>
              <w:t>2014</w:t>
            </w:r>
          </w:p>
        </w:tc>
        <w:tc>
          <w:tcPr>
            <w:tcW w:w="1134" w:type="dxa"/>
            <w:shd w:val="clear" w:color="auto" w:fill="auto"/>
          </w:tcPr>
          <w:p w:rsidR="00A7123B" w:rsidRPr="00A7123B" w:rsidRDefault="00A7123B" w:rsidP="000D55A1">
            <w:pPr>
              <w:spacing w:afterLines="0" w:after="120" w:line="240" w:lineRule="auto"/>
              <w:rPr>
                <w:sz w:val="20"/>
                <w:szCs w:val="20"/>
              </w:rPr>
            </w:pPr>
            <w:r w:rsidRPr="00A7123B">
              <w:rPr>
                <w:sz w:val="20"/>
                <w:szCs w:val="20"/>
              </w:rPr>
              <w:t>1962</w:t>
            </w:r>
          </w:p>
        </w:tc>
        <w:tc>
          <w:tcPr>
            <w:tcW w:w="1134" w:type="dxa"/>
            <w:shd w:val="clear" w:color="auto" w:fill="auto"/>
          </w:tcPr>
          <w:p w:rsidR="00A7123B" w:rsidRPr="00A7123B" w:rsidRDefault="00A7123B" w:rsidP="000D55A1">
            <w:pPr>
              <w:spacing w:afterLines="0" w:after="120" w:line="240" w:lineRule="auto"/>
              <w:rPr>
                <w:sz w:val="20"/>
                <w:szCs w:val="20"/>
              </w:rPr>
            </w:pPr>
            <w:r w:rsidRPr="00A7123B">
              <w:rPr>
                <w:sz w:val="20"/>
                <w:szCs w:val="20"/>
              </w:rPr>
              <w:t>12 (0.6%)</w:t>
            </w:r>
          </w:p>
        </w:tc>
        <w:tc>
          <w:tcPr>
            <w:tcW w:w="1134" w:type="dxa"/>
            <w:shd w:val="clear" w:color="auto" w:fill="auto"/>
          </w:tcPr>
          <w:p w:rsidR="00A7123B" w:rsidRPr="00A7123B" w:rsidRDefault="00A7123B" w:rsidP="000D55A1">
            <w:pPr>
              <w:spacing w:afterLines="0" w:after="120" w:line="240" w:lineRule="auto"/>
              <w:rPr>
                <w:sz w:val="20"/>
                <w:szCs w:val="20"/>
              </w:rPr>
            </w:pPr>
            <w:r w:rsidRPr="00A7123B">
              <w:rPr>
                <w:sz w:val="20"/>
                <w:szCs w:val="20"/>
              </w:rPr>
              <w:t>353</w:t>
            </w:r>
          </w:p>
        </w:tc>
        <w:tc>
          <w:tcPr>
            <w:tcW w:w="1134" w:type="dxa"/>
            <w:shd w:val="clear" w:color="auto" w:fill="auto"/>
          </w:tcPr>
          <w:p w:rsidR="00A7123B" w:rsidRPr="00A7123B" w:rsidRDefault="00A7123B" w:rsidP="000D55A1">
            <w:pPr>
              <w:spacing w:afterLines="0" w:after="120" w:line="240" w:lineRule="auto"/>
              <w:rPr>
                <w:sz w:val="20"/>
                <w:szCs w:val="20"/>
              </w:rPr>
            </w:pPr>
            <w:r w:rsidRPr="00A7123B">
              <w:rPr>
                <w:sz w:val="20"/>
                <w:szCs w:val="20"/>
              </w:rPr>
              <w:t>25 (7.1%)</w:t>
            </w:r>
          </w:p>
        </w:tc>
        <w:tc>
          <w:tcPr>
            <w:tcW w:w="1134" w:type="dxa"/>
            <w:shd w:val="clear" w:color="auto" w:fill="auto"/>
          </w:tcPr>
          <w:p w:rsidR="00A7123B" w:rsidRPr="00A7123B" w:rsidRDefault="00A7123B" w:rsidP="000D55A1">
            <w:pPr>
              <w:spacing w:afterLines="0" w:after="120" w:line="240" w:lineRule="auto"/>
              <w:rPr>
                <w:sz w:val="20"/>
                <w:szCs w:val="20"/>
              </w:rPr>
            </w:pPr>
            <w:r w:rsidRPr="00A7123B">
              <w:rPr>
                <w:sz w:val="20"/>
                <w:szCs w:val="20"/>
              </w:rPr>
              <w:t>544</w:t>
            </w:r>
          </w:p>
        </w:tc>
        <w:tc>
          <w:tcPr>
            <w:tcW w:w="1134" w:type="dxa"/>
            <w:shd w:val="clear" w:color="auto" w:fill="auto"/>
          </w:tcPr>
          <w:p w:rsidR="00A7123B" w:rsidRPr="00A7123B" w:rsidRDefault="00A7123B" w:rsidP="000D55A1">
            <w:pPr>
              <w:spacing w:afterLines="0" w:after="120" w:line="240" w:lineRule="auto"/>
              <w:rPr>
                <w:sz w:val="20"/>
                <w:szCs w:val="20"/>
              </w:rPr>
            </w:pPr>
            <w:r w:rsidRPr="00A7123B">
              <w:rPr>
                <w:sz w:val="20"/>
                <w:szCs w:val="20"/>
              </w:rPr>
              <w:t>8 (1.5%)</w:t>
            </w:r>
          </w:p>
        </w:tc>
        <w:tc>
          <w:tcPr>
            <w:tcW w:w="1134" w:type="dxa"/>
            <w:shd w:val="clear" w:color="auto" w:fill="auto"/>
          </w:tcPr>
          <w:p w:rsidR="00A7123B" w:rsidRPr="00A7123B" w:rsidRDefault="00A7123B" w:rsidP="000D55A1">
            <w:pPr>
              <w:spacing w:afterLines="0" w:after="120" w:line="240" w:lineRule="auto"/>
              <w:rPr>
                <w:sz w:val="20"/>
                <w:szCs w:val="20"/>
              </w:rPr>
            </w:pPr>
            <w:r w:rsidRPr="00A7123B">
              <w:rPr>
                <w:sz w:val="20"/>
                <w:szCs w:val="20"/>
              </w:rPr>
              <w:t>893</w:t>
            </w:r>
          </w:p>
        </w:tc>
        <w:tc>
          <w:tcPr>
            <w:tcW w:w="1134" w:type="dxa"/>
            <w:shd w:val="clear" w:color="auto" w:fill="auto"/>
          </w:tcPr>
          <w:p w:rsidR="00A7123B" w:rsidRPr="00A7123B" w:rsidRDefault="00A7123B" w:rsidP="000D55A1">
            <w:pPr>
              <w:spacing w:afterLines="0" w:after="120" w:line="240" w:lineRule="auto"/>
              <w:rPr>
                <w:sz w:val="20"/>
                <w:szCs w:val="20"/>
              </w:rPr>
            </w:pPr>
            <w:r w:rsidRPr="00A7123B">
              <w:rPr>
                <w:sz w:val="20"/>
                <w:szCs w:val="20"/>
              </w:rPr>
              <w:t>11 (1.2%)</w:t>
            </w:r>
          </w:p>
        </w:tc>
      </w:tr>
      <w:tr w:rsidR="00A7123B" w:rsidRPr="00B62635" w:rsidTr="00A7123B">
        <w:trPr>
          <w:jc w:val="center"/>
        </w:trPr>
        <w:tc>
          <w:tcPr>
            <w:tcW w:w="793" w:type="dxa"/>
          </w:tcPr>
          <w:p w:rsidR="00A7123B" w:rsidRDefault="00A7123B" w:rsidP="000D55A1">
            <w:pPr>
              <w:spacing w:afterLines="0" w:after="120" w:line="240" w:lineRule="auto"/>
            </w:pPr>
            <w:r>
              <w:t>2015</w:t>
            </w:r>
          </w:p>
        </w:tc>
        <w:tc>
          <w:tcPr>
            <w:tcW w:w="1134" w:type="dxa"/>
            <w:shd w:val="clear" w:color="auto" w:fill="auto"/>
          </w:tcPr>
          <w:p w:rsidR="00A7123B" w:rsidRPr="00A7123B" w:rsidRDefault="00A7123B" w:rsidP="000D55A1">
            <w:pPr>
              <w:spacing w:afterLines="0" w:after="120" w:line="240" w:lineRule="auto"/>
              <w:rPr>
                <w:sz w:val="20"/>
                <w:szCs w:val="20"/>
              </w:rPr>
            </w:pPr>
            <w:r w:rsidRPr="00A7123B">
              <w:rPr>
                <w:sz w:val="20"/>
                <w:szCs w:val="20"/>
              </w:rPr>
              <w:t>2077</w:t>
            </w:r>
          </w:p>
        </w:tc>
        <w:tc>
          <w:tcPr>
            <w:tcW w:w="1134" w:type="dxa"/>
            <w:shd w:val="clear" w:color="auto" w:fill="auto"/>
          </w:tcPr>
          <w:p w:rsidR="00A7123B" w:rsidRPr="00A7123B" w:rsidRDefault="00A7123B" w:rsidP="000D55A1">
            <w:pPr>
              <w:spacing w:afterLines="0" w:after="120" w:line="240" w:lineRule="auto"/>
              <w:rPr>
                <w:sz w:val="20"/>
                <w:szCs w:val="20"/>
              </w:rPr>
            </w:pPr>
            <w:r w:rsidRPr="00A7123B">
              <w:rPr>
                <w:sz w:val="20"/>
                <w:szCs w:val="20"/>
              </w:rPr>
              <w:t>91 (4.4%)</w:t>
            </w:r>
          </w:p>
        </w:tc>
        <w:tc>
          <w:tcPr>
            <w:tcW w:w="1134" w:type="dxa"/>
            <w:shd w:val="clear" w:color="auto" w:fill="auto"/>
          </w:tcPr>
          <w:p w:rsidR="00A7123B" w:rsidRPr="00A7123B" w:rsidRDefault="00A7123B" w:rsidP="000D55A1">
            <w:pPr>
              <w:spacing w:afterLines="0" w:after="120" w:line="240" w:lineRule="auto"/>
              <w:rPr>
                <w:sz w:val="20"/>
                <w:szCs w:val="20"/>
              </w:rPr>
            </w:pPr>
            <w:r w:rsidRPr="00A7123B">
              <w:rPr>
                <w:sz w:val="20"/>
                <w:szCs w:val="20"/>
              </w:rPr>
              <w:t>586</w:t>
            </w:r>
          </w:p>
        </w:tc>
        <w:tc>
          <w:tcPr>
            <w:tcW w:w="1134" w:type="dxa"/>
            <w:shd w:val="clear" w:color="auto" w:fill="auto"/>
          </w:tcPr>
          <w:p w:rsidR="00A7123B" w:rsidRPr="00A7123B" w:rsidRDefault="00A7123B" w:rsidP="000D55A1">
            <w:pPr>
              <w:spacing w:afterLines="0" w:after="120" w:line="240" w:lineRule="auto"/>
              <w:rPr>
                <w:sz w:val="20"/>
                <w:szCs w:val="20"/>
              </w:rPr>
            </w:pPr>
            <w:r w:rsidRPr="00A7123B">
              <w:rPr>
                <w:sz w:val="20"/>
                <w:szCs w:val="20"/>
              </w:rPr>
              <w:t>52 (8.9%)</w:t>
            </w:r>
          </w:p>
        </w:tc>
        <w:tc>
          <w:tcPr>
            <w:tcW w:w="1134" w:type="dxa"/>
            <w:shd w:val="clear" w:color="auto" w:fill="auto"/>
          </w:tcPr>
          <w:p w:rsidR="00A7123B" w:rsidRPr="00A7123B" w:rsidRDefault="00A7123B" w:rsidP="000D55A1">
            <w:pPr>
              <w:spacing w:afterLines="0" w:after="120" w:line="240" w:lineRule="auto"/>
              <w:rPr>
                <w:sz w:val="20"/>
                <w:szCs w:val="20"/>
              </w:rPr>
            </w:pPr>
            <w:r w:rsidRPr="00A7123B">
              <w:rPr>
                <w:sz w:val="20"/>
                <w:szCs w:val="20"/>
              </w:rPr>
              <w:t>404</w:t>
            </w:r>
          </w:p>
        </w:tc>
        <w:tc>
          <w:tcPr>
            <w:tcW w:w="1134" w:type="dxa"/>
            <w:shd w:val="clear" w:color="auto" w:fill="auto"/>
          </w:tcPr>
          <w:p w:rsidR="00A7123B" w:rsidRPr="00A7123B" w:rsidRDefault="00A7123B" w:rsidP="000D55A1">
            <w:pPr>
              <w:spacing w:afterLines="0" w:after="120" w:line="240" w:lineRule="auto"/>
              <w:rPr>
                <w:sz w:val="20"/>
                <w:szCs w:val="20"/>
              </w:rPr>
            </w:pPr>
            <w:r w:rsidRPr="00A7123B">
              <w:rPr>
                <w:sz w:val="20"/>
                <w:szCs w:val="20"/>
              </w:rPr>
              <w:t>17 (4.2%)</w:t>
            </w:r>
          </w:p>
        </w:tc>
        <w:tc>
          <w:tcPr>
            <w:tcW w:w="1134" w:type="dxa"/>
            <w:shd w:val="clear" w:color="auto" w:fill="auto"/>
          </w:tcPr>
          <w:p w:rsidR="00A7123B" w:rsidRPr="00A7123B" w:rsidRDefault="00A7123B" w:rsidP="000D55A1">
            <w:pPr>
              <w:spacing w:afterLines="0" w:after="120" w:line="240" w:lineRule="auto"/>
              <w:rPr>
                <w:sz w:val="20"/>
                <w:szCs w:val="20"/>
              </w:rPr>
            </w:pPr>
            <w:r w:rsidRPr="00A7123B">
              <w:rPr>
                <w:sz w:val="20"/>
                <w:szCs w:val="20"/>
              </w:rPr>
              <w:t>962</w:t>
            </w:r>
          </w:p>
        </w:tc>
        <w:tc>
          <w:tcPr>
            <w:tcW w:w="1134" w:type="dxa"/>
            <w:shd w:val="clear" w:color="auto" w:fill="auto"/>
          </w:tcPr>
          <w:p w:rsidR="00A7123B" w:rsidRPr="00A7123B" w:rsidRDefault="00A7123B" w:rsidP="000D55A1">
            <w:pPr>
              <w:spacing w:afterLines="0" w:after="120" w:line="240" w:lineRule="auto"/>
              <w:rPr>
                <w:sz w:val="20"/>
                <w:szCs w:val="20"/>
              </w:rPr>
            </w:pPr>
            <w:r w:rsidRPr="00A7123B">
              <w:rPr>
                <w:sz w:val="20"/>
                <w:szCs w:val="20"/>
              </w:rPr>
              <w:t>31 (3.2%)</w:t>
            </w:r>
          </w:p>
        </w:tc>
      </w:tr>
      <w:tr w:rsidR="00A7123B" w:rsidRPr="00B62635" w:rsidTr="00A7123B">
        <w:trPr>
          <w:jc w:val="center"/>
        </w:trPr>
        <w:tc>
          <w:tcPr>
            <w:tcW w:w="793" w:type="dxa"/>
          </w:tcPr>
          <w:p w:rsidR="00A7123B" w:rsidRDefault="00A7123B" w:rsidP="000D55A1">
            <w:pPr>
              <w:spacing w:afterLines="0" w:after="120" w:line="240" w:lineRule="auto"/>
            </w:pPr>
            <w:r>
              <w:t>2016*</w:t>
            </w:r>
          </w:p>
        </w:tc>
        <w:tc>
          <w:tcPr>
            <w:tcW w:w="1134" w:type="dxa"/>
            <w:shd w:val="clear" w:color="auto" w:fill="auto"/>
          </w:tcPr>
          <w:p w:rsidR="00A7123B" w:rsidRPr="00A7123B" w:rsidRDefault="00A7123B" w:rsidP="000D55A1">
            <w:pPr>
              <w:spacing w:afterLines="0" w:after="120" w:line="240" w:lineRule="auto"/>
              <w:rPr>
                <w:sz w:val="20"/>
                <w:szCs w:val="20"/>
              </w:rPr>
            </w:pPr>
            <w:r w:rsidRPr="00A7123B">
              <w:rPr>
                <w:sz w:val="20"/>
                <w:szCs w:val="20"/>
              </w:rPr>
              <w:t>2423</w:t>
            </w:r>
          </w:p>
        </w:tc>
        <w:tc>
          <w:tcPr>
            <w:tcW w:w="1134" w:type="dxa"/>
            <w:shd w:val="clear" w:color="auto" w:fill="auto"/>
          </w:tcPr>
          <w:p w:rsidR="00A7123B" w:rsidRPr="00A7123B" w:rsidRDefault="00A7123B" w:rsidP="000D55A1">
            <w:pPr>
              <w:spacing w:afterLines="0" w:after="120" w:line="240" w:lineRule="auto"/>
              <w:rPr>
                <w:sz w:val="20"/>
                <w:szCs w:val="20"/>
              </w:rPr>
            </w:pPr>
            <w:r w:rsidRPr="00A7123B">
              <w:rPr>
                <w:sz w:val="20"/>
                <w:szCs w:val="20"/>
              </w:rPr>
              <w:t>110 (4.5%)</w:t>
            </w:r>
          </w:p>
        </w:tc>
        <w:tc>
          <w:tcPr>
            <w:tcW w:w="1134" w:type="dxa"/>
            <w:shd w:val="clear" w:color="auto" w:fill="auto"/>
          </w:tcPr>
          <w:p w:rsidR="00A7123B" w:rsidRPr="00A7123B" w:rsidRDefault="00A7123B" w:rsidP="000D55A1">
            <w:pPr>
              <w:spacing w:afterLines="0" w:after="120" w:line="240" w:lineRule="auto"/>
              <w:rPr>
                <w:sz w:val="20"/>
                <w:szCs w:val="20"/>
              </w:rPr>
            </w:pPr>
            <w:r w:rsidRPr="00A7123B">
              <w:rPr>
                <w:sz w:val="20"/>
                <w:szCs w:val="20"/>
              </w:rPr>
              <w:t>840</w:t>
            </w:r>
          </w:p>
        </w:tc>
        <w:tc>
          <w:tcPr>
            <w:tcW w:w="1134" w:type="dxa"/>
            <w:shd w:val="clear" w:color="auto" w:fill="auto"/>
          </w:tcPr>
          <w:p w:rsidR="00A7123B" w:rsidRPr="00A7123B" w:rsidRDefault="00A7123B" w:rsidP="000D55A1">
            <w:pPr>
              <w:spacing w:afterLines="0" w:after="120" w:line="240" w:lineRule="auto"/>
              <w:rPr>
                <w:sz w:val="20"/>
                <w:szCs w:val="20"/>
              </w:rPr>
            </w:pPr>
            <w:r w:rsidRPr="00A7123B">
              <w:rPr>
                <w:sz w:val="20"/>
                <w:szCs w:val="20"/>
              </w:rPr>
              <w:t>73(8.7%)</w:t>
            </w:r>
          </w:p>
        </w:tc>
        <w:tc>
          <w:tcPr>
            <w:tcW w:w="1134" w:type="dxa"/>
            <w:shd w:val="clear" w:color="auto" w:fill="auto"/>
          </w:tcPr>
          <w:p w:rsidR="00A7123B" w:rsidRPr="00A7123B" w:rsidRDefault="00A7123B" w:rsidP="000D55A1">
            <w:pPr>
              <w:spacing w:afterLines="0" w:after="120" w:line="240" w:lineRule="auto"/>
              <w:rPr>
                <w:sz w:val="20"/>
                <w:szCs w:val="20"/>
              </w:rPr>
            </w:pPr>
            <w:r w:rsidRPr="00A7123B">
              <w:rPr>
                <w:sz w:val="20"/>
                <w:szCs w:val="20"/>
              </w:rPr>
              <w:t>216</w:t>
            </w:r>
          </w:p>
        </w:tc>
        <w:tc>
          <w:tcPr>
            <w:tcW w:w="1134" w:type="dxa"/>
            <w:shd w:val="clear" w:color="auto" w:fill="auto"/>
          </w:tcPr>
          <w:p w:rsidR="00A7123B" w:rsidRPr="00A7123B" w:rsidRDefault="00A7123B" w:rsidP="000D55A1">
            <w:pPr>
              <w:spacing w:afterLines="0" w:after="120" w:line="240" w:lineRule="auto"/>
              <w:rPr>
                <w:sz w:val="20"/>
                <w:szCs w:val="20"/>
              </w:rPr>
            </w:pPr>
            <w:r w:rsidRPr="00A7123B">
              <w:rPr>
                <w:sz w:val="20"/>
                <w:szCs w:val="20"/>
              </w:rPr>
              <w:t>24 (11.1%)</w:t>
            </w:r>
          </w:p>
        </w:tc>
        <w:tc>
          <w:tcPr>
            <w:tcW w:w="1134" w:type="dxa"/>
            <w:shd w:val="clear" w:color="auto" w:fill="auto"/>
          </w:tcPr>
          <w:p w:rsidR="00A7123B" w:rsidRPr="00A7123B" w:rsidRDefault="00A7123B" w:rsidP="000D55A1">
            <w:pPr>
              <w:spacing w:afterLines="0" w:after="120" w:line="240" w:lineRule="auto"/>
              <w:rPr>
                <w:sz w:val="20"/>
                <w:szCs w:val="20"/>
              </w:rPr>
            </w:pPr>
            <w:r w:rsidRPr="00A7123B">
              <w:rPr>
                <w:sz w:val="20"/>
                <w:szCs w:val="20"/>
              </w:rPr>
              <w:t>550</w:t>
            </w:r>
          </w:p>
        </w:tc>
        <w:tc>
          <w:tcPr>
            <w:tcW w:w="1134" w:type="dxa"/>
            <w:shd w:val="clear" w:color="auto" w:fill="auto"/>
          </w:tcPr>
          <w:p w:rsidR="00A7123B" w:rsidRPr="00A7123B" w:rsidRDefault="00A7123B" w:rsidP="000D55A1">
            <w:pPr>
              <w:spacing w:afterLines="0" w:after="120" w:line="240" w:lineRule="auto"/>
              <w:rPr>
                <w:sz w:val="20"/>
                <w:szCs w:val="20"/>
              </w:rPr>
            </w:pPr>
            <w:r w:rsidRPr="00A7123B">
              <w:rPr>
                <w:sz w:val="20"/>
                <w:szCs w:val="20"/>
              </w:rPr>
              <w:t>21 (3.8%)</w:t>
            </w:r>
          </w:p>
        </w:tc>
      </w:tr>
    </w:tbl>
    <w:p w:rsidR="00A7123B" w:rsidRPr="002302C7" w:rsidRDefault="00A7123B" w:rsidP="00A7123B">
      <w:pPr>
        <w:spacing w:after="336"/>
        <w:rPr>
          <w:sz w:val="18"/>
        </w:rPr>
      </w:pPr>
      <w:r w:rsidRPr="002302C7">
        <w:rPr>
          <w:sz w:val="18"/>
        </w:rPr>
        <w:t>* 6 month</w:t>
      </w:r>
      <w:r>
        <w:rPr>
          <w:sz w:val="18"/>
        </w:rPr>
        <w:t>s</w:t>
      </w:r>
      <w:r w:rsidRPr="002302C7">
        <w:rPr>
          <w:sz w:val="18"/>
        </w:rPr>
        <w:t xml:space="preserve"> of data as based on calendar year</w:t>
      </w:r>
    </w:p>
    <w:p w:rsidR="0035443D" w:rsidRDefault="00A334F5" w:rsidP="000E145C">
      <w:pPr>
        <w:spacing w:after="336"/>
      </w:pPr>
      <w:r>
        <w:t xml:space="preserve">This data shows that there has been an increase in VRE screening effort </w:t>
      </w:r>
      <w:r w:rsidR="006B3F11">
        <w:t xml:space="preserve">at both RHH and LGH and an increase in the proportion of positive specimens found across all four larger acute public hospitals </w:t>
      </w:r>
      <w:r w:rsidR="00B51D72">
        <w:t xml:space="preserve">over </w:t>
      </w:r>
      <w:r>
        <w:t xml:space="preserve">the last two years. Please note that this data has not been de-duplicated so there will be a small number of repeat positive specimens on patients already known to have VRE </w:t>
      </w:r>
      <w:r w:rsidR="008B1D5F">
        <w:t>included</w:t>
      </w:r>
      <w:r>
        <w:t xml:space="preserve"> in this data set.</w:t>
      </w:r>
      <w:bookmarkStart w:id="69" w:name="_Toc365357548"/>
      <w:bookmarkStart w:id="70" w:name="_Toc413158598"/>
      <w:bookmarkStart w:id="71" w:name="_Toc436818827"/>
    </w:p>
    <w:p w:rsidR="0035443D" w:rsidRDefault="0035443D" w:rsidP="0035443D">
      <w:pPr>
        <w:spacing w:after="336"/>
      </w:pPr>
      <w:r>
        <w:br w:type="page"/>
      </w:r>
    </w:p>
    <w:p w:rsidR="00B62635" w:rsidRPr="000E145C" w:rsidRDefault="00B62635" w:rsidP="000E145C">
      <w:pPr>
        <w:spacing w:after="336"/>
      </w:pPr>
      <w:r w:rsidRPr="00B62635">
        <w:rPr>
          <w:rFonts w:eastAsia="Times New Roman" w:cs="Times New Roman"/>
          <w:b/>
          <w:bCs/>
          <w:sz w:val="40"/>
          <w:szCs w:val="40"/>
        </w:rPr>
        <w:t>Hand hygiene compliance data</w:t>
      </w:r>
      <w:bookmarkEnd w:id="69"/>
      <w:bookmarkEnd w:id="70"/>
      <w:bookmarkEnd w:id="71"/>
    </w:p>
    <w:p w:rsidR="00B62635" w:rsidRPr="00B62635" w:rsidRDefault="00B62635" w:rsidP="00B62635">
      <w:pPr>
        <w:spacing w:afterLines="0"/>
      </w:pPr>
      <w:r w:rsidRPr="00B62635">
        <w:t>The National Hand Hygiene Initiative was introduced in Tasmania in 2009 to increase healthcare workers hand hygiene compliance and monitor its effectiveness. Hand hygiene compliance is monitored by observing if healthcare workers perform hand hygiene at the appropriate times which are known as the ‘5 Moments for Hand Hygiene’.</w:t>
      </w:r>
    </w:p>
    <w:p w:rsidR="00B62635" w:rsidRPr="00B62635" w:rsidRDefault="00B62635" w:rsidP="00B62635">
      <w:pPr>
        <w:spacing w:afterLines="0"/>
      </w:pPr>
      <w:r w:rsidRPr="00B62635">
        <w:t>These are:</w:t>
      </w:r>
    </w:p>
    <w:p w:rsidR="00B62635" w:rsidRPr="00B62635" w:rsidRDefault="00B62635" w:rsidP="00B62635">
      <w:pPr>
        <w:numPr>
          <w:ilvl w:val="0"/>
          <w:numId w:val="25"/>
        </w:numPr>
        <w:spacing w:afterLines="0"/>
        <w:ind w:left="357" w:hanging="357"/>
      </w:pPr>
      <w:r w:rsidRPr="00B62635">
        <w:rPr>
          <w:b/>
        </w:rPr>
        <w:t>Before</w:t>
      </w:r>
      <w:r w:rsidRPr="00B62635">
        <w:t xml:space="preserve"> touching a patient</w:t>
      </w:r>
    </w:p>
    <w:p w:rsidR="00B62635" w:rsidRPr="00B62635" w:rsidRDefault="00B62635" w:rsidP="00B62635">
      <w:pPr>
        <w:numPr>
          <w:ilvl w:val="0"/>
          <w:numId w:val="25"/>
        </w:numPr>
        <w:spacing w:afterLines="0"/>
        <w:ind w:left="357" w:hanging="357"/>
      </w:pPr>
      <w:r w:rsidRPr="00B62635">
        <w:rPr>
          <w:b/>
        </w:rPr>
        <w:t>Before</w:t>
      </w:r>
      <w:r w:rsidRPr="00B62635">
        <w:t xml:space="preserve"> performing a procedure</w:t>
      </w:r>
    </w:p>
    <w:p w:rsidR="00B62635" w:rsidRPr="00B62635" w:rsidRDefault="00B62635" w:rsidP="00B62635">
      <w:pPr>
        <w:numPr>
          <w:ilvl w:val="0"/>
          <w:numId w:val="25"/>
        </w:numPr>
        <w:spacing w:afterLines="0"/>
        <w:ind w:left="357" w:hanging="357"/>
      </w:pPr>
      <w:r w:rsidRPr="00B62635">
        <w:rPr>
          <w:b/>
        </w:rPr>
        <w:t>After</w:t>
      </w:r>
      <w:r w:rsidRPr="00B62635">
        <w:t xml:space="preserve"> performing a procedure or a body fluid exposure risk</w:t>
      </w:r>
    </w:p>
    <w:p w:rsidR="00B62635" w:rsidRPr="00B62635" w:rsidRDefault="00B62635" w:rsidP="00B62635">
      <w:pPr>
        <w:numPr>
          <w:ilvl w:val="0"/>
          <w:numId w:val="25"/>
        </w:numPr>
        <w:spacing w:afterLines="0"/>
        <w:ind w:left="357" w:hanging="357"/>
      </w:pPr>
      <w:r w:rsidRPr="00B62635">
        <w:rPr>
          <w:b/>
        </w:rPr>
        <w:t>After</w:t>
      </w:r>
      <w:r w:rsidRPr="00B62635">
        <w:t xml:space="preserve"> touching a patient</w:t>
      </w:r>
    </w:p>
    <w:p w:rsidR="00B62635" w:rsidRPr="00B62635" w:rsidRDefault="00B62635" w:rsidP="00434C6E">
      <w:pPr>
        <w:numPr>
          <w:ilvl w:val="0"/>
          <w:numId w:val="25"/>
        </w:numPr>
        <w:spacing w:afterLines="0"/>
        <w:ind w:left="357" w:hanging="357"/>
      </w:pPr>
      <w:r w:rsidRPr="00B62635">
        <w:rPr>
          <w:b/>
        </w:rPr>
        <w:t>After</w:t>
      </w:r>
      <w:r w:rsidRPr="00B62635">
        <w:t xml:space="preserve"> touching a patients surroundings</w:t>
      </w:r>
      <w:bookmarkStart w:id="72" w:name="_Toc365357549"/>
      <w:bookmarkStart w:id="73" w:name="_Toc413158599"/>
      <w:bookmarkStart w:id="74" w:name="_Toc323202409"/>
    </w:p>
    <w:p w:rsidR="00B62635" w:rsidRPr="00B62635" w:rsidRDefault="00B62635" w:rsidP="00B62635">
      <w:pPr>
        <w:spacing w:afterLines="0"/>
      </w:pPr>
      <w:r w:rsidRPr="00B62635">
        <w:rPr>
          <w:rFonts w:eastAsiaTheme="majorEastAsia" w:cstheme="majorBidi"/>
          <w:b/>
          <w:bCs/>
          <w:sz w:val="32"/>
          <w:szCs w:val="32"/>
        </w:rPr>
        <w:t>Tasmanian rates</w:t>
      </w:r>
      <w:bookmarkEnd w:id="72"/>
      <w:bookmarkEnd w:id="73"/>
      <w:r w:rsidRPr="00B62635">
        <w:rPr>
          <w:rFonts w:eastAsiaTheme="majorEastAsia" w:cstheme="majorBidi"/>
          <w:b/>
          <w:bCs/>
          <w:sz w:val="32"/>
          <w:szCs w:val="32"/>
        </w:rPr>
        <w:t xml:space="preserve"> </w:t>
      </w:r>
      <w:bookmarkEnd w:id="74"/>
    </w:p>
    <w:p w:rsidR="00B62635" w:rsidRPr="00B62635" w:rsidRDefault="00B62635" w:rsidP="00B62635">
      <w:pPr>
        <w:tabs>
          <w:tab w:val="left" w:pos="567"/>
        </w:tabs>
        <w:spacing w:afterLines="0"/>
        <w:rPr>
          <w:rFonts w:eastAsia="Times New Roman" w:cs="Times New Roman"/>
        </w:rPr>
      </w:pPr>
      <w:bookmarkStart w:id="75" w:name="_Toc397505343"/>
      <w:bookmarkStart w:id="76" w:name="_Toc410298448"/>
      <w:bookmarkStart w:id="77" w:name="_Toc435168274"/>
      <w:bookmarkStart w:id="78" w:name="_Toc459796604"/>
      <w:r w:rsidRPr="00B62635">
        <w:rPr>
          <w:rFonts w:eastAsia="Times New Roman" w:cs="Times New Roman"/>
          <w:b/>
          <w:bCs/>
        </w:rPr>
        <w:t xml:space="preserve">Figure </w:t>
      </w:r>
      <w:r w:rsidRPr="00B62635">
        <w:rPr>
          <w:rFonts w:eastAsia="Times New Roman" w:cs="Times New Roman"/>
          <w:b/>
          <w:bCs/>
        </w:rPr>
        <w:fldChar w:fldCharType="begin"/>
      </w:r>
      <w:r w:rsidRPr="00B62635">
        <w:rPr>
          <w:rFonts w:eastAsia="Times New Roman" w:cs="Times New Roman"/>
          <w:b/>
          <w:bCs/>
        </w:rPr>
        <w:instrText xml:space="preserve"> SEQ Figure \* ARABIC </w:instrText>
      </w:r>
      <w:r w:rsidRPr="00B62635">
        <w:rPr>
          <w:rFonts w:eastAsia="Times New Roman" w:cs="Times New Roman"/>
          <w:b/>
          <w:bCs/>
        </w:rPr>
        <w:fldChar w:fldCharType="separate"/>
      </w:r>
      <w:r w:rsidR="00556020">
        <w:rPr>
          <w:rFonts w:eastAsia="Times New Roman" w:cs="Times New Roman"/>
          <w:b/>
          <w:bCs/>
          <w:noProof/>
        </w:rPr>
        <w:t>18</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rPr>
        <w:t>Hand hygiene compliance in Tasmanian public hospitals</w:t>
      </w:r>
      <w:bookmarkEnd w:id="75"/>
      <w:bookmarkEnd w:id="76"/>
      <w:bookmarkEnd w:id="77"/>
      <w:bookmarkEnd w:id="78"/>
    </w:p>
    <w:p w:rsidR="00B62635" w:rsidRPr="00B62635" w:rsidRDefault="00A334F5" w:rsidP="00B62635">
      <w:pPr>
        <w:spacing w:after="336"/>
      </w:pPr>
      <w:r>
        <w:rPr>
          <w:noProof/>
          <w:lang w:eastAsia="en-AU"/>
        </w:rPr>
        <w:drawing>
          <wp:inline distT="0" distB="0" distL="0" distR="0" wp14:anchorId="37DD6507" wp14:editId="4379956F">
            <wp:extent cx="5779770" cy="3249295"/>
            <wp:effectExtent l="0" t="0" r="0" b="8255"/>
            <wp:docPr id="18" name="Picture 18" descr="Text description below" title="Figure 18 - Hand hygiene compliance in Tasmanian public hospital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9770" cy="3249295"/>
                    </a:xfrm>
                    <a:prstGeom prst="rect">
                      <a:avLst/>
                    </a:prstGeom>
                    <a:noFill/>
                  </pic:spPr>
                </pic:pic>
              </a:graphicData>
            </a:graphic>
          </wp:inline>
        </w:drawing>
      </w:r>
    </w:p>
    <w:p w:rsidR="00B62635" w:rsidRPr="00B62635" w:rsidRDefault="00B62635" w:rsidP="00B62635">
      <w:pPr>
        <w:numPr>
          <w:ilvl w:val="0"/>
          <w:numId w:val="9"/>
        </w:numPr>
        <w:tabs>
          <w:tab w:val="clear" w:pos="360"/>
        </w:tabs>
        <w:spacing w:afterLines="0"/>
        <w:ind w:left="567" w:hanging="567"/>
      </w:pPr>
      <w:r w:rsidRPr="00B62635">
        <w:t xml:space="preserve">The National Hand Hygiene Compliance Benchmark is 70 per cent and this was exceeded by all </w:t>
      </w:r>
      <w:r w:rsidR="000E145C">
        <w:t>participating hospitals.</w:t>
      </w:r>
    </w:p>
    <w:p w:rsidR="00B62635" w:rsidRDefault="002302C7" w:rsidP="00B62635">
      <w:pPr>
        <w:numPr>
          <w:ilvl w:val="0"/>
          <w:numId w:val="9"/>
        </w:numPr>
        <w:tabs>
          <w:tab w:val="clear" w:pos="360"/>
        </w:tabs>
        <w:spacing w:afterLines="0"/>
        <w:ind w:left="567" w:hanging="567"/>
      </w:pPr>
      <w:r>
        <w:t>T</w:t>
      </w:r>
      <w:r w:rsidR="00B62635" w:rsidRPr="00B62635">
        <w:t xml:space="preserve">he number of hand hygiene moments observed </w:t>
      </w:r>
      <w:r>
        <w:t xml:space="preserve">varies between </w:t>
      </w:r>
      <w:r w:rsidR="00B62635" w:rsidRPr="00B62635">
        <w:t xml:space="preserve">the acute </w:t>
      </w:r>
      <w:r>
        <w:t>and</w:t>
      </w:r>
      <w:r w:rsidR="00B62635" w:rsidRPr="00B62635">
        <w:t xml:space="preserve"> rural hospitals</w:t>
      </w:r>
      <w:r>
        <w:t>.  T</w:t>
      </w:r>
      <w:r w:rsidR="00B62635" w:rsidRPr="00B62635">
        <w:t>hese numbers are presented in the Appendix 2</w:t>
      </w:r>
      <w:r w:rsidRPr="002302C7">
        <w:t xml:space="preserve"> </w:t>
      </w:r>
      <w:r w:rsidRPr="00B62635">
        <w:t>tables</w:t>
      </w:r>
      <w:r w:rsidR="00B62635" w:rsidRPr="00B62635">
        <w:t>.</w:t>
      </w:r>
    </w:p>
    <w:p w:rsidR="00B62635" w:rsidRPr="000E145C" w:rsidRDefault="00A334F5" w:rsidP="000E145C">
      <w:pPr>
        <w:numPr>
          <w:ilvl w:val="0"/>
          <w:numId w:val="9"/>
        </w:numPr>
        <w:tabs>
          <w:tab w:val="clear" w:pos="360"/>
        </w:tabs>
        <w:spacing w:afterLines="0"/>
        <w:ind w:left="567" w:hanging="567"/>
      </w:pPr>
      <w:r>
        <w:t>Midlands Multi-</w:t>
      </w:r>
      <w:r w:rsidR="00A060AF">
        <w:t>Purpose Centre did not submit hand hygiene compliance data for Audit Period Two, 2016.</w:t>
      </w:r>
    </w:p>
    <w:p w:rsidR="00B62635" w:rsidRPr="00B62635" w:rsidRDefault="00B62635" w:rsidP="00B62635">
      <w:pPr>
        <w:tabs>
          <w:tab w:val="left" w:pos="567"/>
        </w:tabs>
        <w:spacing w:afterLines="0"/>
        <w:rPr>
          <w:rFonts w:eastAsia="Times New Roman" w:cs="Times New Roman"/>
          <w:b/>
        </w:rPr>
      </w:pPr>
      <w:bookmarkStart w:id="79" w:name="_Toc435168275"/>
      <w:bookmarkStart w:id="80" w:name="_Toc459796605"/>
      <w:r w:rsidRPr="00B62635">
        <w:rPr>
          <w:rFonts w:eastAsia="Times New Roman" w:cs="Times New Roman"/>
          <w:b/>
          <w:bCs/>
        </w:rPr>
        <w:t xml:space="preserve">Figure </w:t>
      </w:r>
      <w:r w:rsidRPr="00B62635">
        <w:rPr>
          <w:rFonts w:eastAsia="Times New Roman" w:cs="Times New Roman"/>
          <w:b/>
          <w:bCs/>
        </w:rPr>
        <w:fldChar w:fldCharType="begin"/>
      </w:r>
      <w:r w:rsidRPr="00B62635">
        <w:rPr>
          <w:rFonts w:eastAsia="Times New Roman" w:cs="Times New Roman"/>
          <w:b/>
          <w:bCs/>
        </w:rPr>
        <w:instrText xml:space="preserve"> SEQ Figure \* ARABIC </w:instrText>
      </w:r>
      <w:r w:rsidRPr="00B62635">
        <w:rPr>
          <w:rFonts w:eastAsia="Times New Roman" w:cs="Times New Roman"/>
          <w:b/>
          <w:bCs/>
        </w:rPr>
        <w:fldChar w:fldCharType="separate"/>
      </w:r>
      <w:r w:rsidR="00556020">
        <w:rPr>
          <w:rFonts w:eastAsia="Times New Roman" w:cs="Times New Roman"/>
          <w:b/>
          <w:bCs/>
          <w:noProof/>
        </w:rPr>
        <w:t>19</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Hand hygiene compliance by moment</w:t>
      </w:r>
      <w:bookmarkEnd w:id="79"/>
      <w:bookmarkEnd w:id="80"/>
      <w:r w:rsidRPr="00B62635">
        <w:rPr>
          <w:rFonts w:eastAsia="Times New Roman" w:cs="Times New Roman"/>
          <w:b/>
          <w:bCs/>
        </w:rPr>
        <w:t xml:space="preserve"> </w:t>
      </w:r>
    </w:p>
    <w:p w:rsidR="00B62635" w:rsidRPr="00B62635" w:rsidRDefault="00A334F5" w:rsidP="00B62635">
      <w:pPr>
        <w:spacing w:after="336"/>
      </w:pPr>
      <w:r>
        <w:rPr>
          <w:noProof/>
          <w:lang w:eastAsia="en-AU"/>
        </w:rPr>
        <w:drawing>
          <wp:inline distT="0" distB="0" distL="0" distR="0" wp14:anchorId="2A669FA3" wp14:editId="3E0701AA">
            <wp:extent cx="5731510" cy="2327340"/>
            <wp:effectExtent l="0" t="0" r="21590" b="15875"/>
            <wp:docPr id="1" name="Chart 1" descr="Text description below" title="Figure 19  - Hand hygiene compliance by moment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060AF" w:rsidRPr="008E161C" w:rsidRDefault="00B62635" w:rsidP="008E161C">
      <w:pPr>
        <w:spacing w:afterLines="0"/>
      </w:pPr>
      <w:r w:rsidRPr="00B62635">
        <w:t>Hand hygiene compliance after touching a patient</w:t>
      </w:r>
      <w:r w:rsidR="002302C7">
        <w:t xml:space="preserve"> and</w:t>
      </w:r>
      <w:r w:rsidRPr="00B62635">
        <w:t xml:space="preserve"> after performing a procedure (Moments 3 and 4) are higher than hand hygiene compliance before touching a patient, before undertaking a procedure and after touching a patient surro</w:t>
      </w:r>
      <w:r w:rsidR="00A060AF">
        <w:t xml:space="preserve">undings (Moments 1 , 2 and 5). </w:t>
      </w:r>
      <w:bookmarkStart w:id="81" w:name="_Toc435168276"/>
    </w:p>
    <w:p w:rsidR="00B62635" w:rsidRPr="00B62635" w:rsidRDefault="00B62635" w:rsidP="00B62635">
      <w:pPr>
        <w:tabs>
          <w:tab w:val="left" w:pos="567"/>
        </w:tabs>
        <w:spacing w:afterLines="0"/>
        <w:rPr>
          <w:rFonts w:eastAsia="Times New Roman" w:cs="Times New Roman"/>
          <w:bCs/>
        </w:rPr>
      </w:pPr>
      <w:bookmarkStart w:id="82" w:name="_Toc459796606"/>
      <w:r w:rsidRPr="00B62635">
        <w:rPr>
          <w:rFonts w:eastAsia="Times New Roman" w:cs="Times New Roman"/>
          <w:b/>
          <w:bCs/>
        </w:rPr>
        <w:t xml:space="preserve">Figure </w:t>
      </w:r>
      <w:r w:rsidRPr="00B62635">
        <w:rPr>
          <w:rFonts w:eastAsia="Times New Roman" w:cs="Times New Roman"/>
          <w:b/>
          <w:bCs/>
        </w:rPr>
        <w:fldChar w:fldCharType="begin"/>
      </w:r>
      <w:r w:rsidRPr="00B62635">
        <w:rPr>
          <w:rFonts w:eastAsia="Times New Roman" w:cs="Times New Roman"/>
          <w:b/>
          <w:bCs/>
        </w:rPr>
        <w:instrText xml:space="preserve"> SEQ Figure \* ARABIC </w:instrText>
      </w:r>
      <w:r w:rsidRPr="00B62635">
        <w:rPr>
          <w:rFonts w:eastAsia="Times New Roman" w:cs="Times New Roman"/>
          <w:b/>
          <w:bCs/>
        </w:rPr>
        <w:fldChar w:fldCharType="separate"/>
      </w:r>
      <w:r w:rsidR="00556020">
        <w:rPr>
          <w:rFonts w:eastAsia="Times New Roman" w:cs="Times New Roman"/>
          <w:b/>
          <w:bCs/>
          <w:noProof/>
        </w:rPr>
        <w:t>20</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Hand hygiene compliance by healthcare worker</w:t>
      </w:r>
      <w:bookmarkEnd w:id="81"/>
      <w:bookmarkEnd w:id="82"/>
    </w:p>
    <w:p w:rsidR="00B62635" w:rsidRPr="00B62635" w:rsidRDefault="00A334F5" w:rsidP="00B62635">
      <w:pPr>
        <w:spacing w:afterLines="0" w:after="200" w:line="276" w:lineRule="auto"/>
        <w:rPr>
          <w:noProof/>
          <w:lang w:eastAsia="en-AU"/>
        </w:rPr>
      </w:pPr>
      <w:r>
        <w:rPr>
          <w:noProof/>
          <w:lang w:eastAsia="en-AU"/>
        </w:rPr>
        <w:drawing>
          <wp:inline distT="0" distB="0" distL="0" distR="0" wp14:anchorId="2DD79B3E" wp14:editId="436B741D">
            <wp:extent cx="5731510" cy="2327340"/>
            <wp:effectExtent l="0" t="0" r="21590" b="15875"/>
            <wp:docPr id="28" name="Chart 28" descr="Table directly below Figure 20 lists abbreviations for different types of health care worker categories.  Text Description of Figure 20 is provided below the aforementioned abbreviation table." title="Figure 20 - Hand hygiene compliance by healthcare worke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Style w:val="TableGrid1"/>
        <w:tblW w:w="0" w:type="auto"/>
        <w:tblInd w:w="108" w:type="dxa"/>
        <w:tblLook w:val="0600" w:firstRow="0" w:lastRow="0" w:firstColumn="0" w:lastColumn="0" w:noHBand="1" w:noVBand="1"/>
        <w:tblCaption w:val="Abbreviations List to be used in conjunction with Figure 20 - chart"/>
        <w:tblDescription w:val="Text desciption of Figure 20 provided below this table."/>
      </w:tblPr>
      <w:tblGrid>
        <w:gridCol w:w="673"/>
        <w:gridCol w:w="2364"/>
        <w:gridCol w:w="712"/>
        <w:gridCol w:w="2336"/>
        <w:gridCol w:w="673"/>
        <w:gridCol w:w="2376"/>
      </w:tblGrid>
      <w:tr w:rsidR="006F19DD" w:rsidRPr="006F19DD" w:rsidTr="00556020">
        <w:trPr>
          <w:tblHeader/>
        </w:trPr>
        <w:tc>
          <w:tcPr>
            <w:tcW w:w="567" w:type="dxa"/>
          </w:tcPr>
          <w:p w:rsidR="006F19DD" w:rsidRPr="006F19DD" w:rsidRDefault="006F19DD" w:rsidP="00556020">
            <w:pPr>
              <w:spacing w:after="336"/>
              <w:contextualSpacing/>
              <w:rPr>
                <w:rFonts w:ascii="Gill Sans MT" w:hAnsi="Gill Sans MT"/>
              </w:rPr>
            </w:pPr>
            <w:r w:rsidRPr="006F19DD">
              <w:rPr>
                <w:rFonts w:ascii="Gill Sans MT" w:hAnsi="Gill Sans MT"/>
              </w:rPr>
              <w:t>Abbr.</w:t>
            </w:r>
          </w:p>
        </w:tc>
        <w:tc>
          <w:tcPr>
            <w:tcW w:w="2400" w:type="dxa"/>
          </w:tcPr>
          <w:p w:rsidR="006F19DD" w:rsidRPr="006F19DD" w:rsidRDefault="006F19DD" w:rsidP="00556020">
            <w:pPr>
              <w:spacing w:after="336"/>
              <w:contextualSpacing/>
              <w:rPr>
                <w:rFonts w:ascii="Gill Sans MT" w:hAnsi="Gill Sans MT"/>
              </w:rPr>
            </w:pPr>
            <w:r w:rsidRPr="006F19DD">
              <w:rPr>
                <w:rFonts w:ascii="Gill Sans MT" w:hAnsi="Gill Sans MT"/>
              </w:rPr>
              <w:t>Description</w:t>
            </w:r>
          </w:p>
        </w:tc>
        <w:tc>
          <w:tcPr>
            <w:tcW w:w="713" w:type="dxa"/>
          </w:tcPr>
          <w:p w:rsidR="006F19DD" w:rsidRPr="006F19DD" w:rsidRDefault="006F19DD" w:rsidP="00556020">
            <w:pPr>
              <w:spacing w:after="336"/>
              <w:contextualSpacing/>
              <w:rPr>
                <w:rFonts w:ascii="Gill Sans MT" w:hAnsi="Gill Sans MT"/>
              </w:rPr>
            </w:pPr>
            <w:r w:rsidRPr="006F19DD">
              <w:rPr>
                <w:rFonts w:ascii="Gill Sans MT" w:hAnsi="Gill Sans MT"/>
              </w:rPr>
              <w:t>Abbr.</w:t>
            </w:r>
          </w:p>
        </w:tc>
        <w:tc>
          <w:tcPr>
            <w:tcW w:w="2363" w:type="dxa"/>
          </w:tcPr>
          <w:p w:rsidR="006F19DD" w:rsidRPr="006F19DD" w:rsidRDefault="006F19DD" w:rsidP="00556020">
            <w:pPr>
              <w:spacing w:after="336"/>
              <w:contextualSpacing/>
              <w:rPr>
                <w:rFonts w:ascii="Gill Sans MT" w:hAnsi="Gill Sans MT"/>
              </w:rPr>
            </w:pPr>
            <w:r w:rsidRPr="006F19DD">
              <w:rPr>
                <w:rFonts w:ascii="Gill Sans MT" w:hAnsi="Gill Sans MT"/>
              </w:rPr>
              <w:t>Description</w:t>
            </w:r>
          </w:p>
        </w:tc>
        <w:tc>
          <w:tcPr>
            <w:tcW w:w="624" w:type="dxa"/>
          </w:tcPr>
          <w:p w:rsidR="006F19DD" w:rsidRPr="006F19DD" w:rsidRDefault="006F19DD" w:rsidP="00556020">
            <w:pPr>
              <w:spacing w:after="336"/>
              <w:contextualSpacing/>
              <w:rPr>
                <w:rFonts w:ascii="Gill Sans MT" w:hAnsi="Gill Sans MT"/>
              </w:rPr>
            </w:pPr>
            <w:r w:rsidRPr="006F19DD">
              <w:rPr>
                <w:rFonts w:ascii="Gill Sans MT" w:hAnsi="Gill Sans MT"/>
              </w:rPr>
              <w:t>Abbr.</w:t>
            </w:r>
          </w:p>
        </w:tc>
        <w:tc>
          <w:tcPr>
            <w:tcW w:w="2405" w:type="dxa"/>
          </w:tcPr>
          <w:p w:rsidR="006F19DD" w:rsidRPr="006F19DD" w:rsidRDefault="006F19DD" w:rsidP="00556020">
            <w:pPr>
              <w:spacing w:after="336"/>
              <w:contextualSpacing/>
              <w:rPr>
                <w:rFonts w:ascii="Gill Sans MT" w:hAnsi="Gill Sans MT"/>
              </w:rPr>
            </w:pPr>
            <w:r w:rsidRPr="006F19DD">
              <w:rPr>
                <w:rFonts w:ascii="Gill Sans MT" w:hAnsi="Gill Sans MT"/>
              </w:rPr>
              <w:t>Description</w:t>
            </w:r>
          </w:p>
        </w:tc>
      </w:tr>
      <w:tr w:rsidR="006F19DD" w:rsidRPr="006F19DD" w:rsidTr="00556020">
        <w:tc>
          <w:tcPr>
            <w:tcW w:w="567" w:type="dxa"/>
          </w:tcPr>
          <w:p w:rsidR="006F19DD" w:rsidRPr="006F19DD" w:rsidRDefault="006F19DD" w:rsidP="00556020">
            <w:pPr>
              <w:spacing w:after="336"/>
              <w:contextualSpacing/>
              <w:rPr>
                <w:rFonts w:ascii="Gill Sans MT" w:hAnsi="Gill Sans MT"/>
              </w:rPr>
            </w:pPr>
            <w:r w:rsidRPr="006F19DD">
              <w:rPr>
                <w:rFonts w:ascii="Gill Sans MT" w:hAnsi="Gill Sans MT"/>
              </w:rPr>
              <w:t>AC</w:t>
            </w:r>
          </w:p>
        </w:tc>
        <w:tc>
          <w:tcPr>
            <w:tcW w:w="2400" w:type="dxa"/>
          </w:tcPr>
          <w:p w:rsidR="006F19DD" w:rsidRPr="006F19DD" w:rsidRDefault="006F19DD" w:rsidP="00556020">
            <w:pPr>
              <w:spacing w:after="336"/>
              <w:contextualSpacing/>
              <w:rPr>
                <w:rFonts w:ascii="Gill Sans MT" w:hAnsi="Gill Sans MT"/>
              </w:rPr>
            </w:pPr>
            <w:r w:rsidRPr="006F19DD">
              <w:rPr>
                <w:rFonts w:ascii="Gill Sans MT" w:hAnsi="Gill Sans MT"/>
              </w:rPr>
              <w:t>Clerical</w:t>
            </w:r>
          </w:p>
        </w:tc>
        <w:tc>
          <w:tcPr>
            <w:tcW w:w="713" w:type="dxa"/>
          </w:tcPr>
          <w:p w:rsidR="006F19DD" w:rsidRPr="006F19DD" w:rsidRDefault="006F19DD" w:rsidP="00556020">
            <w:pPr>
              <w:spacing w:after="336"/>
              <w:contextualSpacing/>
              <w:rPr>
                <w:rFonts w:ascii="Gill Sans MT" w:hAnsi="Gill Sans MT"/>
              </w:rPr>
            </w:pPr>
            <w:r w:rsidRPr="006F19DD">
              <w:rPr>
                <w:rFonts w:ascii="Gill Sans MT" w:hAnsi="Gill Sans MT"/>
              </w:rPr>
              <w:t>DR</w:t>
            </w:r>
          </w:p>
        </w:tc>
        <w:tc>
          <w:tcPr>
            <w:tcW w:w="2363" w:type="dxa"/>
          </w:tcPr>
          <w:p w:rsidR="006F19DD" w:rsidRPr="006F19DD" w:rsidRDefault="006F19DD" w:rsidP="00556020">
            <w:pPr>
              <w:spacing w:after="336"/>
              <w:contextualSpacing/>
              <w:rPr>
                <w:rFonts w:ascii="Gill Sans MT" w:hAnsi="Gill Sans MT"/>
              </w:rPr>
            </w:pPr>
            <w:r w:rsidRPr="006F19DD">
              <w:rPr>
                <w:rFonts w:ascii="Gill Sans MT" w:hAnsi="Gill Sans MT"/>
              </w:rPr>
              <w:t>Doctor</w:t>
            </w:r>
          </w:p>
        </w:tc>
        <w:tc>
          <w:tcPr>
            <w:tcW w:w="624" w:type="dxa"/>
          </w:tcPr>
          <w:p w:rsidR="006F19DD" w:rsidRPr="006F19DD" w:rsidRDefault="006F19DD" w:rsidP="00556020">
            <w:pPr>
              <w:spacing w:after="336"/>
              <w:contextualSpacing/>
              <w:rPr>
                <w:rFonts w:ascii="Gill Sans MT" w:hAnsi="Gill Sans MT"/>
              </w:rPr>
            </w:pPr>
            <w:r w:rsidRPr="006F19DD">
              <w:rPr>
                <w:rFonts w:ascii="Gill Sans MT" w:hAnsi="Gill Sans MT"/>
              </w:rPr>
              <w:t>SPC</w:t>
            </w:r>
          </w:p>
        </w:tc>
        <w:tc>
          <w:tcPr>
            <w:tcW w:w="2405" w:type="dxa"/>
          </w:tcPr>
          <w:p w:rsidR="006F19DD" w:rsidRPr="006F19DD" w:rsidRDefault="006F19DD" w:rsidP="00556020">
            <w:pPr>
              <w:spacing w:after="336"/>
              <w:contextualSpacing/>
              <w:rPr>
                <w:rFonts w:ascii="Gill Sans MT" w:hAnsi="Gill Sans MT"/>
              </w:rPr>
            </w:pPr>
            <w:r w:rsidRPr="006F19DD">
              <w:rPr>
                <w:rFonts w:ascii="Gill Sans MT" w:hAnsi="Gill Sans MT"/>
              </w:rPr>
              <w:t>Student Personal Carer</w:t>
            </w:r>
          </w:p>
        </w:tc>
      </w:tr>
      <w:tr w:rsidR="006F19DD" w:rsidRPr="006F19DD" w:rsidTr="00556020">
        <w:tc>
          <w:tcPr>
            <w:tcW w:w="567" w:type="dxa"/>
          </w:tcPr>
          <w:p w:rsidR="006F19DD" w:rsidRPr="006F19DD" w:rsidRDefault="006F19DD" w:rsidP="00556020">
            <w:pPr>
              <w:spacing w:after="336"/>
              <w:contextualSpacing/>
              <w:rPr>
                <w:rFonts w:ascii="Gill Sans MT" w:hAnsi="Gill Sans MT"/>
              </w:rPr>
            </w:pPr>
            <w:r w:rsidRPr="006F19DD">
              <w:rPr>
                <w:rFonts w:ascii="Gill Sans MT" w:hAnsi="Gill Sans MT"/>
              </w:rPr>
              <w:t>AH</w:t>
            </w:r>
          </w:p>
        </w:tc>
        <w:tc>
          <w:tcPr>
            <w:tcW w:w="2400" w:type="dxa"/>
          </w:tcPr>
          <w:p w:rsidR="006F19DD" w:rsidRPr="006F19DD" w:rsidRDefault="006F19DD" w:rsidP="00556020">
            <w:pPr>
              <w:spacing w:after="336"/>
              <w:contextualSpacing/>
              <w:rPr>
                <w:rFonts w:ascii="Gill Sans MT" w:hAnsi="Gill Sans MT"/>
              </w:rPr>
            </w:pPr>
            <w:r w:rsidRPr="006F19DD">
              <w:rPr>
                <w:rFonts w:ascii="Gill Sans MT" w:hAnsi="Gill Sans MT"/>
              </w:rPr>
              <w:t>Allied Health</w:t>
            </w:r>
          </w:p>
        </w:tc>
        <w:tc>
          <w:tcPr>
            <w:tcW w:w="713" w:type="dxa"/>
          </w:tcPr>
          <w:p w:rsidR="006F19DD" w:rsidRPr="006F19DD" w:rsidRDefault="006F19DD" w:rsidP="00556020">
            <w:pPr>
              <w:spacing w:after="336"/>
              <w:contextualSpacing/>
              <w:rPr>
                <w:rFonts w:ascii="Gill Sans MT" w:hAnsi="Gill Sans MT"/>
              </w:rPr>
            </w:pPr>
            <w:r w:rsidRPr="006F19DD">
              <w:rPr>
                <w:rFonts w:ascii="Gill Sans MT" w:hAnsi="Gill Sans MT"/>
              </w:rPr>
              <w:t>N</w:t>
            </w:r>
          </w:p>
        </w:tc>
        <w:tc>
          <w:tcPr>
            <w:tcW w:w="2363" w:type="dxa"/>
          </w:tcPr>
          <w:p w:rsidR="006F19DD" w:rsidRPr="006F19DD" w:rsidRDefault="006F19DD" w:rsidP="00556020">
            <w:pPr>
              <w:spacing w:after="336"/>
              <w:contextualSpacing/>
              <w:rPr>
                <w:rFonts w:ascii="Gill Sans MT" w:hAnsi="Gill Sans MT"/>
              </w:rPr>
            </w:pPr>
            <w:r w:rsidRPr="006F19DD">
              <w:rPr>
                <w:rFonts w:ascii="Gill Sans MT" w:hAnsi="Gill Sans MT"/>
              </w:rPr>
              <w:t>Nurse/Midwife</w:t>
            </w:r>
          </w:p>
        </w:tc>
        <w:tc>
          <w:tcPr>
            <w:tcW w:w="624" w:type="dxa"/>
          </w:tcPr>
          <w:p w:rsidR="006F19DD" w:rsidRPr="006F19DD" w:rsidRDefault="006F19DD" w:rsidP="00556020">
            <w:pPr>
              <w:spacing w:after="336"/>
              <w:contextualSpacing/>
              <w:rPr>
                <w:rFonts w:ascii="Gill Sans MT" w:hAnsi="Gill Sans MT"/>
              </w:rPr>
            </w:pPr>
            <w:r w:rsidRPr="006F19DD">
              <w:rPr>
                <w:rFonts w:ascii="Gill Sans MT" w:hAnsi="Gill Sans MT"/>
              </w:rPr>
              <w:t>SDR</w:t>
            </w:r>
          </w:p>
        </w:tc>
        <w:tc>
          <w:tcPr>
            <w:tcW w:w="2405" w:type="dxa"/>
          </w:tcPr>
          <w:p w:rsidR="006F19DD" w:rsidRPr="006F19DD" w:rsidRDefault="006F19DD" w:rsidP="00556020">
            <w:pPr>
              <w:spacing w:after="336"/>
              <w:contextualSpacing/>
              <w:rPr>
                <w:rFonts w:ascii="Gill Sans MT" w:hAnsi="Gill Sans MT"/>
              </w:rPr>
            </w:pPr>
            <w:r w:rsidRPr="006F19DD">
              <w:rPr>
                <w:rFonts w:ascii="Gill Sans MT" w:hAnsi="Gill Sans MT"/>
              </w:rPr>
              <w:t>Student Doctor</w:t>
            </w:r>
          </w:p>
        </w:tc>
      </w:tr>
      <w:tr w:rsidR="006F19DD" w:rsidRPr="006F19DD" w:rsidTr="00556020">
        <w:tc>
          <w:tcPr>
            <w:tcW w:w="567" w:type="dxa"/>
          </w:tcPr>
          <w:p w:rsidR="006F19DD" w:rsidRPr="006F19DD" w:rsidRDefault="006F19DD" w:rsidP="00556020">
            <w:pPr>
              <w:spacing w:after="336"/>
              <w:contextualSpacing/>
              <w:rPr>
                <w:rFonts w:ascii="Gill Sans MT" w:hAnsi="Gill Sans MT"/>
              </w:rPr>
            </w:pPr>
            <w:r w:rsidRPr="006F19DD">
              <w:rPr>
                <w:rFonts w:ascii="Gill Sans MT" w:hAnsi="Gill Sans MT"/>
              </w:rPr>
              <w:t>D</w:t>
            </w:r>
          </w:p>
        </w:tc>
        <w:tc>
          <w:tcPr>
            <w:tcW w:w="2400" w:type="dxa"/>
          </w:tcPr>
          <w:p w:rsidR="006F19DD" w:rsidRPr="006F19DD" w:rsidRDefault="006F19DD" w:rsidP="00556020">
            <w:pPr>
              <w:spacing w:after="336"/>
              <w:contextualSpacing/>
              <w:rPr>
                <w:rFonts w:ascii="Gill Sans MT" w:hAnsi="Gill Sans MT"/>
              </w:rPr>
            </w:pPr>
            <w:r w:rsidRPr="006F19DD">
              <w:rPr>
                <w:rFonts w:ascii="Gill Sans MT" w:hAnsi="Gill Sans MT"/>
              </w:rPr>
              <w:t>Domestic</w:t>
            </w:r>
          </w:p>
        </w:tc>
        <w:tc>
          <w:tcPr>
            <w:tcW w:w="713" w:type="dxa"/>
          </w:tcPr>
          <w:p w:rsidR="006F19DD" w:rsidRPr="006F19DD" w:rsidRDefault="006F19DD" w:rsidP="00556020">
            <w:pPr>
              <w:spacing w:after="336"/>
              <w:contextualSpacing/>
              <w:rPr>
                <w:rFonts w:ascii="Gill Sans MT" w:hAnsi="Gill Sans MT"/>
              </w:rPr>
            </w:pPr>
            <w:r w:rsidRPr="006F19DD">
              <w:rPr>
                <w:rFonts w:ascii="Gill Sans MT" w:hAnsi="Gill Sans MT"/>
              </w:rPr>
              <w:t>O</w:t>
            </w:r>
          </w:p>
        </w:tc>
        <w:tc>
          <w:tcPr>
            <w:tcW w:w="2363" w:type="dxa"/>
          </w:tcPr>
          <w:p w:rsidR="006F19DD" w:rsidRPr="006F19DD" w:rsidRDefault="006F19DD" w:rsidP="00556020">
            <w:pPr>
              <w:spacing w:after="336"/>
              <w:contextualSpacing/>
              <w:rPr>
                <w:rFonts w:ascii="Gill Sans MT" w:hAnsi="Gill Sans MT"/>
              </w:rPr>
            </w:pPr>
            <w:r w:rsidRPr="006F19DD">
              <w:rPr>
                <w:rFonts w:ascii="Gill Sans MT" w:hAnsi="Gill Sans MT"/>
              </w:rPr>
              <w:t xml:space="preserve">Other </w:t>
            </w:r>
          </w:p>
        </w:tc>
        <w:tc>
          <w:tcPr>
            <w:tcW w:w="624" w:type="dxa"/>
          </w:tcPr>
          <w:p w:rsidR="006F19DD" w:rsidRPr="006F19DD" w:rsidRDefault="006F19DD" w:rsidP="00556020">
            <w:pPr>
              <w:spacing w:after="336"/>
              <w:contextualSpacing/>
              <w:rPr>
                <w:rFonts w:ascii="Gill Sans MT" w:hAnsi="Gill Sans MT"/>
              </w:rPr>
            </w:pPr>
            <w:r w:rsidRPr="006F19DD">
              <w:rPr>
                <w:rFonts w:ascii="Gill Sans MT" w:hAnsi="Gill Sans MT"/>
              </w:rPr>
              <w:t>SN</w:t>
            </w:r>
          </w:p>
        </w:tc>
        <w:tc>
          <w:tcPr>
            <w:tcW w:w="2405" w:type="dxa"/>
          </w:tcPr>
          <w:p w:rsidR="006F19DD" w:rsidRPr="006F19DD" w:rsidRDefault="006F19DD" w:rsidP="00556020">
            <w:pPr>
              <w:spacing w:after="336"/>
              <w:contextualSpacing/>
              <w:rPr>
                <w:rFonts w:ascii="Gill Sans MT" w:hAnsi="Gill Sans MT"/>
              </w:rPr>
            </w:pPr>
            <w:r w:rsidRPr="006F19DD">
              <w:rPr>
                <w:rFonts w:ascii="Gill Sans MT" w:hAnsi="Gill Sans MT"/>
              </w:rPr>
              <w:t>Student Nurse/Midwife</w:t>
            </w:r>
          </w:p>
        </w:tc>
      </w:tr>
      <w:tr w:rsidR="006F19DD" w:rsidRPr="006F19DD" w:rsidTr="00556020">
        <w:tc>
          <w:tcPr>
            <w:tcW w:w="567" w:type="dxa"/>
          </w:tcPr>
          <w:p w:rsidR="006F19DD" w:rsidRPr="006F19DD" w:rsidRDefault="006F19DD" w:rsidP="00556020">
            <w:pPr>
              <w:spacing w:after="336"/>
              <w:contextualSpacing/>
              <w:rPr>
                <w:rFonts w:ascii="Gill Sans MT" w:hAnsi="Gill Sans MT"/>
              </w:rPr>
            </w:pPr>
            <w:r w:rsidRPr="006F19DD">
              <w:rPr>
                <w:rFonts w:ascii="Gill Sans MT" w:hAnsi="Gill Sans MT"/>
              </w:rPr>
              <w:t>BL</w:t>
            </w:r>
          </w:p>
        </w:tc>
        <w:tc>
          <w:tcPr>
            <w:tcW w:w="2400" w:type="dxa"/>
          </w:tcPr>
          <w:p w:rsidR="006F19DD" w:rsidRPr="006F19DD" w:rsidRDefault="006F19DD" w:rsidP="00556020">
            <w:pPr>
              <w:spacing w:after="336"/>
              <w:contextualSpacing/>
              <w:rPr>
                <w:rFonts w:ascii="Gill Sans MT" w:hAnsi="Gill Sans MT"/>
              </w:rPr>
            </w:pPr>
            <w:r w:rsidRPr="006F19DD">
              <w:rPr>
                <w:rFonts w:ascii="Gill Sans MT" w:hAnsi="Gill Sans MT"/>
              </w:rPr>
              <w:t>Invasive Technician</w:t>
            </w:r>
          </w:p>
        </w:tc>
        <w:tc>
          <w:tcPr>
            <w:tcW w:w="713" w:type="dxa"/>
          </w:tcPr>
          <w:p w:rsidR="006F19DD" w:rsidRPr="006F19DD" w:rsidRDefault="006F19DD" w:rsidP="00556020">
            <w:pPr>
              <w:spacing w:after="336"/>
              <w:contextualSpacing/>
              <w:rPr>
                <w:rFonts w:ascii="Gill Sans MT" w:hAnsi="Gill Sans MT"/>
              </w:rPr>
            </w:pPr>
            <w:r w:rsidRPr="006F19DD">
              <w:rPr>
                <w:rFonts w:ascii="Gill Sans MT" w:hAnsi="Gill Sans MT"/>
              </w:rPr>
              <w:t>PC</w:t>
            </w:r>
          </w:p>
        </w:tc>
        <w:tc>
          <w:tcPr>
            <w:tcW w:w="2363" w:type="dxa"/>
          </w:tcPr>
          <w:p w:rsidR="006F19DD" w:rsidRPr="006F19DD" w:rsidRDefault="006F19DD" w:rsidP="00556020">
            <w:pPr>
              <w:spacing w:after="336"/>
              <w:contextualSpacing/>
              <w:rPr>
                <w:rFonts w:ascii="Gill Sans MT" w:hAnsi="Gill Sans MT"/>
              </w:rPr>
            </w:pPr>
            <w:r w:rsidRPr="006F19DD">
              <w:rPr>
                <w:rFonts w:ascii="Gill Sans MT" w:hAnsi="Gill Sans MT"/>
              </w:rPr>
              <w:t>Personal Care Staff</w:t>
            </w:r>
          </w:p>
        </w:tc>
        <w:tc>
          <w:tcPr>
            <w:tcW w:w="624" w:type="dxa"/>
          </w:tcPr>
          <w:p w:rsidR="006F19DD" w:rsidRPr="006F19DD" w:rsidRDefault="006F19DD" w:rsidP="00556020">
            <w:pPr>
              <w:spacing w:after="336"/>
              <w:contextualSpacing/>
              <w:rPr>
                <w:rFonts w:ascii="Gill Sans MT" w:hAnsi="Gill Sans MT"/>
              </w:rPr>
            </w:pPr>
            <w:r w:rsidRPr="006F19DD">
              <w:rPr>
                <w:rFonts w:ascii="Gill Sans MT" w:hAnsi="Gill Sans MT"/>
              </w:rPr>
              <w:t>SAH</w:t>
            </w:r>
          </w:p>
        </w:tc>
        <w:tc>
          <w:tcPr>
            <w:tcW w:w="2405" w:type="dxa"/>
          </w:tcPr>
          <w:p w:rsidR="006F19DD" w:rsidRPr="006F19DD" w:rsidRDefault="006F19DD" w:rsidP="00556020">
            <w:pPr>
              <w:spacing w:after="336"/>
              <w:contextualSpacing/>
              <w:rPr>
                <w:rFonts w:ascii="Gill Sans MT" w:hAnsi="Gill Sans MT"/>
              </w:rPr>
            </w:pPr>
            <w:r w:rsidRPr="006F19DD">
              <w:rPr>
                <w:rFonts w:ascii="Gill Sans MT" w:hAnsi="Gill Sans MT"/>
              </w:rPr>
              <w:t>Student Allied Health</w:t>
            </w:r>
          </w:p>
        </w:tc>
      </w:tr>
    </w:tbl>
    <w:p w:rsidR="00B62635" w:rsidRPr="00B62635" w:rsidRDefault="00B62635" w:rsidP="00B62635">
      <w:pPr>
        <w:spacing w:afterLines="0" w:after="200" w:line="276" w:lineRule="auto"/>
        <w:ind w:left="357"/>
      </w:pPr>
    </w:p>
    <w:p w:rsidR="00B62635" w:rsidRPr="00B62635" w:rsidRDefault="00B62635" w:rsidP="00B62635">
      <w:pPr>
        <w:numPr>
          <w:ilvl w:val="0"/>
          <w:numId w:val="9"/>
        </w:numPr>
        <w:tabs>
          <w:tab w:val="clear" w:pos="360"/>
        </w:tabs>
        <w:spacing w:afterLines="0"/>
        <w:ind w:left="567" w:hanging="567"/>
      </w:pPr>
      <w:r w:rsidRPr="00B62635">
        <w:t>The number</w:t>
      </w:r>
      <w:r w:rsidR="002302C7">
        <w:t>s</w:t>
      </w:r>
      <w:r w:rsidRPr="00B62635">
        <w:t xml:space="preserve"> of hand hygiene moments observed </w:t>
      </w:r>
      <w:r w:rsidR="002302C7">
        <w:t>for</w:t>
      </w:r>
      <w:r w:rsidRPr="00B62635">
        <w:t xml:space="preserve"> each healthcare worker group </w:t>
      </w:r>
      <w:r w:rsidR="002302C7">
        <w:t xml:space="preserve">vary.  These </w:t>
      </w:r>
      <w:r w:rsidRPr="00B62635">
        <w:t>numbers are presented in the Appendix 2</w:t>
      </w:r>
      <w:r w:rsidR="002302C7" w:rsidRPr="002302C7">
        <w:t xml:space="preserve"> </w:t>
      </w:r>
      <w:r w:rsidR="002302C7" w:rsidRPr="00B62635">
        <w:t>tables</w:t>
      </w:r>
      <w:r w:rsidRPr="00B62635">
        <w:t>.</w:t>
      </w:r>
    </w:p>
    <w:p w:rsidR="00B62635" w:rsidRPr="00B62635" w:rsidRDefault="00B62635" w:rsidP="00B62635">
      <w:pPr>
        <w:numPr>
          <w:ilvl w:val="0"/>
          <w:numId w:val="9"/>
        </w:numPr>
        <w:tabs>
          <w:tab w:val="clear" w:pos="360"/>
        </w:tabs>
        <w:spacing w:afterLines="0"/>
        <w:ind w:left="567" w:hanging="567"/>
      </w:pPr>
      <w:r w:rsidRPr="00B62635">
        <w:t xml:space="preserve">The majority of hand hygiene compliance data (72 per cent in the latest report) is collected from nurse-patient interactions with the next highest being </w:t>
      </w:r>
      <w:r w:rsidR="00A060AF">
        <w:t xml:space="preserve">doctor-patient interactions (13 </w:t>
      </w:r>
      <w:r w:rsidRPr="00B62635">
        <w:t>per cent).</w:t>
      </w:r>
    </w:p>
    <w:p w:rsidR="00874088" w:rsidRPr="00D1414A" w:rsidRDefault="00874088" w:rsidP="00874088">
      <w:pPr>
        <w:pStyle w:val="Heading1"/>
        <w:spacing w:before="0" w:afterLines="0" w:after="140"/>
        <w:rPr>
          <w:rFonts w:ascii="Gill Sans MT" w:hAnsi="Gill Sans MT"/>
          <w:color w:val="auto"/>
          <w:sz w:val="40"/>
          <w:szCs w:val="40"/>
        </w:rPr>
      </w:pPr>
      <w:bookmarkStart w:id="83" w:name="_Toc459796635"/>
      <w:r>
        <w:rPr>
          <w:rFonts w:ascii="Gill Sans MT" w:hAnsi="Gill Sans MT"/>
          <w:color w:val="auto"/>
          <w:sz w:val="40"/>
          <w:szCs w:val="40"/>
        </w:rPr>
        <w:t>Antibiotic</w:t>
      </w:r>
      <w:r w:rsidR="00D13BFF">
        <w:rPr>
          <w:rFonts w:ascii="Gill Sans MT" w:hAnsi="Gill Sans MT"/>
          <w:color w:val="auto"/>
          <w:sz w:val="40"/>
          <w:szCs w:val="40"/>
        </w:rPr>
        <w:t xml:space="preserve"> use</w:t>
      </w:r>
      <w:r w:rsidRPr="000D501D">
        <w:rPr>
          <w:rFonts w:ascii="Gill Sans MT" w:hAnsi="Gill Sans MT"/>
          <w:color w:val="auto"/>
          <w:sz w:val="40"/>
          <w:szCs w:val="40"/>
        </w:rPr>
        <w:t xml:space="preserve"> surveillance</w:t>
      </w:r>
      <w:bookmarkEnd w:id="83"/>
      <w:r w:rsidRPr="000D501D">
        <w:rPr>
          <w:rFonts w:ascii="Gill Sans MT" w:hAnsi="Gill Sans MT"/>
          <w:color w:val="auto"/>
          <w:sz w:val="40"/>
          <w:szCs w:val="40"/>
        </w:rPr>
        <w:t xml:space="preserve">  </w:t>
      </w:r>
    </w:p>
    <w:p w:rsidR="00874088" w:rsidRDefault="00874088" w:rsidP="00874088">
      <w:pPr>
        <w:autoSpaceDE w:val="0"/>
        <w:autoSpaceDN w:val="0"/>
        <w:adjustRightInd w:val="0"/>
        <w:spacing w:afterLines="0"/>
      </w:pPr>
      <w:r w:rsidRPr="00D754D5">
        <w:t>Ant</w:t>
      </w:r>
      <w:r>
        <w:t>imicrobial</w:t>
      </w:r>
      <w:r w:rsidRPr="00D754D5">
        <w:t xml:space="preserve"> use is associated with the emergence of anti</w:t>
      </w:r>
      <w:r>
        <w:t>microbial</w:t>
      </w:r>
      <w:r w:rsidRPr="00D754D5">
        <w:t>-resistant bacteria</w:t>
      </w:r>
      <w:r>
        <w:t>. Antimicrobial resistance</w:t>
      </w:r>
      <w:r w:rsidRPr="00D754D5">
        <w:t xml:space="preserve"> is a significant and growing threat to public health worldwide.</w:t>
      </w:r>
      <w:r w:rsidRPr="00D754D5">
        <w:rPr>
          <w:rFonts w:eastAsia="Calibri" w:cs="Arial"/>
          <w:lang w:eastAsia="en-AU"/>
        </w:rPr>
        <w:t xml:space="preserve"> The National Antimicrobial Utilisation Surveillance Program (NAUSP) </w:t>
      </w:r>
      <w:r>
        <w:rPr>
          <w:rFonts w:eastAsia="Calibri" w:cs="Arial"/>
          <w:lang w:eastAsia="en-AU"/>
        </w:rPr>
        <w:t>began</w:t>
      </w:r>
      <w:r w:rsidRPr="00D754D5">
        <w:rPr>
          <w:rFonts w:eastAsia="Calibri" w:cs="Arial"/>
          <w:lang w:eastAsia="en-AU"/>
        </w:rPr>
        <w:t xml:space="preserve"> in 2004 </w:t>
      </w:r>
      <w:r w:rsidRPr="00D754D5">
        <w:t>to conduct surveillance of hospital antimicrobial</w:t>
      </w:r>
      <w:r>
        <w:t>s, principally antibiotic use. T</w:t>
      </w:r>
      <w:r w:rsidRPr="00D754D5">
        <w:t>he program enables individual institutions to exam</w:t>
      </w:r>
      <w:r>
        <w:t>ine their own antimicrobial us</w:t>
      </w:r>
      <w:r w:rsidRPr="00D754D5">
        <w:t>e r</w:t>
      </w:r>
      <w:r>
        <w:t xml:space="preserve">ates and trends over time and provides </w:t>
      </w:r>
      <w:r w:rsidRPr="00D754D5">
        <w:t>peer group benchmark</w:t>
      </w:r>
      <w:r>
        <w:t>s</w:t>
      </w:r>
      <w:r w:rsidRPr="00D754D5">
        <w:t xml:space="preserve"> for comparison</w:t>
      </w:r>
      <w:r w:rsidR="00DB7814">
        <w:t>. The</w:t>
      </w:r>
      <w:r>
        <w:t xml:space="preserve"> data can be used to </w:t>
      </w:r>
      <w:r w:rsidRPr="00D754D5">
        <w:t xml:space="preserve">identify </w:t>
      </w:r>
      <w:r>
        <w:t xml:space="preserve">trends in antimicrobial use over time and develop local </w:t>
      </w:r>
      <w:r w:rsidRPr="00D754D5">
        <w:t>intervention</w:t>
      </w:r>
      <w:r>
        <w:t xml:space="preserve">s to promote appropriate antimicrobial use. </w:t>
      </w:r>
    </w:p>
    <w:p w:rsidR="00874088" w:rsidRPr="00877875" w:rsidRDefault="00874088" w:rsidP="00874088">
      <w:pPr>
        <w:autoSpaceDE w:val="0"/>
        <w:autoSpaceDN w:val="0"/>
        <w:adjustRightInd w:val="0"/>
        <w:spacing w:afterLines="0"/>
        <w:rPr>
          <w:rFonts w:eastAsia="Calibri" w:cs="Arial"/>
          <w:lang w:eastAsia="en-AU"/>
        </w:rPr>
      </w:pPr>
      <w:r>
        <w:t>T</w:t>
      </w:r>
      <w:r>
        <w:rPr>
          <w:rFonts w:eastAsia="Calibri" w:cs="Arial"/>
          <w:lang w:eastAsia="en-AU"/>
        </w:rPr>
        <w:t>he Royal Hobart Hospital has been contributing data to the NAUSP since July 2004 while Launceston General Hospital, North West Regional Hospital and Mersey Community Hospital have been contributing since January 2009.</w:t>
      </w:r>
    </w:p>
    <w:p w:rsidR="00874088" w:rsidRDefault="00874088" w:rsidP="00874088">
      <w:pPr>
        <w:pStyle w:val="BodyText"/>
        <w:spacing w:afterLines="0" w:after="140"/>
      </w:pPr>
      <w:r>
        <w:t xml:space="preserve">Antimicrobial </w:t>
      </w:r>
      <w:r w:rsidR="004B39D8">
        <w:t xml:space="preserve">usage </w:t>
      </w:r>
      <w:r>
        <w:t>rates are calculated using the number of defined daily doses (DDDs) of specific antimicrobial agents or classes consumed each month per 1 000 occupied bed days. This is the most widely accepted method of measuring antimicrobial use in hospital settings both nationally and internationally.</w:t>
      </w:r>
    </w:p>
    <w:p w:rsidR="00874088" w:rsidRPr="00877875" w:rsidRDefault="00874088" w:rsidP="00874088">
      <w:pPr>
        <w:pStyle w:val="BodyText"/>
        <w:spacing w:afterLines="0" w:after="140"/>
        <w:rPr>
          <w:i/>
        </w:rPr>
      </w:pPr>
      <w:r>
        <w:t>Rates pr</w:t>
      </w:r>
      <w:r w:rsidR="004B39D8">
        <w:t xml:space="preserve">esented in this report are for four </w:t>
      </w:r>
      <w:r>
        <w:t>antimicrobial</w:t>
      </w:r>
      <w:r w:rsidR="004B39D8">
        <w:t>s or antimicrobial</w:t>
      </w:r>
      <w:r>
        <w:t xml:space="preserve"> classes: third and fourth generation </w:t>
      </w:r>
      <w:proofErr w:type="spellStart"/>
      <w:r>
        <w:t>cephalosporins</w:t>
      </w:r>
      <w:proofErr w:type="spellEnd"/>
      <w:r>
        <w:t xml:space="preserve"> (ceftriaxone, cefotaxime, ceftazidime, </w:t>
      </w:r>
      <w:proofErr w:type="spellStart"/>
      <w:r>
        <w:t>cefepime</w:t>
      </w:r>
      <w:proofErr w:type="spellEnd"/>
      <w:r>
        <w:t>)</w:t>
      </w:r>
      <w:r w:rsidR="004B39D8">
        <w:t xml:space="preserve">; </w:t>
      </w:r>
      <w:r>
        <w:t>fluoroquinolone</w:t>
      </w:r>
      <w:r w:rsidR="004B39D8">
        <w:t>s (cip</w:t>
      </w:r>
      <w:r w:rsidR="004B39D8" w:rsidRPr="00A334F5">
        <w:t>rofloxacin, moxifloxacin); anti-</w:t>
      </w:r>
      <w:proofErr w:type="spellStart"/>
      <w:r w:rsidR="004B39D8" w:rsidRPr="00A334F5">
        <w:t>pseudomonal</w:t>
      </w:r>
      <w:proofErr w:type="spellEnd"/>
      <w:r w:rsidR="004B39D8" w:rsidRPr="00A334F5">
        <w:t xml:space="preserve"> penicillins plus ß-lactamase inhibitors (piperacillin/</w:t>
      </w:r>
      <w:proofErr w:type="spellStart"/>
      <w:r w:rsidR="004B39D8" w:rsidRPr="00A334F5">
        <w:t>tazobactam</w:t>
      </w:r>
      <w:proofErr w:type="spellEnd"/>
      <w:r w:rsidR="004B39D8" w:rsidRPr="00A334F5">
        <w:t xml:space="preserve">, </w:t>
      </w:r>
      <w:proofErr w:type="spellStart"/>
      <w:r w:rsidR="004B39D8" w:rsidRPr="00A334F5">
        <w:t>ticarcillin</w:t>
      </w:r>
      <w:proofErr w:type="spellEnd"/>
      <w:r w:rsidR="004B39D8" w:rsidRPr="00A334F5">
        <w:t>/</w:t>
      </w:r>
      <w:proofErr w:type="spellStart"/>
      <w:r w:rsidR="004B39D8" w:rsidRPr="00A334F5">
        <w:t>clavulanate</w:t>
      </w:r>
      <w:proofErr w:type="spellEnd"/>
      <w:r w:rsidR="004B39D8" w:rsidRPr="00A334F5">
        <w:t xml:space="preserve">) and vancomycin. </w:t>
      </w:r>
      <w:r w:rsidR="002302C7" w:rsidRPr="00A334F5">
        <w:t xml:space="preserve">These were chosen for their relevance </w:t>
      </w:r>
      <w:r w:rsidRPr="00A334F5">
        <w:t>to other indicators in this report.  Cephalosporin use has been li</w:t>
      </w:r>
      <w:r w:rsidR="00A334F5" w:rsidRPr="00A334F5">
        <w:t xml:space="preserve">nked with the emergence of MRSA, </w:t>
      </w:r>
      <w:proofErr w:type="spellStart"/>
      <w:r w:rsidRPr="00A334F5">
        <w:t>cephalosporins</w:t>
      </w:r>
      <w:proofErr w:type="spellEnd"/>
      <w:r w:rsidRPr="00A334F5">
        <w:t xml:space="preserve"> and fluoroquinolones have been identified as risk factors for </w:t>
      </w:r>
      <w:r w:rsidRPr="00A334F5">
        <w:rPr>
          <w:i/>
        </w:rPr>
        <w:t xml:space="preserve">Clostridium difficile </w:t>
      </w:r>
      <w:r w:rsidR="00A334F5" w:rsidRPr="00A334F5">
        <w:t>infection</w:t>
      </w:r>
      <w:r w:rsidR="00A334F5">
        <w:t xml:space="preserve"> and all four classes have been associated with VRE acquisition. </w:t>
      </w:r>
    </w:p>
    <w:p w:rsidR="0035443D" w:rsidRDefault="00874088" w:rsidP="0035443D">
      <w:pPr>
        <w:autoSpaceDE w:val="0"/>
        <w:autoSpaceDN w:val="0"/>
        <w:adjustRightInd w:val="0"/>
        <w:spacing w:afterLines="0"/>
        <w:rPr>
          <w:rFonts w:eastAsia="Calibri" w:cs="Arial"/>
          <w:lang w:eastAsia="en-AU"/>
        </w:rPr>
      </w:pPr>
      <w:r>
        <w:rPr>
          <w:rFonts w:eastAsia="Calibri" w:cs="Arial"/>
          <w:lang w:eastAsia="en-AU"/>
        </w:rPr>
        <w:t>Because Tasmanian hospitals vary in services provided, comparisons between Tasmanian hospitals are not recommended.  For example, a hospital that has a dedicated cancer service may use more antimicrobials to combat infections in this susceptible patient group.</w:t>
      </w:r>
      <w:bookmarkStart w:id="84" w:name="_Toc459796607"/>
    </w:p>
    <w:p w:rsidR="0035443D" w:rsidRDefault="0035443D" w:rsidP="0035443D">
      <w:pPr>
        <w:spacing w:after="336"/>
        <w:rPr>
          <w:rFonts w:eastAsia="Calibri" w:cs="Arial"/>
          <w:lang w:eastAsia="en-AU"/>
        </w:rPr>
      </w:pPr>
      <w:r>
        <w:rPr>
          <w:rFonts w:eastAsia="Calibri" w:cs="Arial"/>
          <w:lang w:eastAsia="en-AU"/>
        </w:rPr>
        <w:br w:type="page"/>
      </w:r>
    </w:p>
    <w:p w:rsidR="00A060AF" w:rsidRPr="00D13BFF" w:rsidRDefault="00D13BFF" w:rsidP="0035443D">
      <w:pPr>
        <w:autoSpaceDE w:val="0"/>
        <w:autoSpaceDN w:val="0"/>
        <w:adjustRightInd w:val="0"/>
        <w:spacing w:afterLines="0"/>
      </w:pPr>
      <w:r w:rsidRPr="00123BFB">
        <w:rPr>
          <w:b/>
        </w:rPr>
        <w:t xml:space="preserve">Figure </w:t>
      </w:r>
      <w:r w:rsidRPr="00123BFB">
        <w:rPr>
          <w:b/>
        </w:rPr>
        <w:fldChar w:fldCharType="begin"/>
      </w:r>
      <w:r w:rsidRPr="00123BFB">
        <w:rPr>
          <w:b/>
        </w:rPr>
        <w:instrText xml:space="preserve"> SEQ Figure \* ARABIC </w:instrText>
      </w:r>
      <w:r w:rsidRPr="00123BFB">
        <w:rPr>
          <w:b/>
        </w:rPr>
        <w:fldChar w:fldCharType="separate"/>
      </w:r>
      <w:r w:rsidR="00556020">
        <w:rPr>
          <w:b/>
          <w:noProof/>
        </w:rPr>
        <w:t>21</w:t>
      </w:r>
      <w:r w:rsidRPr="00123BFB">
        <w:rPr>
          <w:b/>
        </w:rPr>
        <w:fldChar w:fldCharType="end"/>
      </w:r>
      <w:r w:rsidRPr="00D13BFF">
        <w:t xml:space="preserve"> </w:t>
      </w:r>
      <w:r w:rsidRPr="00123BFB">
        <w:t>Cephalosporin use</w:t>
      </w:r>
      <w:bookmarkEnd w:id="84"/>
    </w:p>
    <w:p w:rsidR="00A060AF" w:rsidRDefault="009963C4" w:rsidP="00B62635">
      <w:pPr>
        <w:spacing w:afterLines="0"/>
      </w:pPr>
      <w:r>
        <w:rPr>
          <w:noProof/>
          <w:lang w:eastAsia="en-AU"/>
        </w:rPr>
        <w:drawing>
          <wp:inline distT="0" distB="0" distL="0" distR="0" wp14:anchorId="0C52472B" wp14:editId="4B80ECCD">
            <wp:extent cx="5732890" cy="3045349"/>
            <wp:effectExtent l="0" t="0" r="20320" b="22225"/>
            <wp:docPr id="29" name="Chart 29" descr="Text description below" title="Figure 21 - Cephalosporin use in Tasmania  - 3 point rolling aver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060AF" w:rsidRDefault="0029733C" w:rsidP="00B62635">
      <w:pPr>
        <w:spacing w:afterLines="0"/>
      </w:pPr>
      <w:r>
        <w:rPr>
          <w:lang w:eastAsia="en-AU"/>
        </w:rPr>
        <w:t xml:space="preserve">This graph shows cephalosporin use in each acute hospital. </w:t>
      </w:r>
      <w:r>
        <w:t xml:space="preserve">TIPCU use a three point rolling average to calculate the average rate of the current, and two previous months, and uses this to show trends over time. </w:t>
      </w:r>
      <w:r>
        <w:rPr>
          <w:lang w:eastAsia="en-AU"/>
        </w:rPr>
        <w:t>Because Tasmanian hospitals vary in services provided, comparisons between Tasmanian hospitals are not recommended.</w:t>
      </w:r>
    </w:p>
    <w:p w:rsidR="00D13BFF" w:rsidRPr="00D13BFF" w:rsidRDefault="00D13BFF" w:rsidP="00D13BFF">
      <w:pPr>
        <w:pStyle w:val="Caption"/>
        <w:rPr>
          <w:b w:val="0"/>
          <w:sz w:val="22"/>
          <w:szCs w:val="22"/>
        </w:rPr>
      </w:pPr>
      <w:bookmarkStart w:id="85" w:name="_Toc459796608"/>
      <w:r w:rsidRPr="00D13BFF">
        <w:rPr>
          <w:sz w:val="22"/>
          <w:szCs w:val="22"/>
        </w:rPr>
        <w:t xml:space="preserve">Figure </w:t>
      </w:r>
      <w:r w:rsidRPr="00D13BFF">
        <w:rPr>
          <w:sz w:val="22"/>
          <w:szCs w:val="22"/>
        </w:rPr>
        <w:fldChar w:fldCharType="begin"/>
      </w:r>
      <w:r w:rsidRPr="00D13BFF">
        <w:rPr>
          <w:sz w:val="22"/>
          <w:szCs w:val="22"/>
        </w:rPr>
        <w:instrText xml:space="preserve"> SEQ Figure \* ARABIC </w:instrText>
      </w:r>
      <w:r w:rsidRPr="00D13BFF">
        <w:rPr>
          <w:sz w:val="22"/>
          <w:szCs w:val="22"/>
        </w:rPr>
        <w:fldChar w:fldCharType="separate"/>
      </w:r>
      <w:r w:rsidR="00556020">
        <w:rPr>
          <w:noProof/>
          <w:sz w:val="22"/>
          <w:szCs w:val="22"/>
        </w:rPr>
        <w:t>22</w:t>
      </w:r>
      <w:r w:rsidRPr="00D13BFF">
        <w:rPr>
          <w:sz w:val="22"/>
          <w:szCs w:val="22"/>
        </w:rPr>
        <w:fldChar w:fldCharType="end"/>
      </w:r>
      <w:r>
        <w:rPr>
          <w:sz w:val="22"/>
          <w:szCs w:val="22"/>
        </w:rPr>
        <w:t xml:space="preserve"> </w:t>
      </w:r>
      <w:r>
        <w:rPr>
          <w:b w:val="0"/>
          <w:sz w:val="22"/>
          <w:szCs w:val="22"/>
        </w:rPr>
        <w:t>Fluoroquinolone use</w:t>
      </w:r>
      <w:bookmarkEnd w:id="85"/>
    </w:p>
    <w:p w:rsidR="0035443D" w:rsidRDefault="009963C4" w:rsidP="0035443D">
      <w:pPr>
        <w:spacing w:afterLines="0"/>
      </w:pPr>
      <w:r>
        <w:rPr>
          <w:noProof/>
          <w:lang w:eastAsia="en-AU"/>
        </w:rPr>
        <w:drawing>
          <wp:inline distT="0" distB="0" distL="0" distR="0" wp14:anchorId="2C094672" wp14:editId="7AE0524F">
            <wp:extent cx="5732890" cy="3037398"/>
            <wp:effectExtent l="0" t="0" r="20320" b="10795"/>
            <wp:docPr id="30" name="Chart 30" descr="Text description below" title="Figure 22 - Fluoroquinolone use in Tasmania - 3 point rolling aver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bookmarkStart w:id="86" w:name="_Toc459796609"/>
    </w:p>
    <w:p w:rsidR="0029733C" w:rsidRDefault="0029733C" w:rsidP="0029733C">
      <w:pPr>
        <w:spacing w:afterLines="0"/>
      </w:pPr>
      <w:r>
        <w:rPr>
          <w:lang w:eastAsia="en-AU"/>
        </w:rPr>
        <w:t xml:space="preserve">This graph shows fluoroquinolone use in each acute hospital. </w:t>
      </w:r>
      <w:r>
        <w:t xml:space="preserve">TIPCU use a three point rolling average to calculate the average rate of the current, and two previous months, and uses this to show trends over time. </w:t>
      </w:r>
      <w:r>
        <w:rPr>
          <w:lang w:eastAsia="en-AU"/>
        </w:rPr>
        <w:t>Because Tasmanian hospitals vary in services provided, comparisons between Tasmanian hospitals are not recommended.</w:t>
      </w:r>
    </w:p>
    <w:p w:rsidR="00A7123B" w:rsidRPr="0029733C" w:rsidRDefault="00C16108" w:rsidP="0029733C">
      <w:pPr>
        <w:spacing w:after="336"/>
      </w:pPr>
      <w:r w:rsidRPr="00123BFB">
        <w:rPr>
          <w:b/>
        </w:rPr>
        <w:t xml:space="preserve">Figure </w:t>
      </w:r>
      <w:r w:rsidRPr="00123BFB">
        <w:rPr>
          <w:b/>
        </w:rPr>
        <w:fldChar w:fldCharType="begin"/>
      </w:r>
      <w:r w:rsidRPr="00123BFB">
        <w:rPr>
          <w:b/>
        </w:rPr>
        <w:instrText xml:space="preserve"> SEQ Figure \* ARABIC </w:instrText>
      </w:r>
      <w:r w:rsidRPr="00123BFB">
        <w:rPr>
          <w:b/>
        </w:rPr>
        <w:fldChar w:fldCharType="separate"/>
      </w:r>
      <w:r w:rsidR="00556020">
        <w:rPr>
          <w:b/>
          <w:noProof/>
        </w:rPr>
        <w:t>23</w:t>
      </w:r>
      <w:r w:rsidRPr="00123BFB">
        <w:rPr>
          <w:b/>
        </w:rPr>
        <w:fldChar w:fldCharType="end"/>
      </w:r>
      <w:r w:rsidRPr="00C16108">
        <w:t xml:space="preserve"> </w:t>
      </w:r>
      <w:r w:rsidR="004B39D8" w:rsidRPr="00123BFB">
        <w:t>Anti-</w:t>
      </w:r>
      <w:proofErr w:type="spellStart"/>
      <w:r w:rsidR="004B39D8" w:rsidRPr="00123BFB">
        <w:t>pseudomonal</w:t>
      </w:r>
      <w:proofErr w:type="spellEnd"/>
      <w:r w:rsidR="004B39D8" w:rsidRPr="00123BFB">
        <w:t xml:space="preserve"> penicillins plus ß</w:t>
      </w:r>
      <w:r w:rsidRPr="00123BFB">
        <w:t>-lactamase inhibitor use</w:t>
      </w:r>
      <w:bookmarkEnd w:id="86"/>
    </w:p>
    <w:p w:rsidR="00A7123B" w:rsidRDefault="009963C4" w:rsidP="00B62635">
      <w:pPr>
        <w:spacing w:afterLines="0"/>
        <w:rPr>
          <w:b/>
          <w:sz w:val="40"/>
          <w:szCs w:val="40"/>
          <w:lang w:eastAsia="en-AU"/>
        </w:rPr>
      </w:pPr>
      <w:bookmarkStart w:id="87" w:name="_GoBack"/>
      <w:r>
        <w:rPr>
          <w:noProof/>
          <w:lang w:eastAsia="en-AU"/>
        </w:rPr>
        <w:drawing>
          <wp:inline distT="0" distB="0" distL="0" distR="0" wp14:anchorId="0AC2AB2C" wp14:editId="692D5DDF">
            <wp:extent cx="5732890" cy="2965836"/>
            <wp:effectExtent l="0" t="0" r="20320" b="25400"/>
            <wp:docPr id="31" name="Chart 31" descr="Text description below" title="Figure 23 - Anti-pseudomonal penicillin plus ß-lactamase inhibitor use in Tasmania - 3 point rolling aver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bookmarkEnd w:id="87"/>
    <w:p w:rsidR="00A7123B" w:rsidRPr="0029733C" w:rsidRDefault="0029733C" w:rsidP="00B62635">
      <w:pPr>
        <w:spacing w:afterLines="0"/>
      </w:pPr>
      <w:r>
        <w:rPr>
          <w:lang w:eastAsia="en-AU"/>
        </w:rPr>
        <w:t>This graph shows anti-</w:t>
      </w:r>
      <w:proofErr w:type="spellStart"/>
      <w:r>
        <w:rPr>
          <w:lang w:eastAsia="en-AU"/>
        </w:rPr>
        <w:t>pseudomonal</w:t>
      </w:r>
      <w:proofErr w:type="spellEnd"/>
      <w:r>
        <w:rPr>
          <w:lang w:eastAsia="en-AU"/>
        </w:rPr>
        <w:t xml:space="preserve"> penicillin plus ß-lactamase inhibitor use in each acute hospital. </w:t>
      </w:r>
      <w:r>
        <w:t xml:space="preserve">TIPCU use a three point rolling average to calculate the average rate of the current, and two previous months, and uses this to show trends over time. </w:t>
      </w:r>
      <w:r>
        <w:rPr>
          <w:lang w:eastAsia="en-AU"/>
        </w:rPr>
        <w:t>Because Tasmanian hospitals vary in services provided, comparisons between Tasmanian hospitals are not recommended.</w:t>
      </w:r>
    </w:p>
    <w:p w:rsidR="00A7123B" w:rsidRPr="00C16108" w:rsidRDefault="00C16108" w:rsidP="00C16108">
      <w:pPr>
        <w:pStyle w:val="Caption"/>
        <w:rPr>
          <w:b w:val="0"/>
          <w:sz w:val="22"/>
          <w:szCs w:val="22"/>
          <w:lang w:eastAsia="en-AU"/>
        </w:rPr>
      </w:pPr>
      <w:bookmarkStart w:id="88" w:name="_Toc459796610"/>
      <w:r w:rsidRPr="00C16108">
        <w:rPr>
          <w:sz w:val="22"/>
          <w:szCs w:val="22"/>
        </w:rPr>
        <w:t xml:space="preserve">Figure </w:t>
      </w:r>
      <w:r w:rsidRPr="00C16108">
        <w:rPr>
          <w:sz w:val="22"/>
          <w:szCs w:val="22"/>
        </w:rPr>
        <w:fldChar w:fldCharType="begin"/>
      </w:r>
      <w:r w:rsidRPr="00C16108">
        <w:rPr>
          <w:sz w:val="22"/>
          <w:szCs w:val="22"/>
        </w:rPr>
        <w:instrText xml:space="preserve"> SEQ Figure \* ARABIC </w:instrText>
      </w:r>
      <w:r w:rsidRPr="00C16108">
        <w:rPr>
          <w:sz w:val="22"/>
          <w:szCs w:val="22"/>
        </w:rPr>
        <w:fldChar w:fldCharType="separate"/>
      </w:r>
      <w:r w:rsidR="00556020">
        <w:rPr>
          <w:noProof/>
          <w:sz w:val="22"/>
          <w:szCs w:val="22"/>
        </w:rPr>
        <w:t>24</w:t>
      </w:r>
      <w:r w:rsidRPr="00C16108">
        <w:rPr>
          <w:sz w:val="22"/>
          <w:szCs w:val="22"/>
        </w:rPr>
        <w:fldChar w:fldCharType="end"/>
      </w:r>
      <w:r w:rsidRPr="00C16108">
        <w:rPr>
          <w:b w:val="0"/>
          <w:sz w:val="22"/>
          <w:szCs w:val="22"/>
        </w:rPr>
        <w:t xml:space="preserve"> </w:t>
      </w:r>
      <w:r w:rsidRPr="00C16108">
        <w:rPr>
          <w:b w:val="0"/>
          <w:sz w:val="22"/>
          <w:szCs w:val="22"/>
          <w:lang w:eastAsia="en-AU"/>
        </w:rPr>
        <w:t>Vancomycin use</w:t>
      </w:r>
      <w:bookmarkEnd w:id="88"/>
    </w:p>
    <w:p w:rsidR="00A7123B" w:rsidRDefault="00C16108" w:rsidP="00B62635">
      <w:pPr>
        <w:spacing w:afterLines="0"/>
        <w:rPr>
          <w:b/>
          <w:sz w:val="40"/>
          <w:szCs w:val="40"/>
          <w:lang w:eastAsia="en-AU"/>
        </w:rPr>
      </w:pPr>
      <w:r>
        <w:rPr>
          <w:noProof/>
          <w:lang w:eastAsia="en-AU"/>
        </w:rPr>
        <w:drawing>
          <wp:inline distT="0" distB="0" distL="0" distR="0" wp14:anchorId="0C771845" wp14:editId="4FEAC3E4">
            <wp:extent cx="5732890" cy="3021496"/>
            <wp:effectExtent l="0" t="0" r="20320" b="26670"/>
            <wp:docPr id="27" name="Chart 27" descr="Text description below" title="Figure 24 - Vancomycin use in Tasmania - 3 point rolling aver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16108" w:rsidRPr="0029733C" w:rsidRDefault="0029733C" w:rsidP="00B62635">
      <w:pPr>
        <w:spacing w:afterLines="0"/>
      </w:pPr>
      <w:r>
        <w:rPr>
          <w:lang w:eastAsia="en-AU"/>
        </w:rPr>
        <w:t xml:space="preserve">This graph shows vancomycin use in each acute hospital. </w:t>
      </w:r>
      <w:r>
        <w:t xml:space="preserve">TIPCU use a three point rolling average to calculate the average rate of the current, and two previous months, and uses this to show trends over time. </w:t>
      </w:r>
      <w:r>
        <w:rPr>
          <w:lang w:eastAsia="en-AU"/>
        </w:rPr>
        <w:t>Because Tasmanian hospitals vary in services provided, comparisons between Tasmanian hospitals are not recommended.</w:t>
      </w:r>
    </w:p>
    <w:p w:rsidR="00B62635" w:rsidRPr="00B62635" w:rsidRDefault="00B62635" w:rsidP="00B62635">
      <w:pPr>
        <w:spacing w:afterLines="0"/>
        <w:rPr>
          <w:b/>
          <w:sz w:val="16"/>
          <w:szCs w:val="16"/>
          <w:lang w:eastAsia="en-AU"/>
        </w:rPr>
      </w:pPr>
      <w:r w:rsidRPr="00B62635">
        <w:rPr>
          <w:b/>
          <w:sz w:val="40"/>
          <w:szCs w:val="40"/>
          <w:lang w:eastAsia="en-AU"/>
        </w:rPr>
        <w:t>Acknowledgements</w:t>
      </w:r>
    </w:p>
    <w:p w:rsidR="00B62635" w:rsidRPr="00B62635" w:rsidRDefault="00B62635" w:rsidP="00B62635">
      <w:pPr>
        <w:spacing w:afterLines="0"/>
        <w:rPr>
          <w:lang w:eastAsia="en-AU"/>
        </w:rPr>
      </w:pPr>
      <w:r w:rsidRPr="00B62635">
        <w:rPr>
          <w:lang w:eastAsia="en-AU"/>
        </w:rPr>
        <w:t>The production of this report is the culmination of data collection, analysis and input from a number of different organisations. In particular, we would like to acknowledge:</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Executive Director of Nursing THS North</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 xml:space="preserve">Executive Director of Nursing THS North West </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Executive Director of Nursing THS South</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Launceston General Hospital Infection Prevention and Control Unit</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North West Regional Hospital  Infection Control Team</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 xml:space="preserve">Mersey Community Hospital Infection Control Team </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Royal Hobart Hospital Infection Prevention and Control Unit</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Microbiology Departments at the Royal Hobart Hospital, Launceston General Hospital and DSPL</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Hand Hygiene Australia</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 xml:space="preserve">Communicable Diseases Prevention Unit, Public Health Services </w:t>
      </w:r>
    </w:p>
    <w:p w:rsidR="00B62635" w:rsidRPr="00B62635" w:rsidRDefault="00B62635" w:rsidP="0035443D">
      <w:pPr>
        <w:numPr>
          <w:ilvl w:val="0"/>
          <w:numId w:val="11"/>
        </w:numPr>
        <w:tabs>
          <w:tab w:val="clear" w:pos="360"/>
        </w:tabs>
        <w:spacing w:afterLines="0"/>
        <w:ind w:left="567" w:hanging="567"/>
      </w:pPr>
      <w:r w:rsidRPr="00B62635">
        <w:rPr>
          <w:lang w:eastAsia="en-AU"/>
        </w:rPr>
        <w:t>Contributing Primary Health Sites</w:t>
      </w:r>
      <w:r w:rsidRPr="00B62635">
        <w:br w:type="page"/>
      </w:r>
    </w:p>
    <w:p w:rsidR="00B62635" w:rsidRPr="00B62635" w:rsidRDefault="00B62635" w:rsidP="00B62635">
      <w:pPr>
        <w:keepNext/>
        <w:keepLines/>
        <w:tabs>
          <w:tab w:val="left" w:pos="567"/>
        </w:tabs>
        <w:spacing w:afterLines="0"/>
        <w:outlineLvl w:val="0"/>
        <w:rPr>
          <w:rFonts w:eastAsia="Times New Roman" w:cs="Times New Roman"/>
          <w:b/>
          <w:bCs/>
          <w:sz w:val="40"/>
          <w:szCs w:val="40"/>
          <w:lang w:eastAsia="en-AU"/>
        </w:rPr>
      </w:pPr>
      <w:bookmarkStart w:id="89" w:name="_Toc459796636"/>
      <w:r w:rsidRPr="00B62635">
        <w:rPr>
          <w:rFonts w:eastAsia="Times New Roman" w:cs="Times New Roman"/>
          <w:b/>
          <w:bCs/>
          <w:sz w:val="40"/>
          <w:szCs w:val="40"/>
          <w:lang w:eastAsia="en-AU"/>
        </w:rPr>
        <w:t>Appendix 1</w:t>
      </w:r>
      <w:bookmarkEnd w:id="89"/>
    </w:p>
    <w:p w:rsidR="00B62635" w:rsidRPr="00B62635" w:rsidRDefault="00B62635" w:rsidP="00B62635">
      <w:pPr>
        <w:keepNext/>
        <w:keepLines/>
        <w:spacing w:afterLines="0"/>
        <w:outlineLvl w:val="1"/>
        <w:rPr>
          <w:rFonts w:eastAsiaTheme="majorEastAsia" w:cstheme="majorBidi"/>
          <w:b/>
          <w:bCs/>
          <w:sz w:val="32"/>
          <w:szCs w:val="32"/>
          <w:lang w:eastAsia="en-AU"/>
        </w:rPr>
      </w:pPr>
      <w:bookmarkStart w:id="90" w:name="_Toc459796637"/>
      <w:r w:rsidRPr="00B62635">
        <w:rPr>
          <w:rFonts w:eastAsiaTheme="majorEastAsia" w:cstheme="majorBidi"/>
          <w:b/>
          <w:bCs/>
          <w:sz w:val="32"/>
          <w:szCs w:val="32"/>
          <w:lang w:eastAsia="en-AU"/>
        </w:rPr>
        <w:t>Explanatory notes</w:t>
      </w:r>
      <w:bookmarkEnd w:id="90"/>
      <w:r w:rsidRPr="00B62635">
        <w:rPr>
          <w:rFonts w:eastAsiaTheme="majorEastAsia" w:cstheme="majorBidi"/>
          <w:b/>
          <w:bCs/>
          <w:sz w:val="32"/>
          <w:szCs w:val="32"/>
          <w:lang w:eastAsia="en-AU"/>
        </w:rPr>
        <w:t xml:space="preserve"> </w:t>
      </w:r>
    </w:p>
    <w:p w:rsidR="008E161C" w:rsidRDefault="008E161C" w:rsidP="00B62635">
      <w:pPr>
        <w:keepNext/>
        <w:tabs>
          <w:tab w:val="left" w:pos="567"/>
        </w:tabs>
        <w:spacing w:afterLines="0"/>
        <w:outlineLvl w:val="2"/>
        <w:rPr>
          <w:rFonts w:eastAsia="Times New Roman" w:cs="Times New Roman"/>
          <w:b/>
          <w:bCs/>
          <w:sz w:val="24"/>
          <w:szCs w:val="24"/>
        </w:rPr>
      </w:pPr>
      <w:bookmarkStart w:id="91" w:name="_Toc435168214"/>
      <w:bookmarkStart w:id="92" w:name="_Toc450223080"/>
    </w:p>
    <w:p w:rsidR="00B62635" w:rsidRPr="00B62635" w:rsidRDefault="00B62635" w:rsidP="00B62635">
      <w:pPr>
        <w:keepNext/>
        <w:tabs>
          <w:tab w:val="left" w:pos="567"/>
        </w:tabs>
        <w:spacing w:afterLines="0"/>
        <w:outlineLvl w:val="2"/>
        <w:rPr>
          <w:rFonts w:eastAsia="Times New Roman" w:cs="Times New Roman"/>
          <w:b/>
          <w:bCs/>
          <w:sz w:val="24"/>
          <w:szCs w:val="24"/>
        </w:rPr>
      </w:pPr>
      <w:bookmarkStart w:id="93" w:name="_Toc459796638"/>
      <w:r w:rsidRPr="00B62635">
        <w:rPr>
          <w:rFonts w:eastAsia="Times New Roman" w:cs="Times New Roman"/>
          <w:b/>
          <w:bCs/>
          <w:sz w:val="24"/>
          <w:szCs w:val="24"/>
        </w:rPr>
        <w:t>What types of healthcare surveillance are done in Tasmania?</w:t>
      </w:r>
      <w:bookmarkEnd w:id="91"/>
      <w:bookmarkEnd w:id="92"/>
      <w:bookmarkEnd w:id="93"/>
    </w:p>
    <w:p w:rsidR="00B62635" w:rsidRPr="00B62635" w:rsidRDefault="00B62635" w:rsidP="00B62635">
      <w:pPr>
        <w:autoSpaceDE w:val="0"/>
        <w:autoSpaceDN w:val="0"/>
        <w:adjustRightInd w:val="0"/>
        <w:spacing w:afterLines="0"/>
        <w:rPr>
          <w:rFonts w:cs="AGaramond-Regular"/>
          <w:lang w:eastAsia="en-AU"/>
        </w:rPr>
      </w:pPr>
      <w:r w:rsidRPr="00B62635">
        <w:rPr>
          <w:rFonts w:cs="AGaramond-Regular"/>
          <w:lang w:eastAsia="en-AU"/>
        </w:rPr>
        <w:t>TIPCU undertakes surveillance of the following:</w:t>
      </w:r>
    </w:p>
    <w:p w:rsidR="00B62635" w:rsidRPr="00B62635" w:rsidRDefault="00B62635" w:rsidP="00B62635">
      <w:pPr>
        <w:numPr>
          <w:ilvl w:val="0"/>
          <w:numId w:val="13"/>
        </w:numPr>
        <w:tabs>
          <w:tab w:val="clear" w:pos="360"/>
        </w:tabs>
        <w:autoSpaceDE w:val="0"/>
        <w:autoSpaceDN w:val="0"/>
        <w:adjustRightInd w:val="0"/>
        <w:spacing w:afterLines="0"/>
        <w:ind w:left="567" w:hanging="567"/>
        <w:rPr>
          <w:rFonts w:cs="AGaramond-Regular"/>
          <w:lang w:eastAsia="en-AU"/>
        </w:rPr>
      </w:pPr>
      <w:r w:rsidRPr="00B62635">
        <w:rPr>
          <w:rFonts w:cs="AGaramond-Regular"/>
          <w:i/>
          <w:lang w:eastAsia="en-AU"/>
        </w:rPr>
        <w:t>Staphylococcus aureus</w:t>
      </w:r>
      <w:r w:rsidRPr="00B62635">
        <w:rPr>
          <w:rFonts w:cs="AGaramond-Regular"/>
          <w:lang w:eastAsia="en-AU"/>
        </w:rPr>
        <w:t xml:space="preserve"> bacteraemia (bloodstream infection).</w:t>
      </w:r>
    </w:p>
    <w:p w:rsidR="00B62635" w:rsidRPr="00B62635" w:rsidRDefault="00B62635" w:rsidP="00B62635">
      <w:pPr>
        <w:numPr>
          <w:ilvl w:val="0"/>
          <w:numId w:val="13"/>
        </w:numPr>
        <w:tabs>
          <w:tab w:val="clear" w:pos="360"/>
        </w:tabs>
        <w:autoSpaceDE w:val="0"/>
        <w:autoSpaceDN w:val="0"/>
        <w:adjustRightInd w:val="0"/>
        <w:spacing w:afterLines="0"/>
        <w:ind w:left="567" w:hanging="567"/>
        <w:rPr>
          <w:rFonts w:cs="AGaramond-Regular"/>
          <w:lang w:eastAsia="en-AU"/>
        </w:rPr>
      </w:pPr>
      <w:r w:rsidRPr="00B62635">
        <w:rPr>
          <w:rFonts w:cs="AGaramond-Regular"/>
          <w:i/>
          <w:lang w:eastAsia="en-AU"/>
        </w:rPr>
        <w:t>Clostridium difficile</w:t>
      </w:r>
      <w:r w:rsidRPr="00B62635">
        <w:rPr>
          <w:rFonts w:cs="AGaramond-Regular"/>
          <w:lang w:eastAsia="en-AU"/>
        </w:rPr>
        <w:t xml:space="preserve"> infection (CDI).</w:t>
      </w:r>
    </w:p>
    <w:p w:rsidR="00B62635" w:rsidRPr="00B62635" w:rsidRDefault="00B62635" w:rsidP="00B62635">
      <w:pPr>
        <w:numPr>
          <w:ilvl w:val="0"/>
          <w:numId w:val="13"/>
        </w:numPr>
        <w:tabs>
          <w:tab w:val="clear" w:pos="360"/>
        </w:tabs>
        <w:autoSpaceDE w:val="0"/>
        <w:autoSpaceDN w:val="0"/>
        <w:adjustRightInd w:val="0"/>
        <w:spacing w:afterLines="0"/>
        <w:ind w:left="567" w:hanging="567"/>
        <w:rPr>
          <w:rFonts w:cs="AGaramond-Regular"/>
          <w:lang w:eastAsia="en-AU"/>
        </w:rPr>
      </w:pPr>
      <w:r w:rsidRPr="00B62635">
        <w:rPr>
          <w:rFonts w:cs="AGaramond-Regular"/>
          <w:lang w:eastAsia="en-AU"/>
        </w:rPr>
        <w:t>Vancomycin resistant enterococci (VRE).</w:t>
      </w:r>
    </w:p>
    <w:p w:rsidR="00B62635" w:rsidRPr="00B62635" w:rsidRDefault="00B62635" w:rsidP="00B62635">
      <w:pPr>
        <w:numPr>
          <w:ilvl w:val="0"/>
          <w:numId w:val="13"/>
        </w:numPr>
        <w:tabs>
          <w:tab w:val="clear" w:pos="360"/>
        </w:tabs>
        <w:autoSpaceDE w:val="0"/>
        <w:autoSpaceDN w:val="0"/>
        <w:adjustRightInd w:val="0"/>
        <w:spacing w:afterLines="0"/>
        <w:ind w:left="567" w:hanging="567"/>
        <w:rPr>
          <w:rFonts w:cs="AGaramond-Regular"/>
          <w:lang w:eastAsia="en-AU"/>
        </w:rPr>
      </w:pPr>
      <w:r w:rsidRPr="00B62635">
        <w:rPr>
          <w:rFonts w:cs="AGaramond-Regular"/>
          <w:lang w:eastAsia="en-AU"/>
        </w:rPr>
        <w:t>Hand hygiene compliance rates.</w:t>
      </w:r>
    </w:p>
    <w:p w:rsidR="00B62635" w:rsidRPr="00B62635" w:rsidRDefault="00B62635" w:rsidP="00B62635">
      <w:pPr>
        <w:numPr>
          <w:ilvl w:val="0"/>
          <w:numId w:val="13"/>
        </w:numPr>
        <w:tabs>
          <w:tab w:val="clear" w:pos="360"/>
        </w:tabs>
        <w:autoSpaceDE w:val="0"/>
        <w:autoSpaceDN w:val="0"/>
        <w:adjustRightInd w:val="0"/>
        <w:spacing w:afterLines="0"/>
        <w:ind w:left="567" w:hanging="567"/>
        <w:rPr>
          <w:rFonts w:cs="AGaramond-Regular"/>
          <w:lang w:eastAsia="en-AU"/>
        </w:rPr>
      </w:pPr>
      <w:r w:rsidRPr="00B62635">
        <w:rPr>
          <w:rFonts w:cs="AGaramond-Regular"/>
          <w:lang w:eastAsia="en-AU"/>
        </w:rPr>
        <w:t xml:space="preserve">Antibiotic utilisation. </w:t>
      </w:r>
    </w:p>
    <w:p w:rsidR="00B62635" w:rsidRPr="00B62635" w:rsidRDefault="00B62635" w:rsidP="00B62635">
      <w:pPr>
        <w:autoSpaceDE w:val="0"/>
        <w:autoSpaceDN w:val="0"/>
        <w:adjustRightInd w:val="0"/>
        <w:spacing w:afterLines="0"/>
        <w:ind w:left="567"/>
        <w:rPr>
          <w:rFonts w:cs="AGaramond-Regular"/>
          <w:lang w:eastAsia="en-AU"/>
        </w:rPr>
      </w:pPr>
    </w:p>
    <w:p w:rsidR="00B62635" w:rsidRPr="00B62635" w:rsidRDefault="00B62635" w:rsidP="00B62635">
      <w:pPr>
        <w:keepNext/>
        <w:tabs>
          <w:tab w:val="left" w:pos="567"/>
        </w:tabs>
        <w:spacing w:afterLines="0"/>
        <w:outlineLvl w:val="2"/>
        <w:rPr>
          <w:rFonts w:eastAsia="Times New Roman" w:cs="Times New Roman"/>
          <w:b/>
          <w:bCs/>
          <w:sz w:val="24"/>
          <w:szCs w:val="24"/>
        </w:rPr>
      </w:pPr>
      <w:bookmarkStart w:id="94" w:name="_Toc435168215"/>
      <w:bookmarkStart w:id="95" w:name="_Toc450223081"/>
      <w:bookmarkStart w:id="96" w:name="_Toc459796639"/>
      <w:r w:rsidRPr="00B62635">
        <w:rPr>
          <w:rFonts w:eastAsia="Times New Roman" w:cs="Times New Roman"/>
          <w:b/>
          <w:bCs/>
          <w:sz w:val="24"/>
          <w:szCs w:val="24"/>
        </w:rPr>
        <w:t>What do the rates mean?</w:t>
      </w:r>
      <w:bookmarkEnd w:id="94"/>
      <w:bookmarkEnd w:id="95"/>
      <w:bookmarkEnd w:id="96"/>
      <w:r w:rsidRPr="00B62635">
        <w:rPr>
          <w:rFonts w:eastAsia="Times New Roman" w:cs="Times New Roman"/>
          <w:b/>
          <w:bCs/>
          <w:sz w:val="24"/>
          <w:szCs w:val="24"/>
        </w:rPr>
        <w:t xml:space="preserve"> </w:t>
      </w:r>
    </w:p>
    <w:p w:rsidR="00B62635" w:rsidRPr="00B62635" w:rsidRDefault="00B62635" w:rsidP="00B62635">
      <w:pPr>
        <w:autoSpaceDE w:val="0"/>
        <w:autoSpaceDN w:val="0"/>
        <w:adjustRightInd w:val="0"/>
        <w:spacing w:afterLines="0"/>
      </w:pPr>
      <w:r w:rsidRPr="00B62635">
        <w:t xml:space="preserve">The healthcare surveillance data are expressed as a rate or a raw number. SAB and CDI are expressed as a rate per 10 000 patient days, VRE is expressed as a raw number, hand hygiene compliance is expressed as a percentage and antibiotic utilisation is expressed as hospital use measured by defined daily doses, per 1 000 occupied bed days. </w:t>
      </w:r>
    </w:p>
    <w:p w:rsidR="00B62635" w:rsidRPr="00B62635" w:rsidRDefault="00B62635" w:rsidP="00B62635">
      <w:pPr>
        <w:autoSpaceDE w:val="0"/>
        <w:autoSpaceDN w:val="0"/>
        <w:adjustRightInd w:val="0"/>
        <w:spacing w:afterLines="0"/>
      </w:pPr>
    </w:p>
    <w:p w:rsidR="00B62635" w:rsidRPr="00B62635" w:rsidRDefault="00B62635" w:rsidP="00B62635">
      <w:pPr>
        <w:keepNext/>
        <w:tabs>
          <w:tab w:val="left" w:pos="567"/>
        </w:tabs>
        <w:spacing w:afterLines="0"/>
        <w:outlineLvl w:val="2"/>
        <w:rPr>
          <w:rFonts w:eastAsia="Times New Roman" w:cs="Times New Roman"/>
          <w:b/>
          <w:bCs/>
          <w:sz w:val="24"/>
          <w:szCs w:val="24"/>
        </w:rPr>
      </w:pPr>
      <w:bookmarkStart w:id="97" w:name="_Toc435168216"/>
      <w:bookmarkStart w:id="98" w:name="_Toc450223082"/>
      <w:bookmarkStart w:id="99" w:name="_Toc459796640"/>
      <w:r w:rsidRPr="00B62635">
        <w:rPr>
          <w:rFonts w:eastAsia="Times New Roman" w:cs="Times New Roman"/>
          <w:b/>
          <w:bCs/>
          <w:sz w:val="24"/>
          <w:szCs w:val="24"/>
        </w:rPr>
        <w:t xml:space="preserve">What are the definitions for </w:t>
      </w:r>
      <w:r w:rsidRPr="00B62635">
        <w:rPr>
          <w:rFonts w:eastAsia="Times New Roman" w:cs="Times New Roman"/>
          <w:b/>
          <w:bCs/>
          <w:i/>
          <w:sz w:val="24"/>
          <w:szCs w:val="24"/>
        </w:rPr>
        <w:t>Clostridium difficile</w:t>
      </w:r>
      <w:r w:rsidRPr="00B62635">
        <w:rPr>
          <w:rFonts w:eastAsia="Times New Roman" w:cs="Times New Roman"/>
          <w:b/>
          <w:bCs/>
          <w:sz w:val="24"/>
          <w:szCs w:val="24"/>
        </w:rPr>
        <w:t xml:space="preserve"> infection (CDI)?</w:t>
      </w:r>
      <w:bookmarkEnd w:id="97"/>
      <w:bookmarkEnd w:id="98"/>
      <w:bookmarkEnd w:id="99"/>
      <w:r w:rsidRPr="00B62635">
        <w:rPr>
          <w:rFonts w:eastAsia="Times New Roman" w:cs="Times New Roman"/>
          <w:b/>
          <w:bCs/>
          <w:sz w:val="24"/>
          <w:szCs w:val="24"/>
        </w:rPr>
        <w:t xml:space="preserve"> </w:t>
      </w:r>
    </w:p>
    <w:p w:rsidR="00B62635" w:rsidRPr="00B62635" w:rsidRDefault="00B62635" w:rsidP="00B62635">
      <w:pPr>
        <w:spacing w:afterLines="0"/>
      </w:pPr>
      <w:r w:rsidRPr="00B62635">
        <w:rPr>
          <w:lang w:eastAsia="en-AU"/>
        </w:rPr>
        <w:t>TIPCU use the</w:t>
      </w:r>
      <w:r w:rsidRPr="00B62635">
        <w:t xml:space="preserve"> national surveillance definitions published by the Australian Commission on Safety and Quality in Health Care (ACSQHC) to classify CDI. TIPCU reports on:</w:t>
      </w:r>
    </w:p>
    <w:p w:rsidR="00B62635" w:rsidRPr="00B62635" w:rsidRDefault="00B62635" w:rsidP="00B62635">
      <w:pPr>
        <w:numPr>
          <w:ilvl w:val="0"/>
          <w:numId w:val="24"/>
        </w:numPr>
        <w:spacing w:afterLines="0" w:after="336"/>
        <w:ind w:left="567" w:hanging="567"/>
        <w:contextualSpacing/>
        <w:rPr>
          <w:rFonts w:cs="Arial"/>
        </w:rPr>
      </w:pPr>
      <w:bookmarkStart w:id="100" w:name="_Ref435101787"/>
      <w:r w:rsidRPr="00B62635">
        <w:rPr>
          <w:b/>
        </w:rPr>
        <w:t xml:space="preserve">Hospital </w:t>
      </w:r>
      <w:r w:rsidRPr="00B62635">
        <w:rPr>
          <w:rFonts w:cs="Arial"/>
          <w:b/>
        </w:rPr>
        <w:t>identified CDI</w:t>
      </w:r>
      <w:r w:rsidRPr="00B62635">
        <w:rPr>
          <w:rFonts w:cs="Arial"/>
        </w:rPr>
        <w:t xml:space="preserve"> is defined as </w:t>
      </w:r>
      <w:r w:rsidRPr="00B62635">
        <w:rPr>
          <w:rFonts w:eastAsia="Times New Roman" w:cs="Arial"/>
          <w:lang w:eastAsia="en-AU"/>
        </w:rPr>
        <w:t>a case diagnosed in a patient attending an acute care facility. This includes positive specimens obtained from admitted patients and those attending the emergency department and outpatient departments. This definition excludes patients less than two years old and cases with a positive test within the previous eight weeks.</w:t>
      </w:r>
      <w:bookmarkEnd w:id="100"/>
    </w:p>
    <w:p w:rsidR="0035443D" w:rsidRDefault="00B62635" w:rsidP="0035443D">
      <w:pPr>
        <w:numPr>
          <w:ilvl w:val="0"/>
          <w:numId w:val="24"/>
        </w:numPr>
        <w:spacing w:afterLines="0" w:after="336"/>
        <w:ind w:left="567" w:hanging="567"/>
        <w:contextualSpacing/>
        <w:rPr>
          <w:rFonts w:cs="Arial"/>
        </w:rPr>
      </w:pPr>
      <w:r w:rsidRPr="00B62635">
        <w:rPr>
          <w:rFonts w:cs="Arial"/>
          <w:b/>
        </w:rPr>
        <w:t>Healthcare associated – healthcare facility onset CDI</w:t>
      </w:r>
      <w:r w:rsidRPr="00B62635">
        <w:rPr>
          <w:rFonts w:cs="Arial"/>
        </w:rPr>
        <w:t xml:space="preserve"> (HCA-HCF CDI) is defined as</w:t>
      </w:r>
      <w:r w:rsidRPr="00B62635">
        <w:t xml:space="preserve"> a patient with CDI symptom onset (or date and time of stool specimen collection if a laboratory system is used) more than 48 hours after admission to a healthcare facility.</w:t>
      </w:r>
      <w:r w:rsidRPr="00B62635">
        <w:rPr>
          <w:rFonts w:cs="Arial"/>
        </w:rPr>
        <w:t xml:space="preserve">  </w:t>
      </w:r>
      <w:r w:rsidRPr="00B62635">
        <w:rPr>
          <w:rFonts w:eastAsia="Times New Roman" w:cs="Arial"/>
          <w:lang w:eastAsia="en-AU"/>
        </w:rPr>
        <w:t>This definition excludes patients less than two years old and cases with a positive test within the previous eight weeks.</w:t>
      </w:r>
      <w:bookmarkStart w:id="101" w:name="_Toc435168217"/>
      <w:bookmarkStart w:id="102" w:name="_Toc450223083"/>
      <w:bookmarkStart w:id="103" w:name="_Toc459796641"/>
    </w:p>
    <w:p w:rsidR="0035443D" w:rsidRDefault="0035443D" w:rsidP="0035443D">
      <w:pPr>
        <w:spacing w:after="336"/>
        <w:rPr>
          <w:rFonts w:cs="Arial"/>
        </w:rPr>
      </w:pPr>
      <w:r>
        <w:rPr>
          <w:rFonts w:cs="Arial"/>
        </w:rPr>
        <w:br w:type="page"/>
      </w:r>
    </w:p>
    <w:p w:rsidR="00B62635" w:rsidRPr="00B62635" w:rsidRDefault="00B62635" w:rsidP="0035443D">
      <w:pPr>
        <w:numPr>
          <w:ilvl w:val="0"/>
          <w:numId w:val="24"/>
        </w:numPr>
        <w:spacing w:afterLines="0" w:after="336"/>
        <w:ind w:left="567" w:hanging="567"/>
        <w:contextualSpacing/>
        <w:rPr>
          <w:rFonts w:eastAsia="Times New Roman" w:cs="Times New Roman"/>
          <w:b/>
          <w:bCs/>
          <w:sz w:val="24"/>
          <w:szCs w:val="24"/>
        </w:rPr>
      </w:pPr>
      <w:r w:rsidRPr="00B62635">
        <w:rPr>
          <w:rFonts w:eastAsia="Times New Roman" w:cs="Times New Roman"/>
          <w:b/>
          <w:bCs/>
          <w:sz w:val="24"/>
          <w:szCs w:val="24"/>
        </w:rPr>
        <w:t xml:space="preserve">What are the definitions for healthcare associated </w:t>
      </w:r>
      <w:r w:rsidRPr="00B62635">
        <w:rPr>
          <w:rFonts w:eastAsia="Times New Roman" w:cs="Times New Roman"/>
          <w:b/>
          <w:bCs/>
          <w:i/>
          <w:sz w:val="24"/>
          <w:szCs w:val="24"/>
        </w:rPr>
        <w:t>Staphylococcus aureus</w:t>
      </w:r>
      <w:r w:rsidRPr="00B62635">
        <w:rPr>
          <w:rFonts w:eastAsia="Times New Roman" w:cs="Times New Roman"/>
          <w:b/>
          <w:bCs/>
          <w:sz w:val="24"/>
          <w:szCs w:val="24"/>
        </w:rPr>
        <w:t xml:space="preserve"> bacteraemia (SAB)?</w:t>
      </w:r>
      <w:bookmarkEnd w:id="101"/>
      <w:bookmarkEnd w:id="102"/>
      <w:bookmarkEnd w:id="103"/>
      <w:r w:rsidRPr="00B62635">
        <w:rPr>
          <w:rFonts w:eastAsia="Times New Roman" w:cs="Times New Roman"/>
          <w:b/>
          <w:bCs/>
          <w:sz w:val="24"/>
          <w:szCs w:val="24"/>
        </w:rPr>
        <w:t xml:space="preserve"> </w:t>
      </w:r>
    </w:p>
    <w:p w:rsidR="00B62635" w:rsidRPr="00B62635" w:rsidRDefault="00B62635" w:rsidP="00B62635">
      <w:pPr>
        <w:spacing w:afterLines="0"/>
      </w:pPr>
      <w:r w:rsidRPr="00B62635">
        <w:rPr>
          <w:b/>
        </w:rPr>
        <w:t>Criterion A </w:t>
      </w:r>
      <w:r w:rsidRPr="00B62635">
        <w:t>the patient’s first SAB blood culture was collected more than 48 hours after hospital admission or less than 48 hours after discharge.</w:t>
      </w:r>
    </w:p>
    <w:p w:rsidR="00B62635" w:rsidRPr="00B62635" w:rsidRDefault="00B62635" w:rsidP="00B62635">
      <w:pPr>
        <w:spacing w:afterLines="0"/>
        <w:rPr>
          <w:b/>
        </w:rPr>
      </w:pPr>
      <w:r w:rsidRPr="00B62635">
        <w:rPr>
          <w:b/>
        </w:rPr>
        <w:t>OR</w:t>
      </w:r>
    </w:p>
    <w:p w:rsidR="00B62635" w:rsidRPr="00B62635" w:rsidRDefault="00B62635" w:rsidP="00B62635">
      <w:pPr>
        <w:spacing w:afterLines="0"/>
      </w:pPr>
      <w:r w:rsidRPr="00B62635">
        <w:rPr>
          <w:b/>
        </w:rPr>
        <w:t>Criterion B</w:t>
      </w:r>
      <w:r w:rsidRPr="00B62635">
        <w:t> the patient’s first positive SAB blood culture was collected less than or equal to 48 hours after hospital admission and one or more of the following key clinical criteria was met for the patient-episode of SAB.</w:t>
      </w:r>
    </w:p>
    <w:p w:rsidR="00B62635" w:rsidRPr="00B62635" w:rsidRDefault="00B62635" w:rsidP="00B62635">
      <w:pPr>
        <w:spacing w:afterLines="0"/>
      </w:pPr>
      <w:r w:rsidRPr="00B62635">
        <w:t>Key clinical criteria:</w:t>
      </w:r>
    </w:p>
    <w:p w:rsidR="00B62635" w:rsidRPr="00B62635" w:rsidRDefault="00B62635" w:rsidP="00B62635">
      <w:pPr>
        <w:numPr>
          <w:ilvl w:val="0"/>
          <w:numId w:val="14"/>
        </w:numPr>
        <w:spacing w:afterLines="0"/>
        <w:ind w:left="567" w:hanging="567"/>
      </w:pPr>
      <w:r w:rsidRPr="00B62635">
        <w:t>SAB is a complication of the presence of an</w:t>
      </w:r>
      <w:r w:rsidR="00066DCB">
        <w:t xml:space="preserve"> indwelling medical device (</w:t>
      </w:r>
      <w:proofErr w:type="spellStart"/>
      <w:r w:rsidR="00066DCB">
        <w:t>eg</w:t>
      </w:r>
      <w:proofErr w:type="spellEnd"/>
      <w:r w:rsidR="00066DCB">
        <w:t xml:space="preserve"> i</w:t>
      </w:r>
      <w:r w:rsidRPr="00B62635">
        <w:t>ntravascular line, haemodialysis vascular access, CSF shunt, urinary catheter).</w:t>
      </w:r>
    </w:p>
    <w:p w:rsidR="00B62635" w:rsidRPr="00B62635" w:rsidRDefault="00B62635" w:rsidP="00B62635">
      <w:pPr>
        <w:numPr>
          <w:ilvl w:val="0"/>
          <w:numId w:val="14"/>
        </w:numPr>
        <w:spacing w:afterLines="0"/>
        <w:ind w:left="567" w:hanging="567"/>
      </w:pPr>
      <w:r w:rsidRPr="00B62635">
        <w:t>SAB occurs within 30 days of a surgical procedure or 365 days for surgically implanted devices, where the SAB is related to the surgical site.</w:t>
      </w:r>
    </w:p>
    <w:p w:rsidR="00B62635" w:rsidRPr="00B62635" w:rsidRDefault="00B62635" w:rsidP="00B62635">
      <w:pPr>
        <w:numPr>
          <w:ilvl w:val="0"/>
          <w:numId w:val="14"/>
        </w:numPr>
        <w:spacing w:afterLines="0"/>
        <w:ind w:left="567" w:hanging="567"/>
      </w:pPr>
      <w:r w:rsidRPr="00B62635">
        <w:t>SAB was diagnosed within 48 hours of a related invasive instrumentation or incision.</w:t>
      </w:r>
    </w:p>
    <w:p w:rsidR="008E161C" w:rsidRPr="00C16108" w:rsidRDefault="00B62635" w:rsidP="00B62635">
      <w:pPr>
        <w:numPr>
          <w:ilvl w:val="0"/>
          <w:numId w:val="14"/>
        </w:numPr>
        <w:spacing w:afterLines="0"/>
        <w:ind w:left="567" w:hanging="567"/>
      </w:pPr>
      <w:r w:rsidRPr="00B62635">
        <w:t>SAB is associated with neutropenia (less 1 x 10</w:t>
      </w:r>
      <w:r w:rsidRPr="00B62635">
        <w:rPr>
          <w:vertAlign w:val="superscript"/>
        </w:rPr>
        <w:t>9</w:t>
      </w:r>
      <w:r w:rsidRPr="00B62635">
        <w:t>/L) contributed to by cytotoxic therapy.</w:t>
      </w:r>
    </w:p>
    <w:p w:rsidR="00B62635" w:rsidRPr="00B62635" w:rsidRDefault="00B62635" w:rsidP="00B62635">
      <w:pPr>
        <w:spacing w:afterLines="0"/>
        <w:rPr>
          <w:b/>
          <w:sz w:val="24"/>
          <w:szCs w:val="24"/>
        </w:rPr>
      </w:pPr>
      <w:r w:rsidRPr="00B62635">
        <w:rPr>
          <w:b/>
          <w:sz w:val="24"/>
          <w:szCs w:val="24"/>
        </w:rPr>
        <w:t>What are the definitions for vancomycin resistant enterococci (VRE)?</w:t>
      </w:r>
    </w:p>
    <w:p w:rsidR="008E161C" w:rsidRPr="00C16108" w:rsidRDefault="00B62635" w:rsidP="00C16108">
      <w:pPr>
        <w:tabs>
          <w:tab w:val="left" w:pos="567"/>
        </w:tabs>
        <w:spacing w:afterLines="0"/>
        <w:rPr>
          <w:lang w:eastAsia="en-AU"/>
        </w:rPr>
      </w:pPr>
      <w:r w:rsidRPr="00B62635">
        <w:rPr>
          <w:lang w:eastAsia="en-AU"/>
        </w:rPr>
        <w:t xml:space="preserve">The definition for VRE is an isolate identified as VRE by an accredited laboratory. TIPCU reports on the total number of people with new isolates of VRE identified in Tasmania per quarter and this number includes all people with new VRE isolates from public and private hospitals, rural hospitals, GP clinics and long term and residential care facilities. </w:t>
      </w:r>
      <w:bookmarkStart w:id="104" w:name="_Toc435168218"/>
      <w:bookmarkStart w:id="105" w:name="_Toc450223084"/>
    </w:p>
    <w:p w:rsidR="00B62635" w:rsidRPr="00B62635" w:rsidRDefault="00B62635" w:rsidP="00B62635">
      <w:pPr>
        <w:keepNext/>
        <w:tabs>
          <w:tab w:val="left" w:pos="567"/>
        </w:tabs>
        <w:spacing w:afterLines="0"/>
        <w:outlineLvl w:val="2"/>
        <w:rPr>
          <w:rFonts w:eastAsia="Times New Roman" w:cs="Times New Roman"/>
          <w:b/>
          <w:bCs/>
          <w:sz w:val="24"/>
          <w:szCs w:val="24"/>
        </w:rPr>
      </w:pPr>
      <w:bookmarkStart w:id="106" w:name="_Toc459796642"/>
      <w:r w:rsidRPr="00B62635">
        <w:rPr>
          <w:rFonts w:eastAsia="Times New Roman" w:cs="Times New Roman"/>
          <w:b/>
          <w:bCs/>
          <w:sz w:val="24"/>
          <w:szCs w:val="24"/>
        </w:rPr>
        <w:t>Confidence intervals</w:t>
      </w:r>
      <w:bookmarkEnd w:id="104"/>
      <w:bookmarkEnd w:id="105"/>
      <w:bookmarkEnd w:id="106"/>
    </w:p>
    <w:p w:rsidR="008E161C" w:rsidRPr="00C16108" w:rsidRDefault="00B62635" w:rsidP="00B62635">
      <w:pPr>
        <w:autoSpaceDE w:val="0"/>
        <w:autoSpaceDN w:val="0"/>
        <w:adjustRightInd w:val="0"/>
        <w:spacing w:afterLines="0"/>
        <w:rPr>
          <w:rFonts w:cs="Arial"/>
          <w:lang w:eastAsia="en-AU"/>
        </w:rPr>
      </w:pPr>
      <w:r w:rsidRPr="00B62635">
        <w:t xml:space="preserve">Confidence intervals are used to calculate the range in which the true rate probably lies. As an example, when looking at the hand hygiene compliance (HHC) data </w:t>
      </w:r>
      <w:r w:rsidRPr="00B62635">
        <w:rPr>
          <w:rFonts w:cs="Arial"/>
          <w:lang w:eastAsia="en-AU"/>
        </w:rPr>
        <w:t>“confidence intervals calculate the range in which the true compliance result lies, based on the data collected and the compliance measured, thus providing an indication of the reliability of the reported HHC level. When only a small number of moments are collected, the confidence interval will be larger, as it is more difficult to establish the true compliance level from a small sample of moments. If a large number of moments are collected the confidence interval will be smaller, meaning the reliability of the result is higher. Hand Hygiene Australia (HHA) calculates 95 per cent confidence intervals, indicating the intervals in which 95 per cent of the time the true compliance level lies.” (HHA 2011)</w:t>
      </w:r>
    </w:p>
    <w:p w:rsidR="00B62635" w:rsidRPr="00B62635" w:rsidRDefault="00B62635" w:rsidP="00B62635">
      <w:pPr>
        <w:autoSpaceDE w:val="0"/>
        <w:autoSpaceDN w:val="0"/>
        <w:adjustRightInd w:val="0"/>
        <w:spacing w:afterLines="0"/>
        <w:rPr>
          <w:b/>
          <w:sz w:val="24"/>
          <w:szCs w:val="24"/>
        </w:rPr>
      </w:pPr>
      <w:r w:rsidRPr="00B62635">
        <w:rPr>
          <w:b/>
          <w:sz w:val="24"/>
          <w:szCs w:val="24"/>
        </w:rPr>
        <w:t>Patient care days</w:t>
      </w:r>
    </w:p>
    <w:p w:rsidR="00B62635" w:rsidRDefault="00B62635" w:rsidP="00D13BFF">
      <w:pPr>
        <w:autoSpaceDE w:val="0"/>
        <w:autoSpaceDN w:val="0"/>
        <w:adjustRightInd w:val="0"/>
        <w:spacing w:afterLines="0"/>
      </w:pPr>
      <w:proofErr w:type="gramStart"/>
      <w:r w:rsidRPr="00B62635">
        <w:t>Patient days is</w:t>
      </w:r>
      <w:proofErr w:type="gramEnd"/>
      <w:r w:rsidRPr="00B62635">
        <w:t xml:space="preserve"> the term to explain the total days patients are in hospital. In each of Tasmania’s four larger acute public hospitals there are around 330 000 patient care days a year.  When a rate is presented as a number per 10 000 patient days this presents the number of infections that occur for every 10 000 patient care days.</w:t>
      </w:r>
    </w:p>
    <w:p w:rsidR="008E161C" w:rsidRPr="00B62635" w:rsidRDefault="008E161C" w:rsidP="00D13BFF">
      <w:pPr>
        <w:autoSpaceDE w:val="0"/>
        <w:autoSpaceDN w:val="0"/>
        <w:adjustRightInd w:val="0"/>
        <w:spacing w:afterLines="0"/>
      </w:pPr>
    </w:p>
    <w:p w:rsidR="00B62635" w:rsidRPr="00B62635" w:rsidRDefault="00B62635" w:rsidP="00B62635">
      <w:pPr>
        <w:keepNext/>
        <w:tabs>
          <w:tab w:val="left" w:pos="567"/>
        </w:tabs>
        <w:spacing w:afterLines="0"/>
        <w:outlineLvl w:val="2"/>
        <w:rPr>
          <w:rFonts w:eastAsia="Times New Roman" w:cs="Times New Roman"/>
          <w:b/>
          <w:bCs/>
          <w:sz w:val="24"/>
          <w:szCs w:val="24"/>
        </w:rPr>
      </w:pPr>
      <w:bookmarkStart w:id="107" w:name="_Toc435168219"/>
      <w:bookmarkStart w:id="108" w:name="_Toc450223085"/>
      <w:bookmarkStart w:id="109" w:name="_Toc459796643"/>
      <w:r w:rsidRPr="00B62635">
        <w:rPr>
          <w:rFonts w:eastAsia="Times New Roman" w:cs="Times New Roman"/>
          <w:b/>
          <w:bCs/>
          <w:sz w:val="24"/>
          <w:szCs w:val="24"/>
        </w:rPr>
        <w:t>Can I compare Tasmanian hospital infection rates?</w:t>
      </w:r>
      <w:bookmarkEnd w:id="107"/>
      <w:bookmarkEnd w:id="108"/>
      <w:bookmarkEnd w:id="109"/>
    </w:p>
    <w:p w:rsidR="00B62635" w:rsidRPr="00B62635" w:rsidRDefault="00B62635" w:rsidP="00B62635">
      <w:pPr>
        <w:autoSpaceDE w:val="0"/>
        <w:autoSpaceDN w:val="0"/>
        <w:adjustRightInd w:val="0"/>
        <w:spacing w:afterLines="0"/>
      </w:pPr>
      <w:r w:rsidRPr="00B62635">
        <w:t>Each Tasmanian hospital provides different services and has patients with different levels of illness.  This affects infection rates. For example, very sick immuno-compromised patients may be more likely to get infections. It is difficult to remove all of the factors outside the control of a hospital that can cause its infection rate to differ from other hospitals.</w:t>
      </w:r>
    </w:p>
    <w:p w:rsidR="00B62635" w:rsidRPr="00B62635" w:rsidRDefault="00B62635" w:rsidP="00B62635">
      <w:pPr>
        <w:spacing w:afterLines="0"/>
      </w:pPr>
      <w:r w:rsidRPr="00B62635">
        <w:t xml:space="preserve">Other reasons for caution when comparing hospitals include: </w:t>
      </w:r>
    </w:p>
    <w:p w:rsidR="00B62635" w:rsidRPr="00B62635" w:rsidRDefault="00B62635" w:rsidP="00B62635">
      <w:pPr>
        <w:numPr>
          <w:ilvl w:val="0"/>
          <w:numId w:val="12"/>
        </w:numPr>
        <w:spacing w:afterLines="0"/>
        <w:ind w:left="567" w:hanging="567"/>
      </w:pPr>
      <w:proofErr w:type="gramStart"/>
      <w:r w:rsidRPr="00B62635">
        <w:t>some</w:t>
      </w:r>
      <w:proofErr w:type="gramEnd"/>
      <w:r w:rsidRPr="00B62635">
        <w:t xml:space="preserve"> hospitals may screen patients more than others. This can affect data for CDI</w:t>
      </w:r>
      <w:r w:rsidRPr="00B62635">
        <w:rPr>
          <w:i/>
        </w:rPr>
        <w:t xml:space="preserve"> </w:t>
      </w:r>
      <w:r w:rsidRPr="00B62635">
        <w:t>and VRE in particular</w:t>
      </w:r>
    </w:p>
    <w:p w:rsidR="00B62635" w:rsidRPr="00B62635" w:rsidRDefault="00B62635" w:rsidP="00B62635">
      <w:pPr>
        <w:numPr>
          <w:ilvl w:val="0"/>
          <w:numId w:val="12"/>
        </w:numPr>
        <w:spacing w:afterLines="0"/>
        <w:ind w:left="567" w:hanging="567"/>
      </w:pPr>
      <w:proofErr w:type="gramStart"/>
      <w:r w:rsidRPr="00B62635">
        <w:t>hospital</w:t>
      </w:r>
      <w:proofErr w:type="gramEnd"/>
      <w:r w:rsidRPr="00B62635">
        <w:t xml:space="preserve"> laboratories may use different ways of identifying organisms. A laboratory that has a more sensitive way of looking for organisms may find more</w:t>
      </w:r>
    </w:p>
    <w:p w:rsidR="00B62635" w:rsidRPr="00B65685" w:rsidRDefault="00B62635" w:rsidP="0035443D">
      <w:pPr>
        <w:numPr>
          <w:ilvl w:val="0"/>
          <w:numId w:val="12"/>
        </w:numPr>
        <w:spacing w:afterLines="0"/>
        <w:ind w:left="567" w:hanging="567"/>
        <w:rPr>
          <w:lang w:eastAsia="en-AU"/>
        </w:rPr>
      </w:pPr>
      <w:proofErr w:type="gramStart"/>
      <w:r w:rsidRPr="00B62635">
        <w:t>for</w:t>
      </w:r>
      <w:proofErr w:type="gramEnd"/>
      <w:r w:rsidRPr="00B62635">
        <w:t xml:space="preserve"> hand hygiene, rural hospitals are not required to collect as many moments as the four acute public hospitals, so comparisons between rural and acute hospitals are not recommended.</w:t>
      </w:r>
      <w:r w:rsidR="0035443D" w:rsidRPr="00B62635">
        <w:rPr>
          <w:lang w:eastAsia="en-AU"/>
        </w:rPr>
        <w:t xml:space="preserve"> </w:t>
      </w:r>
      <w:r w:rsidRPr="00B62635">
        <w:rPr>
          <w:lang w:eastAsia="en-AU"/>
        </w:rPr>
        <w:br w:type="page"/>
      </w:r>
      <w:r w:rsidRPr="00B62635">
        <w:rPr>
          <w:rFonts w:eastAsiaTheme="majorEastAsia" w:cstheme="majorBidi"/>
          <w:b/>
          <w:bCs/>
          <w:sz w:val="40"/>
          <w:szCs w:val="40"/>
          <w:lang w:eastAsia="en-AU"/>
        </w:rPr>
        <w:t>Appendix</w:t>
      </w:r>
      <w:r w:rsidRPr="00B62635">
        <w:rPr>
          <w:rFonts w:eastAsiaTheme="majorEastAsia" w:cstheme="majorBidi"/>
          <w:b/>
          <w:bCs/>
          <w:sz w:val="40"/>
          <w:szCs w:val="40"/>
          <w:lang w:val="fr-FR" w:eastAsia="en-AU"/>
        </w:rPr>
        <w:t xml:space="preserve"> 2</w:t>
      </w:r>
    </w:p>
    <w:p w:rsidR="00200E00" w:rsidRDefault="00B62635" w:rsidP="000E145C">
      <w:pPr>
        <w:keepNext/>
        <w:keepLines/>
        <w:spacing w:before="200" w:after="336"/>
        <w:outlineLvl w:val="1"/>
        <w:rPr>
          <w:rFonts w:eastAsiaTheme="majorEastAsia" w:cstheme="majorBidi"/>
          <w:b/>
          <w:bCs/>
          <w:sz w:val="32"/>
          <w:szCs w:val="32"/>
          <w:lang w:val="fr-FR"/>
        </w:rPr>
      </w:pPr>
      <w:bookmarkStart w:id="110" w:name="_Toc459796644"/>
      <w:r w:rsidRPr="00B62635">
        <w:rPr>
          <w:rFonts w:eastAsiaTheme="majorEastAsia" w:cstheme="majorBidi"/>
          <w:b/>
          <w:bCs/>
          <w:sz w:val="32"/>
          <w:szCs w:val="32"/>
          <w:lang w:val="fr-FR"/>
        </w:rPr>
        <w:t xml:space="preserve">Staphylococcus aureus </w:t>
      </w:r>
      <w:r w:rsidRPr="00B62635">
        <w:rPr>
          <w:rFonts w:eastAsiaTheme="majorEastAsia" w:cstheme="majorBidi"/>
          <w:b/>
          <w:bCs/>
          <w:sz w:val="32"/>
          <w:szCs w:val="32"/>
        </w:rPr>
        <w:t>bacteraemia</w:t>
      </w:r>
      <w:r w:rsidRPr="00B62635">
        <w:rPr>
          <w:rFonts w:eastAsiaTheme="majorEastAsia" w:cstheme="majorBidi"/>
          <w:b/>
          <w:bCs/>
          <w:sz w:val="32"/>
          <w:szCs w:val="32"/>
          <w:lang w:val="fr-FR"/>
        </w:rPr>
        <w:t xml:space="preserve"> (SAB)</w:t>
      </w:r>
      <w:bookmarkStart w:id="111" w:name="_Toc459796645"/>
      <w:bookmarkStart w:id="112" w:name="_Toc459796756"/>
      <w:bookmarkEnd w:id="110"/>
      <w:r w:rsidR="00200E00">
        <w:rPr>
          <w:rFonts w:eastAsiaTheme="majorEastAsia" w:cstheme="majorBidi"/>
          <w:b/>
          <w:bCs/>
          <w:sz w:val="32"/>
          <w:szCs w:val="32"/>
          <w:lang w:val="fr-FR"/>
        </w:rPr>
        <w:t xml:space="preserve"> </w:t>
      </w:r>
    </w:p>
    <w:p w:rsidR="00B62635" w:rsidRPr="000E145C" w:rsidRDefault="00B62635" w:rsidP="00200E00">
      <w:pPr>
        <w:spacing w:after="336"/>
        <w:rPr>
          <w:rFonts w:eastAsiaTheme="majorEastAsia" w:cstheme="majorBidi"/>
          <w:b/>
          <w:sz w:val="32"/>
          <w:szCs w:val="32"/>
          <w:lang w:val="fr-FR"/>
        </w:rPr>
      </w:pPr>
      <w:r w:rsidRPr="00B62635">
        <w:rPr>
          <w:b/>
        </w:rPr>
        <w:t xml:space="preserve">Table </w:t>
      </w:r>
      <w:r w:rsidRPr="00B62635">
        <w:rPr>
          <w:b/>
        </w:rPr>
        <w:fldChar w:fldCharType="begin"/>
      </w:r>
      <w:r w:rsidRPr="00B62635">
        <w:rPr>
          <w:b/>
        </w:rPr>
        <w:instrText xml:space="preserve"> SEQ Table \* ARABIC </w:instrText>
      </w:r>
      <w:r w:rsidRPr="00B62635">
        <w:rPr>
          <w:b/>
        </w:rPr>
        <w:fldChar w:fldCharType="separate"/>
      </w:r>
      <w:r w:rsidR="00556020">
        <w:rPr>
          <w:b/>
          <w:noProof/>
        </w:rPr>
        <w:t>2</w:t>
      </w:r>
      <w:r w:rsidRPr="00B62635">
        <w:rPr>
          <w:b/>
        </w:rPr>
        <w:fldChar w:fldCharType="end"/>
      </w:r>
      <w:r w:rsidRPr="00B62635">
        <w:rPr>
          <w:b/>
        </w:rPr>
        <w:t xml:space="preserve"> </w:t>
      </w:r>
      <w:r w:rsidRPr="00B62635">
        <w:t>Tasmanian numbers and rate per 10 000 patient days of HCA-SAB.</w:t>
      </w:r>
      <w:bookmarkEnd w:id="111"/>
      <w:bookmarkEnd w:id="112"/>
      <w:r w:rsidRPr="00B62635">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2 Tasmanian numbers and rate per 10 000 patient days of HCA-SAB."/>
        <w:tblDescription w:val="Covers the period from quarter 3, 2010 to quarter 2 2016"/>
      </w:tblPr>
      <w:tblGrid>
        <w:gridCol w:w="1384"/>
        <w:gridCol w:w="1964"/>
        <w:gridCol w:w="1965"/>
        <w:gridCol w:w="1964"/>
        <w:gridCol w:w="1965"/>
      </w:tblGrid>
      <w:tr w:rsidR="00B62635" w:rsidRPr="00B62635" w:rsidTr="00200E00">
        <w:trPr>
          <w:tblHeader/>
          <w:jc w:val="center"/>
        </w:trPr>
        <w:tc>
          <w:tcPr>
            <w:tcW w:w="1384" w:type="dxa"/>
          </w:tcPr>
          <w:p w:rsidR="00B62635" w:rsidRPr="00B62635" w:rsidRDefault="00B62635" w:rsidP="00B87A53">
            <w:pPr>
              <w:spacing w:before="140" w:afterLines="0" w:after="0"/>
              <w:rPr>
                <w:b/>
              </w:rPr>
            </w:pPr>
            <w:r w:rsidRPr="00B62635">
              <w:rPr>
                <w:b/>
              </w:rPr>
              <w:t>Quarter</w:t>
            </w:r>
          </w:p>
        </w:tc>
        <w:tc>
          <w:tcPr>
            <w:tcW w:w="1964" w:type="dxa"/>
          </w:tcPr>
          <w:p w:rsidR="00B62635" w:rsidRPr="00B62635" w:rsidRDefault="00B62635" w:rsidP="00B87A53">
            <w:pPr>
              <w:spacing w:before="140" w:afterLines="0" w:after="0"/>
              <w:rPr>
                <w:b/>
              </w:rPr>
            </w:pPr>
            <w:r w:rsidRPr="00B62635">
              <w:rPr>
                <w:b/>
              </w:rPr>
              <w:t xml:space="preserve">Total HCA-SAB </w:t>
            </w:r>
          </w:p>
        </w:tc>
        <w:tc>
          <w:tcPr>
            <w:tcW w:w="1965" w:type="dxa"/>
          </w:tcPr>
          <w:p w:rsidR="00B62635" w:rsidRPr="00B62635" w:rsidRDefault="00B62635" w:rsidP="00B87A53">
            <w:pPr>
              <w:spacing w:before="140" w:afterLines="0" w:after="0"/>
              <w:rPr>
                <w:b/>
              </w:rPr>
            </w:pPr>
            <w:r w:rsidRPr="00B62635">
              <w:rPr>
                <w:b/>
              </w:rPr>
              <w:t>Number MSSA</w:t>
            </w:r>
          </w:p>
        </w:tc>
        <w:tc>
          <w:tcPr>
            <w:tcW w:w="1964" w:type="dxa"/>
          </w:tcPr>
          <w:p w:rsidR="00B62635" w:rsidRPr="00B62635" w:rsidRDefault="00B62635" w:rsidP="00B87A53">
            <w:pPr>
              <w:spacing w:before="140" w:afterLines="0" w:after="0"/>
              <w:rPr>
                <w:b/>
              </w:rPr>
            </w:pPr>
            <w:r w:rsidRPr="00B62635">
              <w:rPr>
                <w:b/>
              </w:rPr>
              <w:t>Number MRSA</w:t>
            </w:r>
          </w:p>
        </w:tc>
        <w:tc>
          <w:tcPr>
            <w:tcW w:w="1965" w:type="dxa"/>
          </w:tcPr>
          <w:p w:rsidR="00B62635" w:rsidRPr="00B62635" w:rsidRDefault="00B62635" w:rsidP="00B87A53">
            <w:pPr>
              <w:spacing w:before="140" w:afterLines="0" w:after="0"/>
              <w:rPr>
                <w:b/>
              </w:rPr>
            </w:pPr>
            <w:r w:rsidRPr="00B62635">
              <w:rPr>
                <w:b/>
              </w:rPr>
              <w:t>HCA SAB Rate</w:t>
            </w:r>
          </w:p>
        </w:tc>
      </w:tr>
      <w:tr w:rsidR="00B62635" w:rsidRPr="00B62635" w:rsidTr="00200E00">
        <w:trPr>
          <w:jc w:val="center"/>
        </w:trPr>
        <w:tc>
          <w:tcPr>
            <w:tcW w:w="1384" w:type="dxa"/>
          </w:tcPr>
          <w:p w:rsidR="00B62635" w:rsidRPr="00B62635" w:rsidRDefault="00B62635" w:rsidP="000B117C">
            <w:pPr>
              <w:spacing w:before="140" w:afterLines="0" w:after="0"/>
            </w:pPr>
            <w:r w:rsidRPr="00B62635">
              <w:t>Q3 2010</w:t>
            </w:r>
          </w:p>
        </w:tc>
        <w:tc>
          <w:tcPr>
            <w:tcW w:w="1964" w:type="dxa"/>
          </w:tcPr>
          <w:p w:rsidR="00B62635" w:rsidRPr="00B62635" w:rsidRDefault="00B62635" w:rsidP="000B117C">
            <w:pPr>
              <w:spacing w:before="140" w:afterLines="0" w:after="0"/>
            </w:pPr>
            <w:r w:rsidRPr="00B62635">
              <w:t>12</w:t>
            </w:r>
          </w:p>
        </w:tc>
        <w:tc>
          <w:tcPr>
            <w:tcW w:w="1965" w:type="dxa"/>
          </w:tcPr>
          <w:p w:rsidR="00B62635" w:rsidRPr="00B62635" w:rsidRDefault="00B62635" w:rsidP="000B117C">
            <w:pPr>
              <w:spacing w:before="140" w:afterLines="0" w:after="0"/>
            </w:pPr>
            <w:r w:rsidRPr="00B62635">
              <w:t>11</w:t>
            </w:r>
          </w:p>
        </w:tc>
        <w:tc>
          <w:tcPr>
            <w:tcW w:w="1964" w:type="dxa"/>
          </w:tcPr>
          <w:p w:rsidR="00B62635" w:rsidRPr="00B62635" w:rsidRDefault="00B62635" w:rsidP="000B117C">
            <w:pPr>
              <w:spacing w:before="140" w:afterLines="0" w:after="0"/>
            </w:pPr>
            <w:r w:rsidRPr="00B62635">
              <w:t>1</w:t>
            </w:r>
          </w:p>
        </w:tc>
        <w:tc>
          <w:tcPr>
            <w:tcW w:w="1965" w:type="dxa"/>
          </w:tcPr>
          <w:p w:rsidR="00B62635" w:rsidRPr="00B62635" w:rsidRDefault="00B62635" w:rsidP="000B117C">
            <w:pPr>
              <w:spacing w:before="140" w:afterLines="0" w:after="0"/>
            </w:pPr>
            <w:r w:rsidRPr="00B62635">
              <w:t>1.4</w:t>
            </w:r>
          </w:p>
        </w:tc>
      </w:tr>
      <w:tr w:rsidR="00B62635" w:rsidRPr="00B62635" w:rsidTr="00200E00">
        <w:trPr>
          <w:jc w:val="center"/>
        </w:trPr>
        <w:tc>
          <w:tcPr>
            <w:tcW w:w="1384" w:type="dxa"/>
          </w:tcPr>
          <w:p w:rsidR="00B62635" w:rsidRPr="00B62635" w:rsidRDefault="00B62635" w:rsidP="000B117C">
            <w:pPr>
              <w:spacing w:before="140" w:afterLines="0" w:after="0"/>
            </w:pPr>
            <w:r w:rsidRPr="00B62635">
              <w:t>Q4 2010</w:t>
            </w:r>
          </w:p>
        </w:tc>
        <w:tc>
          <w:tcPr>
            <w:tcW w:w="1964" w:type="dxa"/>
          </w:tcPr>
          <w:p w:rsidR="00B62635" w:rsidRPr="00B62635" w:rsidRDefault="00B62635" w:rsidP="000B117C">
            <w:pPr>
              <w:spacing w:before="140" w:afterLines="0" w:after="0"/>
            </w:pPr>
            <w:r w:rsidRPr="00B62635">
              <w:t>10</w:t>
            </w:r>
          </w:p>
        </w:tc>
        <w:tc>
          <w:tcPr>
            <w:tcW w:w="1965" w:type="dxa"/>
          </w:tcPr>
          <w:p w:rsidR="00B62635" w:rsidRPr="00B62635" w:rsidRDefault="00B62635" w:rsidP="000B117C">
            <w:pPr>
              <w:spacing w:before="140" w:afterLines="0" w:after="0"/>
            </w:pPr>
            <w:r w:rsidRPr="00B62635">
              <w:t>7</w:t>
            </w:r>
          </w:p>
        </w:tc>
        <w:tc>
          <w:tcPr>
            <w:tcW w:w="1964" w:type="dxa"/>
          </w:tcPr>
          <w:p w:rsidR="00B62635" w:rsidRPr="00B62635" w:rsidRDefault="00B62635" w:rsidP="000B117C">
            <w:pPr>
              <w:spacing w:before="140" w:afterLines="0" w:after="0"/>
            </w:pPr>
            <w:r w:rsidRPr="00B62635">
              <w:t>3</w:t>
            </w:r>
          </w:p>
        </w:tc>
        <w:tc>
          <w:tcPr>
            <w:tcW w:w="1965" w:type="dxa"/>
          </w:tcPr>
          <w:p w:rsidR="00B62635" w:rsidRPr="00B62635" w:rsidRDefault="00B62635" w:rsidP="000B117C">
            <w:pPr>
              <w:spacing w:before="140" w:afterLines="0" w:after="0"/>
            </w:pPr>
            <w:r w:rsidRPr="00B62635">
              <w:t>1.2</w:t>
            </w:r>
          </w:p>
        </w:tc>
      </w:tr>
      <w:tr w:rsidR="00B62635" w:rsidRPr="00B62635" w:rsidTr="00200E00">
        <w:trPr>
          <w:jc w:val="center"/>
        </w:trPr>
        <w:tc>
          <w:tcPr>
            <w:tcW w:w="1384" w:type="dxa"/>
          </w:tcPr>
          <w:p w:rsidR="00B62635" w:rsidRPr="00B62635" w:rsidRDefault="00B62635" w:rsidP="000B117C">
            <w:pPr>
              <w:spacing w:before="140" w:afterLines="0" w:after="0"/>
            </w:pPr>
            <w:r w:rsidRPr="00B62635">
              <w:t>Q1 2011</w:t>
            </w:r>
          </w:p>
        </w:tc>
        <w:tc>
          <w:tcPr>
            <w:tcW w:w="1964" w:type="dxa"/>
          </w:tcPr>
          <w:p w:rsidR="00B62635" w:rsidRPr="00B62635" w:rsidRDefault="00B62635" w:rsidP="000B117C">
            <w:pPr>
              <w:spacing w:before="140" w:afterLines="0" w:after="0"/>
            </w:pPr>
            <w:r w:rsidRPr="00B62635">
              <w:t>15</w:t>
            </w:r>
          </w:p>
        </w:tc>
        <w:tc>
          <w:tcPr>
            <w:tcW w:w="1965" w:type="dxa"/>
          </w:tcPr>
          <w:p w:rsidR="00B62635" w:rsidRPr="00B62635" w:rsidRDefault="00B62635" w:rsidP="000B117C">
            <w:pPr>
              <w:spacing w:before="140" w:afterLines="0" w:after="0"/>
            </w:pPr>
            <w:r w:rsidRPr="00B62635">
              <w:t>13</w:t>
            </w:r>
          </w:p>
        </w:tc>
        <w:tc>
          <w:tcPr>
            <w:tcW w:w="1964" w:type="dxa"/>
          </w:tcPr>
          <w:p w:rsidR="00B62635" w:rsidRPr="00B62635" w:rsidRDefault="00B62635" w:rsidP="000B117C">
            <w:pPr>
              <w:spacing w:before="140" w:afterLines="0" w:after="0"/>
            </w:pPr>
            <w:r w:rsidRPr="00B62635">
              <w:t>2</w:t>
            </w:r>
          </w:p>
        </w:tc>
        <w:tc>
          <w:tcPr>
            <w:tcW w:w="1965" w:type="dxa"/>
          </w:tcPr>
          <w:p w:rsidR="00B62635" w:rsidRPr="00B62635" w:rsidRDefault="00B62635" w:rsidP="000B117C">
            <w:pPr>
              <w:spacing w:before="140" w:afterLines="0" w:after="0"/>
            </w:pPr>
            <w:r w:rsidRPr="00B62635">
              <w:t>1.8</w:t>
            </w:r>
          </w:p>
        </w:tc>
      </w:tr>
      <w:tr w:rsidR="00B62635" w:rsidRPr="00B62635" w:rsidTr="00200E00">
        <w:trPr>
          <w:jc w:val="center"/>
        </w:trPr>
        <w:tc>
          <w:tcPr>
            <w:tcW w:w="1384" w:type="dxa"/>
          </w:tcPr>
          <w:p w:rsidR="00B62635" w:rsidRPr="00B62635" w:rsidRDefault="00B62635" w:rsidP="000B117C">
            <w:pPr>
              <w:spacing w:before="140" w:afterLines="0" w:after="0"/>
            </w:pPr>
            <w:r w:rsidRPr="00B62635">
              <w:t>Q2 2011</w:t>
            </w:r>
          </w:p>
        </w:tc>
        <w:tc>
          <w:tcPr>
            <w:tcW w:w="1964" w:type="dxa"/>
          </w:tcPr>
          <w:p w:rsidR="00B62635" w:rsidRPr="00B62635" w:rsidRDefault="00B62635" w:rsidP="000B117C">
            <w:pPr>
              <w:spacing w:before="140" w:afterLines="0" w:after="0"/>
            </w:pPr>
            <w:r w:rsidRPr="00B62635">
              <w:t>5</w:t>
            </w:r>
          </w:p>
        </w:tc>
        <w:tc>
          <w:tcPr>
            <w:tcW w:w="1965" w:type="dxa"/>
          </w:tcPr>
          <w:p w:rsidR="00B62635" w:rsidRPr="00B62635" w:rsidRDefault="00B62635" w:rsidP="000B117C">
            <w:pPr>
              <w:spacing w:before="140" w:afterLines="0" w:after="0"/>
            </w:pPr>
            <w:r w:rsidRPr="00B62635">
              <w:t>5</w:t>
            </w:r>
          </w:p>
        </w:tc>
        <w:tc>
          <w:tcPr>
            <w:tcW w:w="1964" w:type="dxa"/>
          </w:tcPr>
          <w:p w:rsidR="00B62635" w:rsidRPr="00B62635" w:rsidRDefault="00B62635" w:rsidP="000B117C">
            <w:pPr>
              <w:spacing w:before="140" w:afterLines="0" w:after="0"/>
            </w:pPr>
            <w:r w:rsidRPr="00B62635">
              <w:t>0</w:t>
            </w:r>
          </w:p>
        </w:tc>
        <w:tc>
          <w:tcPr>
            <w:tcW w:w="1965" w:type="dxa"/>
          </w:tcPr>
          <w:p w:rsidR="00B62635" w:rsidRPr="00B62635" w:rsidRDefault="00B62635" w:rsidP="000B117C">
            <w:pPr>
              <w:spacing w:before="140" w:afterLines="0" w:after="0"/>
            </w:pPr>
            <w:r w:rsidRPr="00B62635">
              <w:t>0.6</w:t>
            </w:r>
          </w:p>
        </w:tc>
      </w:tr>
      <w:tr w:rsidR="00B62635" w:rsidRPr="00B62635" w:rsidTr="00200E00">
        <w:trPr>
          <w:jc w:val="center"/>
        </w:trPr>
        <w:tc>
          <w:tcPr>
            <w:tcW w:w="1384" w:type="dxa"/>
          </w:tcPr>
          <w:p w:rsidR="00B62635" w:rsidRPr="00B62635" w:rsidRDefault="00B62635" w:rsidP="000B117C">
            <w:pPr>
              <w:spacing w:before="140" w:afterLines="0" w:after="0"/>
            </w:pPr>
            <w:r w:rsidRPr="00B62635">
              <w:t>Q3 2011</w:t>
            </w:r>
          </w:p>
        </w:tc>
        <w:tc>
          <w:tcPr>
            <w:tcW w:w="1964" w:type="dxa"/>
          </w:tcPr>
          <w:p w:rsidR="00B62635" w:rsidRPr="00B62635" w:rsidRDefault="00B62635" w:rsidP="000B117C">
            <w:pPr>
              <w:spacing w:before="140" w:afterLines="0" w:after="0"/>
            </w:pPr>
            <w:r w:rsidRPr="00B62635">
              <w:t>7</w:t>
            </w:r>
          </w:p>
        </w:tc>
        <w:tc>
          <w:tcPr>
            <w:tcW w:w="1965" w:type="dxa"/>
          </w:tcPr>
          <w:p w:rsidR="00B62635" w:rsidRPr="00B62635" w:rsidRDefault="00B62635" w:rsidP="000B117C">
            <w:pPr>
              <w:spacing w:before="140" w:afterLines="0" w:after="0"/>
            </w:pPr>
            <w:r w:rsidRPr="00B62635">
              <w:t>7</w:t>
            </w:r>
          </w:p>
        </w:tc>
        <w:tc>
          <w:tcPr>
            <w:tcW w:w="1964" w:type="dxa"/>
          </w:tcPr>
          <w:p w:rsidR="00B62635" w:rsidRPr="00B62635" w:rsidRDefault="00B62635" w:rsidP="000B117C">
            <w:pPr>
              <w:spacing w:before="140" w:afterLines="0" w:after="0"/>
            </w:pPr>
            <w:r w:rsidRPr="00B62635">
              <w:t>0</w:t>
            </w:r>
          </w:p>
        </w:tc>
        <w:tc>
          <w:tcPr>
            <w:tcW w:w="1965" w:type="dxa"/>
          </w:tcPr>
          <w:p w:rsidR="00B62635" w:rsidRPr="00B62635" w:rsidRDefault="00B62635" w:rsidP="000B117C">
            <w:pPr>
              <w:spacing w:before="140" w:afterLines="0" w:after="0"/>
            </w:pPr>
            <w:r w:rsidRPr="00B62635">
              <w:t>0.8</w:t>
            </w:r>
          </w:p>
        </w:tc>
      </w:tr>
      <w:tr w:rsidR="00B62635" w:rsidRPr="00B62635" w:rsidTr="00200E00">
        <w:trPr>
          <w:jc w:val="center"/>
        </w:trPr>
        <w:tc>
          <w:tcPr>
            <w:tcW w:w="1384" w:type="dxa"/>
          </w:tcPr>
          <w:p w:rsidR="00B62635" w:rsidRPr="00B62635" w:rsidRDefault="00B62635" w:rsidP="000B117C">
            <w:pPr>
              <w:spacing w:before="140" w:afterLines="0" w:after="0"/>
            </w:pPr>
            <w:r w:rsidRPr="00B62635">
              <w:t>Q4 2011</w:t>
            </w:r>
          </w:p>
        </w:tc>
        <w:tc>
          <w:tcPr>
            <w:tcW w:w="1964" w:type="dxa"/>
          </w:tcPr>
          <w:p w:rsidR="00B62635" w:rsidRPr="00B62635" w:rsidRDefault="00B62635" w:rsidP="000B117C">
            <w:pPr>
              <w:spacing w:before="140" w:afterLines="0" w:after="0"/>
            </w:pPr>
            <w:r w:rsidRPr="00B62635">
              <w:t>6</w:t>
            </w:r>
          </w:p>
        </w:tc>
        <w:tc>
          <w:tcPr>
            <w:tcW w:w="1965" w:type="dxa"/>
          </w:tcPr>
          <w:p w:rsidR="00B62635" w:rsidRPr="00B62635" w:rsidRDefault="00B62635" w:rsidP="000B117C">
            <w:pPr>
              <w:spacing w:before="140" w:afterLines="0" w:after="0"/>
            </w:pPr>
            <w:r w:rsidRPr="00B62635">
              <w:t>4</w:t>
            </w:r>
          </w:p>
        </w:tc>
        <w:tc>
          <w:tcPr>
            <w:tcW w:w="1964" w:type="dxa"/>
          </w:tcPr>
          <w:p w:rsidR="00B62635" w:rsidRPr="00B62635" w:rsidRDefault="00B62635" w:rsidP="000B117C">
            <w:pPr>
              <w:spacing w:before="140" w:afterLines="0" w:after="0"/>
            </w:pPr>
            <w:r w:rsidRPr="00B62635">
              <w:t>2</w:t>
            </w:r>
          </w:p>
        </w:tc>
        <w:tc>
          <w:tcPr>
            <w:tcW w:w="1965" w:type="dxa"/>
          </w:tcPr>
          <w:p w:rsidR="00B62635" w:rsidRPr="00B62635" w:rsidRDefault="00B62635" w:rsidP="000B117C">
            <w:pPr>
              <w:spacing w:before="140" w:afterLines="0" w:after="0"/>
            </w:pPr>
            <w:r w:rsidRPr="00B62635">
              <w:t>0.8</w:t>
            </w:r>
          </w:p>
        </w:tc>
      </w:tr>
      <w:tr w:rsidR="00B62635" w:rsidRPr="00B62635" w:rsidTr="00200E00">
        <w:trPr>
          <w:jc w:val="center"/>
        </w:trPr>
        <w:tc>
          <w:tcPr>
            <w:tcW w:w="1384" w:type="dxa"/>
          </w:tcPr>
          <w:p w:rsidR="00B62635" w:rsidRPr="00B62635" w:rsidRDefault="00B62635" w:rsidP="000B117C">
            <w:pPr>
              <w:spacing w:before="140" w:afterLines="0" w:after="0"/>
            </w:pPr>
            <w:r w:rsidRPr="00B62635">
              <w:t>Q1 2012</w:t>
            </w:r>
          </w:p>
        </w:tc>
        <w:tc>
          <w:tcPr>
            <w:tcW w:w="1964" w:type="dxa"/>
          </w:tcPr>
          <w:p w:rsidR="00B62635" w:rsidRPr="00B62635" w:rsidRDefault="00B62635" w:rsidP="000B117C">
            <w:pPr>
              <w:spacing w:before="140" w:afterLines="0" w:after="0"/>
            </w:pPr>
            <w:r w:rsidRPr="00B62635">
              <w:t>7</w:t>
            </w:r>
          </w:p>
        </w:tc>
        <w:tc>
          <w:tcPr>
            <w:tcW w:w="1965" w:type="dxa"/>
          </w:tcPr>
          <w:p w:rsidR="00B62635" w:rsidRPr="00B62635" w:rsidRDefault="00B62635" w:rsidP="000B117C">
            <w:pPr>
              <w:spacing w:before="140" w:afterLines="0" w:after="0"/>
            </w:pPr>
            <w:r w:rsidRPr="00B62635">
              <w:t>6</w:t>
            </w:r>
          </w:p>
        </w:tc>
        <w:tc>
          <w:tcPr>
            <w:tcW w:w="1964" w:type="dxa"/>
          </w:tcPr>
          <w:p w:rsidR="00B62635" w:rsidRPr="00B62635" w:rsidRDefault="00B62635" w:rsidP="000B117C">
            <w:pPr>
              <w:spacing w:before="140" w:afterLines="0" w:after="0"/>
            </w:pPr>
            <w:r w:rsidRPr="00B62635">
              <w:t>1</w:t>
            </w:r>
          </w:p>
        </w:tc>
        <w:tc>
          <w:tcPr>
            <w:tcW w:w="1965" w:type="dxa"/>
          </w:tcPr>
          <w:p w:rsidR="00B62635" w:rsidRPr="00B62635" w:rsidRDefault="00B62635" w:rsidP="000B117C">
            <w:pPr>
              <w:spacing w:before="140" w:afterLines="0" w:after="0"/>
            </w:pPr>
            <w:r w:rsidRPr="00B62635">
              <w:t>0.9</w:t>
            </w:r>
          </w:p>
        </w:tc>
      </w:tr>
      <w:tr w:rsidR="00B62635" w:rsidRPr="00B62635" w:rsidTr="00200E00">
        <w:trPr>
          <w:jc w:val="center"/>
        </w:trPr>
        <w:tc>
          <w:tcPr>
            <w:tcW w:w="1384" w:type="dxa"/>
          </w:tcPr>
          <w:p w:rsidR="00B62635" w:rsidRPr="00B62635" w:rsidRDefault="00B62635" w:rsidP="000B117C">
            <w:pPr>
              <w:spacing w:before="140" w:afterLines="0" w:after="0"/>
            </w:pPr>
            <w:r w:rsidRPr="00B62635">
              <w:t>Q2 2012</w:t>
            </w:r>
          </w:p>
        </w:tc>
        <w:tc>
          <w:tcPr>
            <w:tcW w:w="1964" w:type="dxa"/>
          </w:tcPr>
          <w:p w:rsidR="00B62635" w:rsidRPr="00B62635" w:rsidRDefault="00B62635" w:rsidP="000B117C">
            <w:pPr>
              <w:spacing w:before="140" w:afterLines="0" w:after="0"/>
            </w:pPr>
            <w:r w:rsidRPr="00B62635">
              <w:t>7</w:t>
            </w:r>
          </w:p>
        </w:tc>
        <w:tc>
          <w:tcPr>
            <w:tcW w:w="1965" w:type="dxa"/>
          </w:tcPr>
          <w:p w:rsidR="00B62635" w:rsidRPr="00B62635" w:rsidRDefault="00B62635" w:rsidP="000B117C">
            <w:pPr>
              <w:spacing w:before="140" w:afterLines="0" w:after="0"/>
            </w:pPr>
            <w:r w:rsidRPr="00B62635">
              <w:t>6</w:t>
            </w:r>
          </w:p>
        </w:tc>
        <w:tc>
          <w:tcPr>
            <w:tcW w:w="1964" w:type="dxa"/>
          </w:tcPr>
          <w:p w:rsidR="00B62635" w:rsidRPr="00B62635" w:rsidRDefault="00B62635" w:rsidP="000B117C">
            <w:pPr>
              <w:spacing w:before="140" w:afterLines="0" w:after="0"/>
            </w:pPr>
            <w:r w:rsidRPr="00B62635">
              <w:t>1</w:t>
            </w:r>
          </w:p>
        </w:tc>
        <w:tc>
          <w:tcPr>
            <w:tcW w:w="1965" w:type="dxa"/>
          </w:tcPr>
          <w:p w:rsidR="00B62635" w:rsidRPr="00B62635" w:rsidRDefault="00B62635" w:rsidP="000B117C">
            <w:pPr>
              <w:spacing w:before="140" w:afterLines="0" w:after="0"/>
            </w:pPr>
            <w:r w:rsidRPr="00B62635">
              <w:t>0.9</w:t>
            </w:r>
          </w:p>
        </w:tc>
      </w:tr>
      <w:tr w:rsidR="00B62635" w:rsidRPr="00B62635" w:rsidTr="00200E00">
        <w:trPr>
          <w:jc w:val="center"/>
        </w:trPr>
        <w:tc>
          <w:tcPr>
            <w:tcW w:w="1384" w:type="dxa"/>
          </w:tcPr>
          <w:p w:rsidR="00B62635" w:rsidRPr="00B62635" w:rsidRDefault="00B62635" w:rsidP="000B117C">
            <w:pPr>
              <w:spacing w:before="140" w:afterLines="0" w:after="0"/>
            </w:pPr>
            <w:r w:rsidRPr="00B62635">
              <w:t>Q3 2012</w:t>
            </w:r>
          </w:p>
        </w:tc>
        <w:tc>
          <w:tcPr>
            <w:tcW w:w="1964" w:type="dxa"/>
          </w:tcPr>
          <w:p w:rsidR="00B62635" w:rsidRPr="00B62635" w:rsidRDefault="00B62635" w:rsidP="000B117C">
            <w:pPr>
              <w:spacing w:before="140" w:afterLines="0" w:after="0"/>
            </w:pPr>
            <w:r w:rsidRPr="00B62635">
              <w:t>6</w:t>
            </w:r>
          </w:p>
        </w:tc>
        <w:tc>
          <w:tcPr>
            <w:tcW w:w="1965" w:type="dxa"/>
          </w:tcPr>
          <w:p w:rsidR="00B62635" w:rsidRPr="00B62635" w:rsidRDefault="00B62635" w:rsidP="000B117C">
            <w:pPr>
              <w:spacing w:before="140" w:afterLines="0" w:after="0"/>
            </w:pPr>
            <w:r w:rsidRPr="00B62635">
              <w:t>6</w:t>
            </w:r>
          </w:p>
        </w:tc>
        <w:tc>
          <w:tcPr>
            <w:tcW w:w="1964" w:type="dxa"/>
          </w:tcPr>
          <w:p w:rsidR="00B62635" w:rsidRPr="00B62635" w:rsidRDefault="00B62635" w:rsidP="000B117C">
            <w:pPr>
              <w:spacing w:before="140" w:afterLines="0" w:after="0"/>
            </w:pPr>
            <w:r w:rsidRPr="00B62635">
              <w:t>0</w:t>
            </w:r>
          </w:p>
        </w:tc>
        <w:tc>
          <w:tcPr>
            <w:tcW w:w="1965" w:type="dxa"/>
          </w:tcPr>
          <w:p w:rsidR="00B62635" w:rsidRPr="00B62635" w:rsidRDefault="00B62635" w:rsidP="000B117C">
            <w:pPr>
              <w:spacing w:before="140" w:afterLines="0" w:after="0"/>
            </w:pPr>
            <w:r w:rsidRPr="00B62635">
              <w:t>0.7</w:t>
            </w:r>
          </w:p>
        </w:tc>
      </w:tr>
      <w:tr w:rsidR="00B62635" w:rsidRPr="00B62635" w:rsidTr="00200E00">
        <w:trPr>
          <w:jc w:val="center"/>
        </w:trPr>
        <w:tc>
          <w:tcPr>
            <w:tcW w:w="1384" w:type="dxa"/>
          </w:tcPr>
          <w:p w:rsidR="00B62635" w:rsidRPr="00B62635" w:rsidRDefault="00B62635" w:rsidP="000B117C">
            <w:pPr>
              <w:spacing w:before="140" w:afterLines="0" w:after="0"/>
            </w:pPr>
            <w:r w:rsidRPr="00B62635">
              <w:t>Q4 2012</w:t>
            </w:r>
          </w:p>
        </w:tc>
        <w:tc>
          <w:tcPr>
            <w:tcW w:w="1964" w:type="dxa"/>
          </w:tcPr>
          <w:p w:rsidR="00B62635" w:rsidRPr="00B62635" w:rsidRDefault="00B62635" w:rsidP="000B117C">
            <w:pPr>
              <w:spacing w:before="140" w:afterLines="0" w:after="0"/>
            </w:pPr>
            <w:r w:rsidRPr="00B62635">
              <w:t>10</w:t>
            </w:r>
          </w:p>
        </w:tc>
        <w:tc>
          <w:tcPr>
            <w:tcW w:w="1965" w:type="dxa"/>
          </w:tcPr>
          <w:p w:rsidR="00B62635" w:rsidRPr="00B62635" w:rsidRDefault="00B62635" w:rsidP="000B117C">
            <w:pPr>
              <w:spacing w:before="140" w:afterLines="0" w:after="0"/>
            </w:pPr>
            <w:r w:rsidRPr="00B62635">
              <w:t>9</w:t>
            </w:r>
          </w:p>
        </w:tc>
        <w:tc>
          <w:tcPr>
            <w:tcW w:w="1964" w:type="dxa"/>
          </w:tcPr>
          <w:p w:rsidR="00B62635" w:rsidRPr="00B62635" w:rsidRDefault="00B62635" w:rsidP="000B117C">
            <w:pPr>
              <w:spacing w:before="140" w:afterLines="0" w:after="0"/>
            </w:pPr>
            <w:r w:rsidRPr="00B62635">
              <w:t>1</w:t>
            </w:r>
          </w:p>
        </w:tc>
        <w:tc>
          <w:tcPr>
            <w:tcW w:w="1965" w:type="dxa"/>
          </w:tcPr>
          <w:p w:rsidR="00B62635" w:rsidRPr="00B62635" w:rsidRDefault="00B62635" w:rsidP="000B117C">
            <w:pPr>
              <w:spacing w:before="140" w:afterLines="0" w:after="0"/>
            </w:pPr>
            <w:r w:rsidRPr="00B62635">
              <w:t>1.3</w:t>
            </w:r>
          </w:p>
        </w:tc>
      </w:tr>
      <w:tr w:rsidR="00B62635" w:rsidRPr="00B62635" w:rsidTr="00200E00">
        <w:trPr>
          <w:jc w:val="center"/>
        </w:trPr>
        <w:tc>
          <w:tcPr>
            <w:tcW w:w="1384" w:type="dxa"/>
          </w:tcPr>
          <w:p w:rsidR="00B62635" w:rsidRPr="00B62635" w:rsidRDefault="00B62635" w:rsidP="000B117C">
            <w:pPr>
              <w:spacing w:before="140" w:afterLines="0" w:after="0"/>
            </w:pPr>
            <w:r w:rsidRPr="00B62635">
              <w:t>Q1 2013</w:t>
            </w:r>
          </w:p>
        </w:tc>
        <w:tc>
          <w:tcPr>
            <w:tcW w:w="1964" w:type="dxa"/>
          </w:tcPr>
          <w:p w:rsidR="00B62635" w:rsidRPr="00B62635" w:rsidRDefault="00B62635" w:rsidP="000B117C">
            <w:pPr>
              <w:spacing w:before="140" w:afterLines="0" w:after="0"/>
            </w:pPr>
            <w:r w:rsidRPr="00B62635">
              <w:t>7</w:t>
            </w:r>
          </w:p>
        </w:tc>
        <w:tc>
          <w:tcPr>
            <w:tcW w:w="1965" w:type="dxa"/>
          </w:tcPr>
          <w:p w:rsidR="00B62635" w:rsidRPr="00B62635" w:rsidRDefault="00B62635" w:rsidP="000B117C">
            <w:pPr>
              <w:spacing w:before="140" w:afterLines="0" w:after="0"/>
            </w:pPr>
            <w:r w:rsidRPr="00B62635">
              <w:t>7</w:t>
            </w:r>
          </w:p>
        </w:tc>
        <w:tc>
          <w:tcPr>
            <w:tcW w:w="1964" w:type="dxa"/>
          </w:tcPr>
          <w:p w:rsidR="00B62635" w:rsidRPr="00B62635" w:rsidRDefault="00B62635" w:rsidP="000B117C">
            <w:pPr>
              <w:spacing w:before="140" w:afterLines="0" w:after="0"/>
            </w:pPr>
            <w:r w:rsidRPr="00B62635">
              <w:t>0</w:t>
            </w:r>
          </w:p>
        </w:tc>
        <w:tc>
          <w:tcPr>
            <w:tcW w:w="1965" w:type="dxa"/>
          </w:tcPr>
          <w:p w:rsidR="00B62635" w:rsidRPr="00B62635" w:rsidRDefault="00B62635" w:rsidP="000B117C">
            <w:pPr>
              <w:spacing w:before="140" w:afterLines="0" w:after="0"/>
            </w:pPr>
            <w:r w:rsidRPr="00B62635">
              <w:t>0.9</w:t>
            </w:r>
          </w:p>
        </w:tc>
      </w:tr>
      <w:tr w:rsidR="00B62635" w:rsidRPr="00B62635" w:rsidTr="00200E00">
        <w:trPr>
          <w:jc w:val="center"/>
        </w:trPr>
        <w:tc>
          <w:tcPr>
            <w:tcW w:w="1384" w:type="dxa"/>
          </w:tcPr>
          <w:p w:rsidR="00B62635" w:rsidRPr="00B62635" w:rsidRDefault="00B62635" w:rsidP="000B117C">
            <w:pPr>
              <w:spacing w:before="140" w:afterLines="0" w:after="0"/>
            </w:pPr>
            <w:r w:rsidRPr="00B62635">
              <w:t>Q2 2013</w:t>
            </w:r>
          </w:p>
        </w:tc>
        <w:tc>
          <w:tcPr>
            <w:tcW w:w="1964" w:type="dxa"/>
          </w:tcPr>
          <w:p w:rsidR="00B62635" w:rsidRPr="00B62635" w:rsidRDefault="00B62635" w:rsidP="000B117C">
            <w:pPr>
              <w:spacing w:before="140" w:afterLines="0" w:after="0"/>
            </w:pPr>
            <w:r w:rsidRPr="00B62635">
              <w:t>8</w:t>
            </w:r>
          </w:p>
        </w:tc>
        <w:tc>
          <w:tcPr>
            <w:tcW w:w="1965" w:type="dxa"/>
          </w:tcPr>
          <w:p w:rsidR="00B62635" w:rsidRPr="00B62635" w:rsidRDefault="00B62635" w:rsidP="000B117C">
            <w:pPr>
              <w:spacing w:before="140" w:afterLines="0" w:after="0"/>
            </w:pPr>
            <w:r w:rsidRPr="00B62635">
              <w:t>7</w:t>
            </w:r>
          </w:p>
        </w:tc>
        <w:tc>
          <w:tcPr>
            <w:tcW w:w="1964" w:type="dxa"/>
          </w:tcPr>
          <w:p w:rsidR="00B62635" w:rsidRPr="00B62635" w:rsidRDefault="00B62635" w:rsidP="000B117C">
            <w:pPr>
              <w:spacing w:before="140" w:afterLines="0" w:after="0"/>
            </w:pPr>
            <w:r w:rsidRPr="00B62635">
              <w:t>1</w:t>
            </w:r>
          </w:p>
        </w:tc>
        <w:tc>
          <w:tcPr>
            <w:tcW w:w="1965" w:type="dxa"/>
          </w:tcPr>
          <w:p w:rsidR="00B62635" w:rsidRPr="00B62635" w:rsidRDefault="00B62635" w:rsidP="000B117C">
            <w:pPr>
              <w:spacing w:before="140" w:afterLines="0" w:after="0"/>
            </w:pPr>
            <w:r w:rsidRPr="00B62635">
              <w:t>0.9</w:t>
            </w:r>
          </w:p>
        </w:tc>
      </w:tr>
      <w:tr w:rsidR="00B62635" w:rsidRPr="00B62635" w:rsidTr="00200E00">
        <w:trPr>
          <w:jc w:val="center"/>
        </w:trPr>
        <w:tc>
          <w:tcPr>
            <w:tcW w:w="1384" w:type="dxa"/>
          </w:tcPr>
          <w:p w:rsidR="00B62635" w:rsidRPr="00B62635" w:rsidRDefault="00B62635" w:rsidP="000B117C">
            <w:pPr>
              <w:spacing w:before="140" w:afterLines="0" w:after="0"/>
            </w:pPr>
            <w:r w:rsidRPr="00B62635">
              <w:t>Q3 2013</w:t>
            </w:r>
          </w:p>
        </w:tc>
        <w:tc>
          <w:tcPr>
            <w:tcW w:w="1964" w:type="dxa"/>
          </w:tcPr>
          <w:p w:rsidR="00B62635" w:rsidRPr="00B62635" w:rsidRDefault="00B62635" w:rsidP="000B117C">
            <w:pPr>
              <w:spacing w:before="140" w:afterLines="0" w:after="0"/>
            </w:pPr>
            <w:r w:rsidRPr="00B62635">
              <w:t>6</w:t>
            </w:r>
          </w:p>
        </w:tc>
        <w:tc>
          <w:tcPr>
            <w:tcW w:w="1965" w:type="dxa"/>
          </w:tcPr>
          <w:p w:rsidR="00B62635" w:rsidRPr="00B62635" w:rsidRDefault="00B62635" w:rsidP="000B117C">
            <w:pPr>
              <w:spacing w:before="140" w:afterLines="0" w:after="0"/>
            </w:pPr>
            <w:r w:rsidRPr="00B62635">
              <w:t>6</w:t>
            </w:r>
          </w:p>
        </w:tc>
        <w:tc>
          <w:tcPr>
            <w:tcW w:w="1964" w:type="dxa"/>
          </w:tcPr>
          <w:p w:rsidR="00B62635" w:rsidRPr="00B62635" w:rsidRDefault="00B62635" w:rsidP="000B117C">
            <w:pPr>
              <w:spacing w:before="140" w:afterLines="0" w:after="0"/>
            </w:pPr>
            <w:r w:rsidRPr="00B62635">
              <w:t>0</w:t>
            </w:r>
          </w:p>
        </w:tc>
        <w:tc>
          <w:tcPr>
            <w:tcW w:w="1965" w:type="dxa"/>
          </w:tcPr>
          <w:p w:rsidR="00B62635" w:rsidRPr="00B62635" w:rsidRDefault="00B62635" w:rsidP="000B117C">
            <w:pPr>
              <w:spacing w:before="140" w:afterLines="0" w:after="0"/>
            </w:pPr>
            <w:r w:rsidRPr="00B62635">
              <w:t>0.7</w:t>
            </w:r>
          </w:p>
        </w:tc>
      </w:tr>
      <w:tr w:rsidR="00B62635" w:rsidRPr="00B62635" w:rsidTr="00200E00">
        <w:trPr>
          <w:jc w:val="center"/>
        </w:trPr>
        <w:tc>
          <w:tcPr>
            <w:tcW w:w="1384" w:type="dxa"/>
          </w:tcPr>
          <w:p w:rsidR="00B62635" w:rsidRPr="00B62635" w:rsidRDefault="00B62635" w:rsidP="000B117C">
            <w:pPr>
              <w:spacing w:before="140" w:afterLines="0" w:after="0"/>
            </w:pPr>
            <w:r w:rsidRPr="00B62635">
              <w:t>Q4 2013</w:t>
            </w:r>
          </w:p>
        </w:tc>
        <w:tc>
          <w:tcPr>
            <w:tcW w:w="1964" w:type="dxa"/>
          </w:tcPr>
          <w:p w:rsidR="00B62635" w:rsidRPr="00B62635" w:rsidRDefault="00B62635" w:rsidP="000B117C">
            <w:pPr>
              <w:spacing w:before="140" w:afterLines="0" w:after="0"/>
            </w:pPr>
            <w:r w:rsidRPr="00B62635">
              <w:t>7</w:t>
            </w:r>
          </w:p>
        </w:tc>
        <w:tc>
          <w:tcPr>
            <w:tcW w:w="1965" w:type="dxa"/>
          </w:tcPr>
          <w:p w:rsidR="00B62635" w:rsidRPr="00B62635" w:rsidRDefault="00B62635" w:rsidP="000B117C">
            <w:pPr>
              <w:spacing w:before="140" w:afterLines="0" w:after="0"/>
            </w:pPr>
            <w:r w:rsidRPr="00B62635">
              <w:t>7</w:t>
            </w:r>
          </w:p>
        </w:tc>
        <w:tc>
          <w:tcPr>
            <w:tcW w:w="1964" w:type="dxa"/>
          </w:tcPr>
          <w:p w:rsidR="00B62635" w:rsidRPr="00B62635" w:rsidRDefault="00B62635" w:rsidP="000B117C">
            <w:pPr>
              <w:spacing w:before="140" w:afterLines="0" w:after="0"/>
            </w:pPr>
            <w:r w:rsidRPr="00B62635">
              <w:t>0</w:t>
            </w:r>
          </w:p>
        </w:tc>
        <w:tc>
          <w:tcPr>
            <w:tcW w:w="1965" w:type="dxa"/>
          </w:tcPr>
          <w:p w:rsidR="00B62635" w:rsidRPr="00B62635" w:rsidRDefault="00B62635" w:rsidP="000B117C">
            <w:pPr>
              <w:spacing w:before="140" w:afterLines="0" w:after="0"/>
            </w:pPr>
            <w:r w:rsidRPr="00B62635">
              <w:t>0.8</w:t>
            </w:r>
          </w:p>
        </w:tc>
      </w:tr>
      <w:tr w:rsidR="00B62635" w:rsidRPr="00B62635" w:rsidTr="00200E00">
        <w:trPr>
          <w:jc w:val="center"/>
        </w:trPr>
        <w:tc>
          <w:tcPr>
            <w:tcW w:w="1384" w:type="dxa"/>
          </w:tcPr>
          <w:p w:rsidR="00B62635" w:rsidRPr="00B62635" w:rsidRDefault="00B62635" w:rsidP="000B117C">
            <w:pPr>
              <w:spacing w:before="140" w:afterLines="0" w:after="0"/>
            </w:pPr>
            <w:r w:rsidRPr="00B62635">
              <w:t>Q1 2014</w:t>
            </w:r>
          </w:p>
        </w:tc>
        <w:tc>
          <w:tcPr>
            <w:tcW w:w="1964" w:type="dxa"/>
          </w:tcPr>
          <w:p w:rsidR="00B62635" w:rsidRPr="00B62635" w:rsidRDefault="00B62635" w:rsidP="000B117C">
            <w:pPr>
              <w:spacing w:before="140" w:afterLines="0" w:after="0"/>
            </w:pPr>
            <w:r w:rsidRPr="00B62635">
              <w:t>10</w:t>
            </w:r>
          </w:p>
        </w:tc>
        <w:tc>
          <w:tcPr>
            <w:tcW w:w="1965" w:type="dxa"/>
          </w:tcPr>
          <w:p w:rsidR="00B62635" w:rsidRPr="00B62635" w:rsidRDefault="00B62635" w:rsidP="000B117C">
            <w:pPr>
              <w:spacing w:before="140" w:afterLines="0" w:after="0"/>
            </w:pPr>
            <w:r w:rsidRPr="00B62635">
              <w:t>9</w:t>
            </w:r>
          </w:p>
        </w:tc>
        <w:tc>
          <w:tcPr>
            <w:tcW w:w="1964" w:type="dxa"/>
          </w:tcPr>
          <w:p w:rsidR="00B62635" w:rsidRPr="00B62635" w:rsidRDefault="00B62635" w:rsidP="000B117C">
            <w:pPr>
              <w:spacing w:before="140" w:afterLines="0" w:after="0"/>
            </w:pPr>
            <w:r w:rsidRPr="00B62635">
              <w:t>1</w:t>
            </w:r>
          </w:p>
        </w:tc>
        <w:tc>
          <w:tcPr>
            <w:tcW w:w="1965" w:type="dxa"/>
          </w:tcPr>
          <w:p w:rsidR="00B62635" w:rsidRPr="00B62635" w:rsidRDefault="00B62635" w:rsidP="000B117C">
            <w:pPr>
              <w:spacing w:before="140" w:afterLines="0" w:after="0"/>
            </w:pPr>
            <w:r w:rsidRPr="00B62635">
              <w:t>1.2</w:t>
            </w:r>
          </w:p>
        </w:tc>
      </w:tr>
      <w:tr w:rsidR="00B62635" w:rsidRPr="00B62635" w:rsidTr="00200E00">
        <w:trPr>
          <w:jc w:val="center"/>
        </w:trPr>
        <w:tc>
          <w:tcPr>
            <w:tcW w:w="1384" w:type="dxa"/>
          </w:tcPr>
          <w:p w:rsidR="00B62635" w:rsidRPr="00B62635" w:rsidRDefault="00B62635" w:rsidP="000B117C">
            <w:pPr>
              <w:spacing w:before="140" w:afterLines="0" w:after="0"/>
            </w:pPr>
            <w:r w:rsidRPr="00B62635">
              <w:t>Q2 2014</w:t>
            </w:r>
          </w:p>
        </w:tc>
        <w:tc>
          <w:tcPr>
            <w:tcW w:w="1964" w:type="dxa"/>
          </w:tcPr>
          <w:p w:rsidR="00B62635" w:rsidRPr="00B62635" w:rsidRDefault="00B62635" w:rsidP="000B117C">
            <w:pPr>
              <w:spacing w:before="140" w:afterLines="0" w:after="0"/>
            </w:pPr>
            <w:r w:rsidRPr="00B62635">
              <w:t>12</w:t>
            </w:r>
          </w:p>
        </w:tc>
        <w:tc>
          <w:tcPr>
            <w:tcW w:w="1965" w:type="dxa"/>
          </w:tcPr>
          <w:p w:rsidR="00B62635" w:rsidRPr="00B62635" w:rsidRDefault="00B62635" w:rsidP="000B117C">
            <w:pPr>
              <w:spacing w:before="140" w:afterLines="0" w:after="0"/>
            </w:pPr>
            <w:r w:rsidRPr="00B62635">
              <w:t>10</w:t>
            </w:r>
          </w:p>
        </w:tc>
        <w:tc>
          <w:tcPr>
            <w:tcW w:w="1964" w:type="dxa"/>
          </w:tcPr>
          <w:p w:rsidR="00B62635" w:rsidRPr="00B62635" w:rsidRDefault="00B62635" w:rsidP="000B117C">
            <w:pPr>
              <w:spacing w:before="140" w:afterLines="0" w:after="0"/>
            </w:pPr>
            <w:r w:rsidRPr="00B62635">
              <w:t>2</w:t>
            </w:r>
          </w:p>
        </w:tc>
        <w:tc>
          <w:tcPr>
            <w:tcW w:w="1965" w:type="dxa"/>
          </w:tcPr>
          <w:p w:rsidR="00B62635" w:rsidRPr="00B62635" w:rsidRDefault="00B62635" w:rsidP="000B117C">
            <w:pPr>
              <w:spacing w:before="140" w:afterLines="0" w:after="0"/>
            </w:pPr>
            <w:r w:rsidRPr="00B62635">
              <w:t>1.4</w:t>
            </w:r>
          </w:p>
        </w:tc>
      </w:tr>
      <w:tr w:rsidR="00B62635" w:rsidRPr="00B62635" w:rsidTr="00200E00">
        <w:trPr>
          <w:jc w:val="center"/>
        </w:trPr>
        <w:tc>
          <w:tcPr>
            <w:tcW w:w="1384" w:type="dxa"/>
          </w:tcPr>
          <w:p w:rsidR="00B62635" w:rsidRPr="00B62635" w:rsidRDefault="00B62635" w:rsidP="000B117C">
            <w:pPr>
              <w:spacing w:before="140" w:afterLines="0" w:after="0"/>
            </w:pPr>
            <w:r w:rsidRPr="00B62635">
              <w:t>Q3 2014</w:t>
            </w:r>
          </w:p>
        </w:tc>
        <w:tc>
          <w:tcPr>
            <w:tcW w:w="1964" w:type="dxa"/>
          </w:tcPr>
          <w:p w:rsidR="00B62635" w:rsidRPr="00B62635" w:rsidRDefault="00B62635" w:rsidP="000B117C">
            <w:pPr>
              <w:spacing w:before="140" w:afterLines="0" w:after="0"/>
            </w:pPr>
            <w:r w:rsidRPr="00B62635">
              <w:t>6</w:t>
            </w:r>
          </w:p>
        </w:tc>
        <w:tc>
          <w:tcPr>
            <w:tcW w:w="1965" w:type="dxa"/>
          </w:tcPr>
          <w:p w:rsidR="00B62635" w:rsidRPr="00B62635" w:rsidRDefault="00B62635" w:rsidP="000B117C">
            <w:pPr>
              <w:spacing w:before="140" w:afterLines="0" w:after="0"/>
            </w:pPr>
            <w:r w:rsidRPr="00B62635">
              <w:t>6</w:t>
            </w:r>
          </w:p>
        </w:tc>
        <w:tc>
          <w:tcPr>
            <w:tcW w:w="1964" w:type="dxa"/>
          </w:tcPr>
          <w:p w:rsidR="00B62635" w:rsidRPr="00B62635" w:rsidRDefault="00B62635" w:rsidP="000B117C">
            <w:pPr>
              <w:spacing w:before="140" w:afterLines="0" w:after="0"/>
            </w:pPr>
            <w:r w:rsidRPr="00B62635">
              <w:t>0</w:t>
            </w:r>
          </w:p>
        </w:tc>
        <w:tc>
          <w:tcPr>
            <w:tcW w:w="1965" w:type="dxa"/>
          </w:tcPr>
          <w:p w:rsidR="00B62635" w:rsidRPr="00B62635" w:rsidRDefault="00B62635" w:rsidP="000B117C">
            <w:pPr>
              <w:spacing w:before="140" w:afterLines="0" w:after="0"/>
            </w:pPr>
            <w:r w:rsidRPr="00B62635">
              <w:t>0.7</w:t>
            </w:r>
          </w:p>
        </w:tc>
      </w:tr>
      <w:tr w:rsidR="00B62635" w:rsidRPr="00B62635" w:rsidTr="00200E00">
        <w:trPr>
          <w:jc w:val="center"/>
        </w:trPr>
        <w:tc>
          <w:tcPr>
            <w:tcW w:w="1384" w:type="dxa"/>
          </w:tcPr>
          <w:p w:rsidR="00B62635" w:rsidRPr="00B62635" w:rsidRDefault="00B62635" w:rsidP="000B117C">
            <w:pPr>
              <w:spacing w:before="140" w:afterLines="0" w:after="0"/>
            </w:pPr>
            <w:r w:rsidRPr="00B62635">
              <w:t>Q4 2014</w:t>
            </w:r>
          </w:p>
        </w:tc>
        <w:tc>
          <w:tcPr>
            <w:tcW w:w="1964" w:type="dxa"/>
          </w:tcPr>
          <w:p w:rsidR="00B62635" w:rsidRPr="00B62635" w:rsidRDefault="00B62635" w:rsidP="000B117C">
            <w:pPr>
              <w:spacing w:before="140" w:afterLines="0" w:after="0"/>
            </w:pPr>
            <w:r w:rsidRPr="00B62635">
              <w:t>4</w:t>
            </w:r>
          </w:p>
        </w:tc>
        <w:tc>
          <w:tcPr>
            <w:tcW w:w="1965" w:type="dxa"/>
          </w:tcPr>
          <w:p w:rsidR="00B62635" w:rsidRPr="00B62635" w:rsidRDefault="00B62635" w:rsidP="000B117C">
            <w:pPr>
              <w:spacing w:before="140" w:afterLines="0" w:after="0"/>
            </w:pPr>
            <w:r w:rsidRPr="00B62635">
              <w:t>4</w:t>
            </w:r>
          </w:p>
        </w:tc>
        <w:tc>
          <w:tcPr>
            <w:tcW w:w="1964" w:type="dxa"/>
          </w:tcPr>
          <w:p w:rsidR="00B62635" w:rsidRPr="00B62635" w:rsidRDefault="00B62635" w:rsidP="000B117C">
            <w:pPr>
              <w:spacing w:before="140" w:afterLines="0" w:after="0"/>
            </w:pPr>
            <w:r w:rsidRPr="00B62635">
              <w:t>0</w:t>
            </w:r>
          </w:p>
        </w:tc>
        <w:tc>
          <w:tcPr>
            <w:tcW w:w="1965" w:type="dxa"/>
          </w:tcPr>
          <w:p w:rsidR="00B62635" w:rsidRPr="00B62635" w:rsidRDefault="00B62635" w:rsidP="000B117C">
            <w:pPr>
              <w:spacing w:before="140" w:afterLines="0" w:after="0"/>
            </w:pPr>
            <w:r w:rsidRPr="00B62635">
              <w:t>0.5</w:t>
            </w:r>
          </w:p>
        </w:tc>
      </w:tr>
      <w:tr w:rsidR="00B62635" w:rsidRPr="00B62635" w:rsidTr="00200E00">
        <w:trPr>
          <w:jc w:val="center"/>
        </w:trPr>
        <w:tc>
          <w:tcPr>
            <w:tcW w:w="1384" w:type="dxa"/>
          </w:tcPr>
          <w:p w:rsidR="00B62635" w:rsidRPr="00B62635" w:rsidRDefault="00B62635" w:rsidP="000B117C">
            <w:pPr>
              <w:spacing w:before="140" w:afterLines="0" w:after="0"/>
            </w:pPr>
            <w:r w:rsidRPr="00B62635">
              <w:t>Q1 2015</w:t>
            </w:r>
          </w:p>
        </w:tc>
        <w:tc>
          <w:tcPr>
            <w:tcW w:w="1964" w:type="dxa"/>
          </w:tcPr>
          <w:p w:rsidR="00B62635" w:rsidRPr="00B62635" w:rsidRDefault="00B62635" w:rsidP="000B117C">
            <w:pPr>
              <w:spacing w:before="140" w:afterLines="0" w:after="0"/>
            </w:pPr>
            <w:r w:rsidRPr="00B62635">
              <w:t>10</w:t>
            </w:r>
          </w:p>
        </w:tc>
        <w:tc>
          <w:tcPr>
            <w:tcW w:w="1965" w:type="dxa"/>
          </w:tcPr>
          <w:p w:rsidR="00B62635" w:rsidRPr="00B62635" w:rsidRDefault="00B62635" w:rsidP="000B117C">
            <w:pPr>
              <w:spacing w:before="140" w:afterLines="0" w:after="0"/>
            </w:pPr>
            <w:r w:rsidRPr="00B62635">
              <w:t>9</w:t>
            </w:r>
          </w:p>
        </w:tc>
        <w:tc>
          <w:tcPr>
            <w:tcW w:w="1964" w:type="dxa"/>
          </w:tcPr>
          <w:p w:rsidR="00B62635" w:rsidRPr="00B62635" w:rsidRDefault="00B62635" w:rsidP="000B117C">
            <w:pPr>
              <w:spacing w:before="140" w:afterLines="0" w:after="0"/>
            </w:pPr>
            <w:r w:rsidRPr="00B62635">
              <w:t>1</w:t>
            </w:r>
          </w:p>
        </w:tc>
        <w:tc>
          <w:tcPr>
            <w:tcW w:w="1965" w:type="dxa"/>
          </w:tcPr>
          <w:p w:rsidR="00B62635" w:rsidRPr="00B62635" w:rsidRDefault="00B62635" w:rsidP="000B117C">
            <w:pPr>
              <w:spacing w:before="140" w:afterLines="0" w:after="0"/>
            </w:pPr>
            <w:r w:rsidRPr="00B62635">
              <w:t>1.2</w:t>
            </w:r>
          </w:p>
        </w:tc>
      </w:tr>
      <w:tr w:rsidR="00B62635" w:rsidRPr="00B62635" w:rsidTr="00200E00">
        <w:trPr>
          <w:jc w:val="center"/>
        </w:trPr>
        <w:tc>
          <w:tcPr>
            <w:tcW w:w="1384" w:type="dxa"/>
          </w:tcPr>
          <w:p w:rsidR="00B62635" w:rsidRPr="00B62635" w:rsidRDefault="00B62635" w:rsidP="000B117C">
            <w:pPr>
              <w:spacing w:before="140" w:afterLines="0" w:after="0"/>
            </w:pPr>
            <w:r w:rsidRPr="00B62635">
              <w:t>Q2 2015</w:t>
            </w:r>
          </w:p>
        </w:tc>
        <w:tc>
          <w:tcPr>
            <w:tcW w:w="1964" w:type="dxa"/>
          </w:tcPr>
          <w:p w:rsidR="00B62635" w:rsidRPr="00B62635" w:rsidRDefault="00B62635" w:rsidP="000B117C">
            <w:pPr>
              <w:spacing w:before="140" w:afterLines="0" w:after="0"/>
            </w:pPr>
            <w:r w:rsidRPr="00B62635">
              <w:t>9</w:t>
            </w:r>
          </w:p>
        </w:tc>
        <w:tc>
          <w:tcPr>
            <w:tcW w:w="1965" w:type="dxa"/>
          </w:tcPr>
          <w:p w:rsidR="00B62635" w:rsidRPr="00B62635" w:rsidRDefault="00B62635" w:rsidP="000B117C">
            <w:pPr>
              <w:spacing w:before="140" w:afterLines="0" w:after="0"/>
            </w:pPr>
            <w:r w:rsidRPr="00B62635">
              <w:t>7</w:t>
            </w:r>
          </w:p>
        </w:tc>
        <w:tc>
          <w:tcPr>
            <w:tcW w:w="1964" w:type="dxa"/>
          </w:tcPr>
          <w:p w:rsidR="00B62635" w:rsidRPr="00B62635" w:rsidRDefault="00B62635" w:rsidP="000B117C">
            <w:pPr>
              <w:spacing w:before="140" w:afterLines="0" w:after="0"/>
            </w:pPr>
            <w:r w:rsidRPr="00B62635">
              <w:t>2</w:t>
            </w:r>
          </w:p>
        </w:tc>
        <w:tc>
          <w:tcPr>
            <w:tcW w:w="1965" w:type="dxa"/>
          </w:tcPr>
          <w:p w:rsidR="00B62635" w:rsidRPr="00B62635" w:rsidRDefault="00B62635" w:rsidP="000B117C">
            <w:pPr>
              <w:spacing w:before="140" w:afterLines="0" w:after="0"/>
            </w:pPr>
            <w:r w:rsidRPr="00B62635">
              <w:t>1.0</w:t>
            </w:r>
          </w:p>
        </w:tc>
      </w:tr>
      <w:tr w:rsidR="00B62635" w:rsidRPr="00B62635" w:rsidTr="00200E00">
        <w:trPr>
          <w:jc w:val="center"/>
        </w:trPr>
        <w:tc>
          <w:tcPr>
            <w:tcW w:w="1384" w:type="dxa"/>
          </w:tcPr>
          <w:p w:rsidR="00B62635" w:rsidRPr="00B62635" w:rsidRDefault="00B62635" w:rsidP="000B117C">
            <w:pPr>
              <w:spacing w:before="140" w:afterLines="0" w:after="0"/>
            </w:pPr>
            <w:r w:rsidRPr="00B62635">
              <w:t>Q3 2015</w:t>
            </w:r>
          </w:p>
        </w:tc>
        <w:tc>
          <w:tcPr>
            <w:tcW w:w="1964" w:type="dxa"/>
          </w:tcPr>
          <w:p w:rsidR="00B62635" w:rsidRPr="00B62635" w:rsidRDefault="00B62635" w:rsidP="000B117C">
            <w:pPr>
              <w:spacing w:before="140" w:afterLines="0" w:after="0"/>
            </w:pPr>
            <w:r w:rsidRPr="00B62635">
              <w:t>12</w:t>
            </w:r>
          </w:p>
        </w:tc>
        <w:tc>
          <w:tcPr>
            <w:tcW w:w="1965" w:type="dxa"/>
          </w:tcPr>
          <w:p w:rsidR="00B62635" w:rsidRPr="00B62635" w:rsidRDefault="00B62635" w:rsidP="000B117C">
            <w:pPr>
              <w:spacing w:before="140" w:afterLines="0" w:after="0"/>
            </w:pPr>
            <w:r w:rsidRPr="00B62635">
              <w:t>10</w:t>
            </w:r>
          </w:p>
        </w:tc>
        <w:tc>
          <w:tcPr>
            <w:tcW w:w="1964" w:type="dxa"/>
          </w:tcPr>
          <w:p w:rsidR="00B62635" w:rsidRPr="00B62635" w:rsidRDefault="00B62635" w:rsidP="000B117C">
            <w:pPr>
              <w:spacing w:before="140" w:afterLines="0" w:after="0"/>
            </w:pPr>
            <w:r w:rsidRPr="00B62635">
              <w:t>2</w:t>
            </w:r>
          </w:p>
        </w:tc>
        <w:tc>
          <w:tcPr>
            <w:tcW w:w="1965" w:type="dxa"/>
          </w:tcPr>
          <w:p w:rsidR="00B62635" w:rsidRPr="00B62635" w:rsidRDefault="00B62635" w:rsidP="000B117C">
            <w:pPr>
              <w:spacing w:before="140" w:afterLines="0" w:after="0"/>
            </w:pPr>
            <w:r w:rsidRPr="00B62635">
              <w:t>1.4</w:t>
            </w:r>
          </w:p>
        </w:tc>
      </w:tr>
      <w:tr w:rsidR="00B62635" w:rsidRPr="00B62635" w:rsidTr="00200E00">
        <w:trPr>
          <w:jc w:val="center"/>
        </w:trPr>
        <w:tc>
          <w:tcPr>
            <w:tcW w:w="1384" w:type="dxa"/>
          </w:tcPr>
          <w:p w:rsidR="00B62635" w:rsidRPr="00B62635" w:rsidRDefault="00B62635" w:rsidP="000B117C">
            <w:pPr>
              <w:spacing w:before="140" w:afterLines="0" w:after="0"/>
            </w:pPr>
            <w:r w:rsidRPr="00B62635">
              <w:t>Q4 2015</w:t>
            </w:r>
          </w:p>
        </w:tc>
        <w:tc>
          <w:tcPr>
            <w:tcW w:w="1964" w:type="dxa"/>
          </w:tcPr>
          <w:p w:rsidR="00B62635" w:rsidRPr="00B62635" w:rsidRDefault="00B62635" w:rsidP="000B117C">
            <w:pPr>
              <w:spacing w:before="140" w:afterLines="0" w:after="0"/>
            </w:pPr>
            <w:r w:rsidRPr="00B62635">
              <w:t>5</w:t>
            </w:r>
          </w:p>
        </w:tc>
        <w:tc>
          <w:tcPr>
            <w:tcW w:w="1965" w:type="dxa"/>
          </w:tcPr>
          <w:p w:rsidR="00B62635" w:rsidRPr="00B62635" w:rsidRDefault="00B62635" w:rsidP="000B117C">
            <w:pPr>
              <w:spacing w:before="140" w:afterLines="0" w:after="0"/>
            </w:pPr>
            <w:r w:rsidRPr="00B62635">
              <w:t>4</w:t>
            </w:r>
          </w:p>
        </w:tc>
        <w:tc>
          <w:tcPr>
            <w:tcW w:w="1964" w:type="dxa"/>
          </w:tcPr>
          <w:p w:rsidR="00B62635" w:rsidRPr="00B62635" w:rsidRDefault="00B62635" w:rsidP="000B117C">
            <w:pPr>
              <w:spacing w:before="140" w:afterLines="0" w:after="0"/>
            </w:pPr>
            <w:r w:rsidRPr="00B62635">
              <w:t>1</w:t>
            </w:r>
          </w:p>
        </w:tc>
        <w:tc>
          <w:tcPr>
            <w:tcW w:w="1965" w:type="dxa"/>
          </w:tcPr>
          <w:p w:rsidR="00B62635" w:rsidRPr="00B62635" w:rsidRDefault="00B62635" w:rsidP="000B117C">
            <w:pPr>
              <w:spacing w:before="140" w:afterLines="0" w:after="0"/>
            </w:pPr>
            <w:r w:rsidRPr="00B62635">
              <w:t>0.6</w:t>
            </w:r>
          </w:p>
        </w:tc>
      </w:tr>
      <w:tr w:rsidR="00B62635" w:rsidRPr="00B62635" w:rsidTr="00200E00">
        <w:trPr>
          <w:jc w:val="center"/>
        </w:trPr>
        <w:tc>
          <w:tcPr>
            <w:tcW w:w="1384" w:type="dxa"/>
          </w:tcPr>
          <w:p w:rsidR="00B62635" w:rsidRPr="00B62635" w:rsidRDefault="00B62635" w:rsidP="000B117C">
            <w:pPr>
              <w:spacing w:before="140" w:afterLines="0" w:after="0"/>
            </w:pPr>
            <w:r w:rsidRPr="00B62635">
              <w:t>Q1 2016</w:t>
            </w:r>
          </w:p>
        </w:tc>
        <w:tc>
          <w:tcPr>
            <w:tcW w:w="1964" w:type="dxa"/>
          </w:tcPr>
          <w:p w:rsidR="00B62635" w:rsidRPr="00B62635" w:rsidRDefault="00B62635" w:rsidP="000B117C">
            <w:pPr>
              <w:spacing w:before="140" w:afterLines="0" w:after="0"/>
            </w:pPr>
            <w:r w:rsidRPr="00B62635">
              <w:t>8</w:t>
            </w:r>
          </w:p>
        </w:tc>
        <w:tc>
          <w:tcPr>
            <w:tcW w:w="1965" w:type="dxa"/>
          </w:tcPr>
          <w:p w:rsidR="00B62635" w:rsidRPr="00B62635" w:rsidRDefault="00B62635" w:rsidP="000B117C">
            <w:pPr>
              <w:spacing w:before="140" w:afterLines="0" w:after="0"/>
            </w:pPr>
            <w:r w:rsidRPr="00B62635">
              <w:t>6</w:t>
            </w:r>
          </w:p>
        </w:tc>
        <w:tc>
          <w:tcPr>
            <w:tcW w:w="1964" w:type="dxa"/>
          </w:tcPr>
          <w:p w:rsidR="00B62635" w:rsidRPr="00B62635" w:rsidRDefault="00B62635" w:rsidP="000B117C">
            <w:pPr>
              <w:spacing w:before="140" w:afterLines="0" w:after="0"/>
            </w:pPr>
            <w:r w:rsidRPr="00B62635">
              <w:t>2</w:t>
            </w:r>
          </w:p>
        </w:tc>
        <w:tc>
          <w:tcPr>
            <w:tcW w:w="1965" w:type="dxa"/>
          </w:tcPr>
          <w:p w:rsidR="00B62635" w:rsidRPr="00B62635" w:rsidRDefault="00B62635" w:rsidP="000B117C">
            <w:pPr>
              <w:spacing w:before="140" w:afterLines="0" w:after="0"/>
            </w:pPr>
            <w:r w:rsidRPr="00B62635">
              <w:t>1.0</w:t>
            </w:r>
          </w:p>
        </w:tc>
      </w:tr>
      <w:tr w:rsidR="000E145C" w:rsidRPr="00B62635" w:rsidTr="00200E00">
        <w:trPr>
          <w:jc w:val="center"/>
        </w:trPr>
        <w:tc>
          <w:tcPr>
            <w:tcW w:w="1384" w:type="dxa"/>
          </w:tcPr>
          <w:p w:rsidR="000E145C" w:rsidRPr="00B62635" w:rsidRDefault="000E145C" w:rsidP="000B117C">
            <w:pPr>
              <w:spacing w:before="140" w:afterLines="0" w:after="0"/>
            </w:pPr>
            <w:r>
              <w:t>Q2 2016</w:t>
            </w:r>
          </w:p>
        </w:tc>
        <w:tc>
          <w:tcPr>
            <w:tcW w:w="1964" w:type="dxa"/>
          </w:tcPr>
          <w:p w:rsidR="000E145C" w:rsidRPr="00B62635" w:rsidRDefault="000B117C" w:rsidP="000B117C">
            <w:pPr>
              <w:spacing w:before="140" w:afterLines="0" w:after="0"/>
            </w:pPr>
            <w:r>
              <w:t>11</w:t>
            </w:r>
          </w:p>
        </w:tc>
        <w:tc>
          <w:tcPr>
            <w:tcW w:w="1965" w:type="dxa"/>
          </w:tcPr>
          <w:p w:rsidR="000E145C" w:rsidRPr="00B62635" w:rsidRDefault="000B117C" w:rsidP="000B117C">
            <w:pPr>
              <w:spacing w:before="140" w:afterLines="0" w:after="0"/>
            </w:pPr>
            <w:r>
              <w:t>10</w:t>
            </w:r>
          </w:p>
        </w:tc>
        <w:tc>
          <w:tcPr>
            <w:tcW w:w="1964" w:type="dxa"/>
          </w:tcPr>
          <w:p w:rsidR="000E145C" w:rsidRPr="00B62635" w:rsidRDefault="000B117C" w:rsidP="000B117C">
            <w:pPr>
              <w:spacing w:before="140" w:afterLines="0" w:after="0"/>
            </w:pPr>
            <w:r>
              <w:t>1</w:t>
            </w:r>
          </w:p>
        </w:tc>
        <w:tc>
          <w:tcPr>
            <w:tcW w:w="1965" w:type="dxa"/>
          </w:tcPr>
          <w:p w:rsidR="000E145C" w:rsidRPr="00B62635" w:rsidRDefault="000B117C" w:rsidP="000B117C">
            <w:pPr>
              <w:spacing w:before="140" w:afterLines="0" w:after="0"/>
            </w:pPr>
            <w:r>
              <w:t>1.2</w:t>
            </w:r>
          </w:p>
        </w:tc>
      </w:tr>
    </w:tbl>
    <w:p w:rsidR="00B62635" w:rsidRPr="00B62635" w:rsidRDefault="00B62635" w:rsidP="00B62635">
      <w:pPr>
        <w:tabs>
          <w:tab w:val="left" w:pos="567"/>
        </w:tabs>
        <w:spacing w:afterLines="0"/>
        <w:rPr>
          <w:rFonts w:eastAsia="Times New Roman" w:cs="Times New Roman"/>
          <w:bCs/>
        </w:rPr>
      </w:pPr>
      <w:bookmarkStart w:id="113" w:name="_Toc459796757"/>
      <w:r w:rsidRPr="00B62635">
        <w:rPr>
          <w:rFonts w:eastAsia="Times New Roman" w:cs="Times New Roman"/>
          <w:b/>
          <w:bCs/>
        </w:rPr>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556020">
        <w:rPr>
          <w:rFonts w:eastAsia="Times New Roman" w:cs="Times New Roman"/>
          <w:b/>
          <w:bCs/>
          <w:noProof/>
        </w:rPr>
        <w:t>3</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Royal Hobart Hospital numbers and rates per10 000 patient days of HCA-SAB</w:t>
      </w:r>
      <w:bookmarkEnd w:id="11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3 Royal Hobart Hospital numbers and rates per10 000 patient days of HCA-SAB"/>
      </w:tblPr>
      <w:tblGrid>
        <w:gridCol w:w="1384"/>
        <w:gridCol w:w="1964"/>
        <w:gridCol w:w="1965"/>
        <w:gridCol w:w="1964"/>
        <w:gridCol w:w="1965"/>
      </w:tblGrid>
      <w:tr w:rsidR="00B62635" w:rsidRPr="000B117C" w:rsidTr="00AD4ECF">
        <w:trPr>
          <w:tblHeader/>
        </w:trPr>
        <w:tc>
          <w:tcPr>
            <w:tcW w:w="1384" w:type="dxa"/>
          </w:tcPr>
          <w:p w:rsidR="00B62635" w:rsidRPr="000B117C" w:rsidRDefault="00B62635" w:rsidP="00B62635">
            <w:pPr>
              <w:spacing w:afterLines="0" w:after="0" w:line="240" w:lineRule="auto"/>
              <w:rPr>
                <w:b/>
                <w:sz w:val="20"/>
                <w:szCs w:val="20"/>
              </w:rPr>
            </w:pPr>
            <w:r w:rsidRPr="000B117C">
              <w:rPr>
                <w:b/>
                <w:sz w:val="20"/>
                <w:szCs w:val="20"/>
              </w:rPr>
              <w:t>Quarter</w:t>
            </w:r>
          </w:p>
        </w:tc>
        <w:tc>
          <w:tcPr>
            <w:tcW w:w="1964" w:type="dxa"/>
          </w:tcPr>
          <w:p w:rsidR="00B62635" w:rsidRPr="000B117C" w:rsidRDefault="00B62635" w:rsidP="00B62635">
            <w:pPr>
              <w:spacing w:afterLines="0" w:after="0" w:line="240" w:lineRule="auto"/>
              <w:rPr>
                <w:b/>
                <w:sz w:val="20"/>
                <w:szCs w:val="20"/>
              </w:rPr>
            </w:pPr>
            <w:r w:rsidRPr="000B117C">
              <w:rPr>
                <w:b/>
                <w:sz w:val="20"/>
                <w:szCs w:val="20"/>
              </w:rPr>
              <w:t xml:space="preserve">Total HCA-SAB </w:t>
            </w:r>
          </w:p>
        </w:tc>
        <w:tc>
          <w:tcPr>
            <w:tcW w:w="1965" w:type="dxa"/>
          </w:tcPr>
          <w:p w:rsidR="00B62635" w:rsidRPr="000B117C" w:rsidRDefault="00B62635" w:rsidP="00B62635">
            <w:pPr>
              <w:spacing w:afterLines="0" w:after="0" w:line="240" w:lineRule="auto"/>
              <w:rPr>
                <w:b/>
                <w:sz w:val="20"/>
                <w:szCs w:val="20"/>
              </w:rPr>
            </w:pPr>
            <w:r w:rsidRPr="000B117C">
              <w:rPr>
                <w:b/>
                <w:sz w:val="20"/>
                <w:szCs w:val="20"/>
              </w:rPr>
              <w:t>Number MSSA</w:t>
            </w:r>
          </w:p>
        </w:tc>
        <w:tc>
          <w:tcPr>
            <w:tcW w:w="1964" w:type="dxa"/>
          </w:tcPr>
          <w:p w:rsidR="00B62635" w:rsidRPr="000B117C" w:rsidRDefault="00B62635" w:rsidP="00B62635">
            <w:pPr>
              <w:spacing w:afterLines="0" w:after="0" w:line="240" w:lineRule="auto"/>
              <w:rPr>
                <w:b/>
                <w:sz w:val="20"/>
                <w:szCs w:val="20"/>
              </w:rPr>
            </w:pPr>
            <w:r w:rsidRPr="000B117C">
              <w:rPr>
                <w:b/>
                <w:sz w:val="20"/>
                <w:szCs w:val="20"/>
              </w:rPr>
              <w:t>Number MRSA</w:t>
            </w:r>
          </w:p>
        </w:tc>
        <w:tc>
          <w:tcPr>
            <w:tcW w:w="1965" w:type="dxa"/>
          </w:tcPr>
          <w:p w:rsidR="00B62635" w:rsidRPr="000B117C" w:rsidRDefault="00B62635" w:rsidP="00B62635">
            <w:pPr>
              <w:spacing w:afterLines="0" w:after="0" w:line="240" w:lineRule="auto"/>
              <w:rPr>
                <w:b/>
                <w:sz w:val="20"/>
                <w:szCs w:val="20"/>
              </w:rPr>
            </w:pPr>
            <w:r w:rsidRPr="000B117C">
              <w:rPr>
                <w:b/>
                <w:sz w:val="20"/>
                <w:szCs w:val="20"/>
              </w:rPr>
              <w:t>HCA SAB Rate</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Q3 2010</w:t>
            </w:r>
          </w:p>
        </w:tc>
        <w:tc>
          <w:tcPr>
            <w:tcW w:w="1964" w:type="dxa"/>
          </w:tcPr>
          <w:p w:rsidR="00B62635" w:rsidRPr="000B117C" w:rsidRDefault="00B62635" w:rsidP="00B62635">
            <w:pPr>
              <w:spacing w:afterLines="0" w:after="0" w:line="240" w:lineRule="auto"/>
              <w:rPr>
                <w:sz w:val="20"/>
                <w:szCs w:val="20"/>
              </w:rPr>
            </w:pPr>
            <w:r w:rsidRPr="000B117C">
              <w:rPr>
                <w:sz w:val="20"/>
                <w:szCs w:val="20"/>
              </w:rPr>
              <w:t>8</w:t>
            </w:r>
          </w:p>
        </w:tc>
        <w:tc>
          <w:tcPr>
            <w:tcW w:w="1965" w:type="dxa"/>
          </w:tcPr>
          <w:p w:rsidR="00B62635" w:rsidRPr="000B117C" w:rsidRDefault="00B62635" w:rsidP="00B62635">
            <w:pPr>
              <w:spacing w:afterLines="0" w:after="0" w:line="240" w:lineRule="auto"/>
              <w:rPr>
                <w:sz w:val="20"/>
                <w:szCs w:val="20"/>
              </w:rPr>
            </w:pPr>
            <w:r w:rsidRPr="000B117C">
              <w:rPr>
                <w:sz w:val="20"/>
                <w:szCs w:val="20"/>
              </w:rPr>
              <w:t>7</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1.9</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Q4 2010</w:t>
            </w:r>
          </w:p>
        </w:tc>
        <w:tc>
          <w:tcPr>
            <w:tcW w:w="1964" w:type="dxa"/>
          </w:tcPr>
          <w:p w:rsidR="00B62635" w:rsidRPr="000B117C" w:rsidRDefault="00B62635" w:rsidP="00B62635">
            <w:pPr>
              <w:spacing w:afterLines="0" w:after="0" w:line="240" w:lineRule="auto"/>
              <w:rPr>
                <w:sz w:val="20"/>
                <w:szCs w:val="20"/>
              </w:rPr>
            </w:pPr>
            <w:r w:rsidRPr="000B117C">
              <w:rPr>
                <w:sz w:val="20"/>
                <w:szCs w:val="20"/>
              </w:rPr>
              <w:t>6</w:t>
            </w:r>
          </w:p>
        </w:tc>
        <w:tc>
          <w:tcPr>
            <w:tcW w:w="1965" w:type="dxa"/>
          </w:tcPr>
          <w:p w:rsidR="00B62635" w:rsidRPr="000B117C" w:rsidRDefault="00B62635" w:rsidP="00B62635">
            <w:pPr>
              <w:spacing w:afterLines="0" w:after="0" w:line="240" w:lineRule="auto"/>
              <w:rPr>
                <w:sz w:val="20"/>
                <w:szCs w:val="20"/>
              </w:rPr>
            </w:pPr>
            <w:r w:rsidRPr="000B117C">
              <w:rPr>
                <w:sz w:val="20"/>
                <w:szCs w:val="20"/>
              </w:rPr>
              <w:t>5</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1.4</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Q1 2011</w:t>
            </w:r>
          </w:p>
        </w:tc>
        <w:tc>
          <w:tcPr>
            <w:tcW w:w="1964" w:type="dxa"/>
          </w:tcPr>
          <w:p w:rsidR="00B62635" w:rsidRPr="000B117C" w:rsidRDefault="00B62635" w:rsidP="00B62635">
            <w:pPr>
              <w:spacing w:afterLines="0" w:after="0" w:line="240" w:lineRule="auto"/>
              <w:rPr>
                <w:sz w:val="20"/>
                <w:szCs w:val="20"/>
              </w:rPr>
            </w:pPr>
            <w:r w:rsidRPr="000B117C">
              <w:rPr>
                <w:sz w:val="20"/>
                <w:szCs w:val="20"/>
              </w:rPr>
              <w:t>6</w:t>
            </w:r>
          </w:p>
        </w:tc>
        <w:tc>
          <w:tcPr>
            <w:tcW w:w="1965" w:type="dxa"/>
          </w:tcPr>
          <w:p w:rsidR="00B62635" w:rsidRPr="000B117C" w:rsidRDefault="00B62635" w:rsidP="00B62635">
            <w:pPr>
              <w:spacing w:afterLines="0" w:after="0" w:line="240" w:lineRule="auto"/>
              <w:rPr>
                <w:sz w:val="20"/>
                <w:szCs w:val="20"/>
              </w:rPr>
            </w:pPr>
            <w:r w:rsidRPr="000B117C">
              <w:rPr>
                <w:sz w:val="20"/>
                <w:szCs w:val="20"/>
              </w:rPr>
              <w:t>4</w:t>
            </w:r>
          </w:p>
        </w:tc>
        <w:tc>
          <w:tcPr>
            <w:tcW w:w="1964" w:type="dxa"/>
          </w:tcPr>
          <w:p w:rsidR="00B62635" w:rsidRPr="000B117C" w:rsidRDefault="00B62635" w:rsidP="00B62635">
            <w:pPr>
              <w:spacing w:afterLines="0" w:after="0" w:line="240" w:lineRule="auto"/>
              <w:rPr>
                <w:sz w:val="20"/>
                <w:szCs w:val="20"/>
              </w:rPr>
            </w:pPr>
            <w:r w:rsidRPr="000B117C">
              <w:rPr>
                <w:sz w:val="20"/>
                <w:szCs w:val="20"/>
              </w:rPr>
              <w:t>2</w:t>
            </w:r>
          </w:p>
        </w:tc>
        <w:tc>
          <w:tcPr>
            <w:tcW w:w="1965" w:type="dxa"/>
          </w:tcPr>
          <w:p w:rsidR="00B62635" w:rsidRPr="000B117C" w:rsidRDefault="00B62635" w:rsidP="00B62635">
            <w:pPr>
              <w:spacing w:afterLines="0" w:after="0" w:line="240" w:lineRule="auto"/>
              <w:rPr>
                <w:sz w:val="20"/>
                <w:szCs w:val="20"/>
              </w:rPr>
            </w:pPr>
            <w:r w:rsidRPr="000B117C">
              <w:rPr>
                <w:sz w:val="20"/>
                <w:szCs w:val="20"/>
              </w:rPr>
              <w:t>1.5</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Q2 2011</w:t>
            </w:r>
          </w:p>
        </w:tc>
        <w:tc>
          <w:tcPr>
            <w:tcW w:w="1964" w:type="dxa"/>
          </w:tcPr>
          <w:p w:rsidR="00B62635" w:rsidRPr="000B117C" w:rsidRDefault="00B62635" w:rsidP="00B62635">
            <w:pPr>
              <w:spacing w:afterLines="0" w:after="0" w:line="240" w:lineRule="auto"/>
              <w:rPr>
                <w:sz w:val="20"/>
                <w:szCs w:val="20"/>
              </w:rPr>
            </w:pPr>
            <w:r w:rsidRPr="000B117C">
              <w:rPr>
                <w:sz w:val="20"/>
                <w:szCs w:val="20"/>
              </w:rPr>
              <w:t>3</w:t>
            </w:r>
          </w:p>
        </w:tc>
        <w:tc>
          <w:tcPr>
            <w:tcW w:w="1965" w:type="dxa"/>
          </w:tcPr>
          <w:p w:rsidR="00B62635" w:rsidRPr="000B117C" w:rsidRDefault="00B62635" w:rsidP="00B62635">
            <w:pPr>
              <w:spacing w:afterLines="0" w:after="0" w:line="240" w:lineRule="auto"/>
              <w:rPr>
                <w:sz w:val="20"/>
                <w:szCs w:val="20"/>
              </w:rPr>
            </w:pPr>
            <w:r w:rsidRPr="000B117C">
              <w:rPr>
                <w:sz w:val="20"/>
                <w:szCs w:val="20"/>
              </w:rPr>
              <w:t>3</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0.7</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Q3 2011</w:t>
            </w:r>
          </w:p>
        </w:tc>
        <w:tc>
          <w:tcPr>
            <w:tcW w:w="1964" w:type="dxa"/>
          </w:tcPr>
          <w:p w:rsidR="00B62635" w:rsidRPr="000B117C" w:rsidRDefault="00B62635" w:rsidP="00B62635">
            <w:pPr>
              <w:spacing w:afterLines="0" w:after="0" w:line="240" w:lineRule="auto"/>
              <w:rPr>
                <w:sz w:val="20"/>
                <w:szCs w:val="20"/>
              </w:rPr>
            </w:pPr>
            <w:r w:rsidRPr="000B117C">
              <w:rPr>
                <w:sz w:val="20"/>
                <w:szCs w:val="20"/>
              </w:rPr>
              <w:t>2</w:t>
            </w:r>
          </w:p>
        </w:tc>
        <w:tc>
          <w:tcPr>
            <w:tcW w:w="1965" w:type="dxa"/>
          </w:tcPr>
          <w:p w:rsidR="00B62635" w:rsidRPr="000B117C" w:rsidRDefault="00B62635" w:rsidP="00B62635">
            <w:pPr>
              <w:spacing w:afterLines="0" w:after="0" w:line="240" w:lineRule="auto"/>
              <w:rPr>
                <w:sz w:val="20"/>
                <w:szCs w:val="20"/>
              </w:rPr>
            </w:pPr>
            <w:r w:rsidRPr="000B117C">
              <w:rPr>
                <w:sz w:val="20"/>
                <w:szCs w:val="20"/>
              </w:rPr>
              <w:t>2</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0.5</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Q4 2011</w:t>
            </w:r>
          </w:p>
        </w:tc>
        <w:tc>
          <w:tcPr>
            <w:tcW w:w="1964" w:type="dxa"/>
          </w:tcPr>
          <w:p w:rsidR="00B62635" w:rsidRPr="000B117C" w:rsidRDefault="00B62635" w:rsidP="00B62635">
            <w:pPr>
              <w:spacing w:afterLines="0" w:after="0" w:line="240" w:lineRule="auto"/>
              <w:rPr>
                <w:sz w:val="20"/>
                <w:szCs w:val="20"/>
              </w:rPr>
            </w:pPr>
            <w:r w:rsidRPr="000B117C">
              <w:rPr>
                <w:sz w:val="20"/>
                <w:szCs w:val="20"/>
              </w:rPr>
              <w:t>3</w:t>
            </w:r>
          </w:p>
        </w:tc>
        <w:tc>
          <w:tcPr>
            <w:tcW w:w="1965" w:type="dxa"/>
          </w:tcPr>
          <w:p w:rsidR="00B62635" w:rsidRPr="000B117C" w:rsidRDefault="00B62635" w:rsidP="00B62635">
            <w:pPr>
              <w:spacing w:afterLines="0" w:after="0" w:line="240" w:lineRule="auto"/>
              <w:rPr>
                <w:sz w:val="20"/>
                <w:szCs w:val="20"/>
              </w:rPr>
            </w:pPr>
            <w:r w:rsidRPr="000B117C">
              <w:rPr>
                <w:sz w:val="20"/>
                <w:szCs w:val="20"/>
              </w:rPr>
              <w:t>2</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0.8</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Q1 2012</w:t>
            </w:r>
          </w:p>
        </w:tc>
        <w:tc>
          <w:tcPr>
            <w:tcW w:w="1964" w:type="dxa"/>
          </w:tcPr>
          <w:p w:rsidR="00B62635" w:rsidRPr="000B117C" w:rsidRDefault="00B62635" w:rsidP="00B62635">
            <w:pPr>
              <w:spacing w:afterLines="0" w:after="0" w:line="240" w:lineRule="auto"/>
              <w:rPr>
                <w:sz w:val="20"/>
                <w:szCs w:val="20"/>
              </w:rPr>
            </w:pPr>
            <w:r w:rsidRPr="000B117C">
              <w:rPr>
                <w:sz w:val="20"/>
                <w:szCs w:val="20"/>
              </w:rPr>
              <w:t>2</w:t>
            </w:r>
          </w:p>
        </w:tc>
        <w:tc>
          <w:tcPr>
            <w:tcW w:w="1965" w:type="dxa"/>
          </w:tcPr>
          <w:p w:rsidR="00B62635" w:rsidRPr="000B117C" w:rsidRDefault="00B62635" w:rsidP="00B62635">
            <w:pPr>
              <w:spacing w:afterLines="0" w:after="0" w:line="240" w:lineRule="auto"/>
              <w:rPr>
                <w:sz w:val="20"/>
                <w:szCs w:val="20"/>
              </w:rPr>
            </w:pPr>
            <w:r w:rsidRPr="000B117C">
              <w:rPr>
                <w:sz w:val="20"/>
                <w:szCs w:val="20"/>
              </w:rPr>
              <w:t>2</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0.5</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Q2 2012</w:t>
            </w:r>
          </w:p>
        </w:tc>
        <w:tc>
          <w:tcPr>
            <w:tcW w:w="1964" w:type="dxa"/>
          </w:tcPr>
          <w:p w:rsidR="00B62635" w:rsidRPr="000B117C" w:rsidRDefault="00B62635" w:rsidP="00B62635">
            <w:pPr>
              <w:spacing w:afterLines="0" w:after="0" w:line="240" w:lineRule="auto"/>
              <w:rPr>
                <w:sz w:val="20"/>
                <w:szCs w:val="20"/>
              </w:rPr>
            </w:pPr>
            <w:r w:rsidRPr="000B117C">
              <w:rPr>
                <w:sz w:val="20"/>
                <w:szCs w:val="20"/>
              </w:rPr>
              <w:t>3</w:t>
            </w:r>
          </w:p>
        </w:tc>
        <w:tc>
          <w:tcPr>
            <w:tcW w:w="1965" w:type="dxa"/>
          </w:tcPr>
          <w:p w:rsidR="00B62635" w:rsidRPr="000B117C" w:rsidRDefault="00B62635" w:rsidP="00B62635">
            <w:pPr>
              <w:spacing w:afterLines="0" w:after="0" w:line="240" w:lineRule="auto"/>
              <w:rPr>
                <w:sz w:val="20"/>
                <w:szCs w:val="20"/>
              </w:rPr>
            </w:pPr>
            <w:r w:rsidRPr="000B117C">
              <w:rPr>
                <w:sz w:val="20"/>
                <w:szCs w:val="20"/>
              </w:rPr>
              <w:t>3</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0.8</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Q3 2012</w:t>
            </w:r>
          </w:p>
        </w:tc>
        <w:tc>
          <w:tcPr>
            <w:tcW w:w="1964" w:type="dxa"/>
          </w:tcPr>
          <w:p w:rsidR="00B62635" w:rsidRPr="000B117C" w:rsidRDefault="00B62635" w:rsidP="00B62635">
            <w:pPr>
              <w:spacing w:afterLines="0" w:after="0" w:line="240" w:lineRule="auto"/>
              <w:rPr>
                <w:sz w:val="20"/>
                <w:szCs w:val="20"/>
              </w:rPr>
            </w:pPr>
            <w:r w:rsidRPr="000B117C">
              <w:rPr>
                <w:sz w:val="20"/>
                <w:szCs w:val="20"/>
              </w:rPr>
              <w:t>3</w:t>
            </w:r>
          </w:p>
        </w:tc>
        <w:tc>
          <w:tcPr>
            <w:tcW w:w="1965" w:type="dxa"/>
          </w:tcPr>
          <w:p w:rsidR="00B62635" w:rsidRPr="000B117C" w:rsidRDefault="00B62635" w:rsidP="00B62635">
            <w:pPr>
              <w:spacing w:afterLines="0" w:after="0" w:line="240" w:lineRule="auto"/>
              <w:rPr>
                <w:sz w:val="20"/>
                <w:szCs w:val="20"/>
              </w:rPr>
            </w:pPr>
            <w:r w:rsidRPr="000B117C">
              <w:rPr>
                <w:sz w:val="20"/>
                <w:szCs w:val="20"/>
              </w:rPr>
              <w:t>3</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0.8</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Q4 2012</w:t>
            </w:r>
          </w:p>
        </w:tc>
        <w:tc>
          <w:tcPr>
            <w:tcW w:w="1964" w:type="dxa"/>
          </w:tcPr>
          <w:p w:rsidR="00B62635" w:rsidRPr="000B117C" w:rsidRDefault="00B62635" w:rsidP="00B62635">
            <w:pPr>
              <w:spacing w:afterLines="0" w:after="0" w:line="240" w:lineRule="auto"/>
              <w:rPr>
                <w:sz w:val="20"/>
                <w:szCs w:val="20"/>
              </w:rPr>
            </w:pPr>
            <w:r w:rsidRPr="000B117C">
              <w:rPr>
                <w:sz w:val="20"/>
                <w:szCs w:val="20"/>
              </w:rPr>
              <w:t>4</w:t>
            </w:r>
          </w:p>
        </w:tc>
        <w:tc>
          <w:tcPr>
            <w:tcW w:w="1965" w:type="dxa"/>
          </w:tcPr>
          <w:p w:rsidR="00B62635" w:rsidRPr="000B117C" w:rsidRDefault="00B62635" w:rsidP="00B62635">
            <w:pPr>
              <w:spacing w:afterLines="0" w:after="0" w:line="240" w:lineRule="auto"/>
              <w:rPr>
                <w:sz w:val="20"/>
                <w:szCs w:val="20"/>
              </w:rPr>
            </w:pPr>
            <w:r w:rsidRPr="000B117C">
              <w:rPr>
                <w:sz w:val="20"/>
                <w:szCs w:val="20"/>
              </w:rPr>
              <w:t>4</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1.1</w:t>
            </w:r>
          </w:p>
        </w:tc>
      </w:tr>
      <w:tr w:rsidR="00B62635" w:rsidRPr="000B117C" w:rsidTr="00B62635">
        <w:tc>
          <w:tcPr>
            <w:tcW w:w="1384" w:type="dxa"/>
            <w:shd w:val="clear" w:color="auto" w:fill="auto"/>
          </w:tcPr>
          <w:p w:rsidR="00B62635" w:rsidRPr="000B117C" w:rsidRDefault="00B62635" w:rsidP="00B62635">
            <w:pPr>
              <w:spacing w:afterLines="0" w:after="0" w:line="240" w:lineRule="auto"/>
              <w:rPr>
                <w:sz w:val="20"/>
                <w:szCs w:val="20"/>
              </w:rPr>
            </w:pPr>
            <w:r w:rsidRPr="000B117C">
              <w:rPr>
                <w:sz w:val="20"/>
                <w:szCs w:val="20"/>
              </w:rPr>
              <w:t>Q1 2013</w:t>
            </w:r>
          </w:p>
        </w:tc>
        <w:tc>
          <w:tcPr>
            <w:tcW w:w="1964" w:type="dxa"/>
            <w:shd w:val="clear" w:color="auto" w:fill="auto"/>
          </w:tcPr>
          <w:p w:rsidR="00B62635" w:rsidRPr="000B117C" w:rsidRDefault="00B62635" w:rsidP="00B62635">
            <w:pPr>
              <w:spacing w:afterLines="0" w:after="0" w:line="240" w:lineRule="auto"/>
              <w:rPr>
                <w:sz w:val="20"/>
                <w:szCs w:val="20"/>
              </w:rPr>
            </w:pPr>
            <w:r w:rsidRPr="000B117C">
              <w:rPr>
                <w:sz w:val="20"/>
                <w:szCs w:val="20"/>
              </w:rPr>
              <w:t>2</w:t>
            </w:r>
          </w:p>
        </w:tc>
        <w:tc>
          <w:tcPr>
            <w:tcW w:w="1965" w:type="dxa"/>
            <w:shd w:val="clear" w:color="auto" w:fill="auto"/>
          </w:tcPr>
          <w:p w:rsidR="00B62635" w:rsidRPr="000B117C" w:rsidRDefault="00B62635" w:rsidP="00B62635">
            <w:pPr>
              <w:spacing w:afterLines="0" w:after="0" w:line="240" w:lineRule="auto"/>
              <w:rPr>
                <w:sz w:val="20"/>
                <w:szCs w:val="20"/>
              </w:rPr>
            </w:pPr>
            <w:r w:rsidRPr="000B117C">
              <w:rPr>
                <w:sz w:val="20"/>
                <w:szCs w:val="20"/>
              </w:rPr>
              <w:t>2</w:t>
            </w:r>
          </w:p>
        </w:tc>
        <w:tc>
          <w:tcPr>
            <w:tcW w:w="1964" w:type="dxa"/>
            <w:shd w:val="clear" w:color="auto" w:fill="auto"/>
          </w:tcPr>
          <w:p w:rsidR="00B62635" w:rsidRPr="000B117C" w:rsidRDefault="00B62635" w:rsidP="00B62635">
            <w:pPr>
              <w:spacing w:afterLines="0" w:after="0" w:line="240" w:lineRule="auto"/>
              <w:rPr>
                <w:sz w:val="20"/>
                <w:szCs w:val="20"/>
              </w:rPr>
            </w:pPr>
            <w:r w:rsidRPr="000B117C">
              <w:rPr>
                <w:sz w:val="20"/>
                <w:szCs w:val="20"/>
              </w:rPr>
              <w:t>0</w:t>
            </w:r>
          </w:p>
        </w:tc>
        <w:tc>
          <w:tcPr>
            <w:tcW w:w="1965" w:type="dxa"/>
            <w:shd w:val="clear" w:color="auto" w:fill="auto"/>
          </w:tcPr>
          <w:p w:rsidR="00B62635" w:rsidRPr="000B117C" w:rsidRDefault="00B62635" w:rsidP="00B62635">
            <w:pPr>
              <w:spacing w:afterLines="0" w:after="0" w:line="240" w:lineRule="auto"/>
              <w:rPr>
                <w:sz w:val="20"/>
                <w:szCs w:val="20"/>
              </w:rPr>
            </w:pPr>
            <w:r w:rsidRPr="000B117C">
              <w:rPr>
                <w:sz w:val="20"/>
                <w:szCs w:val="20"/>
              </w:rPr>
              <w:t>0.6</w:t>
            </w:r>
          </w:p>
        </w:tc>
      </w:tr>
      <w:tr w:rsidR="00B62635" w:rsidRPr="000B117C" w:rsidTr="00B62635">
        <w:tc>
          <w:tcPr>
            <w:tcW w:w="1384" w:type="dxa"/>
            <w:shd w:val="clear" w:color="auto" w:fill="auto"/>
          </w:tcPr>
          <w:p w:rsidR="00B62635" w:rsidRPr="000B117C" w:rsidRDefault="00B62635" w:rsidP="00B62635">
            <w:pPr>
              <w:spacing w:afterLines="0" w:after="0" w:line="240" w:lineRule="auto"/>
              <w:rPr>
                <w:sz w:val="20"/>
                <w:szCs w:val="20"/>
              </w:rPr>
            </w:pPr>
            <w:r w:rsidRPr="000B117C">
              <w:rPr>
                <w:sz w:val="20"/>
                <w:szCs w:val="20"/>
              </w:rPr>
              <w:t>Q2 2013</w:t>
            </w:r>
          </w:p>
        </w:tc>
        <w:tc>
          <w:tcPr>
            <w:tcW w:w="1964" w:type="dxa"/>
            <w:shd w:val="clear" w:color="auto" w:fill="auto"/>
          </w:tcPr>
          <w:p w:rsidR="00B62635" w:rsidRPr="000B117C" w:rsidRDefault="00B62635" w:rsidP="00B62635">
            <w:pPr>
              <w:spacing w:afterLines="0" w:after="0" w:line="240" w:lineRule="auto"/>
              <w:rPr>
                <w:sz w:val="20"/>
                <w:szCs w:val="20"/>
              </w:rPr>
            </w:pPr>
            <w:r w:rsidRPr="000B117C">
              <w:rPr>
                <w:sz w:val="20"/>
                <w:szCs w:val="20"/>
              </w:rPr>
              <w:t>4</w:t>
            </w:r>
          </w:p>
        </w:tc>
        <w:tc>
          <w:tcPr>
            <w:tcW w:w="1965" w:type="dxa"/>
            <w:shd w:val="clear" w:color="auto" w:fill="auto"/>
          </w:tcPr>
          <w:p w:rsidR="00B62635" w:rsidRPr="000B117C" w:rsidRDefault="00B62635" w:rsidP="00B62635">
            <w:pPr>
              <w:spacing w:afterLines="0" w:after="0" w:line="240" w:lineRule="auto"/>
              <w:rPr>
                <w:sz w:val="20"/>
                <w:szCs w:val="20"/>
              </w:rPr>
            </w:pPr>
            <w:r w:rsidRPr="000B117C">
              <w:rPr>
                <w:sz w:val="20"/>
                <w:szCs w:val="20"/>
              </w:rPr>
              <w:t>4</w:t>
            </w:r>
          </w:p>
        </w:tc>
        <w:tc>
          <w:tcPr>
            <w:tcW w:w="1964" w:type="dxa"/>
            <w:shd w:val="clear" w:color="auto" w:fill="auto"/>
          </w:tcPr>
          <w:p w:rsidR="00B62635" w:rsidRPr="000B117C" w:rsidRDefault="00B62635" w:rsidP="00B62635">
            <w:pPr>
              <w:spacing w:afterLines="0" w:after="0" w:line="240" w:lineRule="auto"/>
              <w:rPr>
                <w:sz w:val="20"/>
                <w:szCs w:val="20"/>
              </w:rPr>
            </w:pPr>
            <w:r w:rsidRPr="000B117C">
              <w:rPr>
                <w:sz w:val="20"/>
                <w:szCs w:val="20"/>
              </w:rPr>
              <w:t>0</w:t>
            </w:r>
          </w:p>
        </w:tc>
        <w:tc>
          <w:tcPr>
            <w:tcW w:w="1965" w:type="dxa"/>
            <w:shd w:val="clear" w:color="auto" w:fill="auto"/>
          </w:tcPr>
          <w:p w:rsidR="00B62635" w:rsidRPr="000B117C" w:rsidRDefault="00B62635" w:rsidP="00B62635">
            <w:pPr>
              <w:spacing w:afterLines="0" w:after="0" w:line="240" w:lineRule="auto"/>
              <w:rPr>
                <w:sz w:val="20"/>
                <w:szCs w:val="20"/>
              </w:rPr>
            </w:pPr>
            <w:r w:rsidRPr="000B117C">
              <w:rPr>
                <w:sz w:val="20"/>
                <w:szCs w:val="20"/>
              </w:rPr>
              <w:t>0.9</w:t>
            </w:r>
          </w:p>
        </w:tc>
      </w:tr>
      <w:tr w:rsidR="00B62635" w:rsidRPr="000B117C" w:rsidTr="00B62635">
        <w:tc>
          <w:tcPr>
            <w:tcW w:w="1384" w:type="dxa"/>
            <w:shd w:val="clear" w:color="auto" w:fill="auto"/>
          </w:tcPr>
          <w:p w:rsidR="00B62635" w:rsidRPr="000B117C" w:rsidRDefault="00B62635" w:rsidP="00B62635">
            <w:pPr>
              <w:spacing w:afterLines="0" w:after="0" w:line="240" w:lineRule="auto"/>
              <w:rPr>
                <w:sz w:val="20"/>
                <w:szCs w:val="20"/>
              </w:rPr>
            </w:pPr>
            <w:r w:rsidRPr="000B117C">
              <w:rPr>
                <w:sz w:val="20"/>
                <w:szCs w:val="20"/>
              </w:rPr>
              <w:t>Q3 2013</w:t>
            </w:r>
          </w:p>
        </w:tc>
        <w:tc>
          <w:tcPr>
            <w:tcW w:w="1964" w:type="dxa"/>
            <w:shd w:val="clear" w:color="auto" w:fill="auto"/>
          </w:tcPr>
          <w:p w:rsidR="00B62635" w:rsidRPr="000B117C" w:rsidRDefault="00B62635" w:rsidP="00B62635">
            <w:pPr>
              <w:spacing w:afterLines="0" w:after="0" w:line="240" w:lineRule="auto"/>
              <w:rPr>
                <w:sz w:val="20"/>
                <w:szCs w:val="20"/>
              </w:rPr>
            </w:pPr>
            <w:r w:rsidRPr="000B117C">
              <w:rPr>
                <w:sz w:val="20"/>
                <w:szCs w:val="20"/>
              </w:rPr>
              <w:t>2</w:t>
            </w:r>
          </w:p>
        </w:tc>
        <w:tc>
          <w:tcPr>
            <w:tcW w:w="1965" w:type="dxa"/>
            <w:shd w:val="clear" w:color="auto" w:fill="auto"/>
          </w:tcPr>
          <w:p w:rsidR="00B62635" w:rsidRPr="000B117C" w:rsidRDefault="00B62635" w:rsidP="00B62635">
            <w:pPr>
              <w:spacing w:afterLines="0" w:after="0" w:line="240" w:lineRule="auto"/>
              <w:rPr>
                <w:sz w:val="20"/>
                <w:szCs w:val="20"/>
              </w:rPr>
            </w:pPr>
            <w:r w:rsidRPr="000B117C">
              <w:rPr>
                <w:sz w:val="20"/>
                <w:szCs w:val="20"/>
              </w:rPr>
              <w:t>2</w:t>
            </w:r>
          </w:p>
        </w:tc>
        <w:tc>
          <w:tcPr>
            <w:tcW w:w="1964" w:type="dxa"/>
            <w:shd w:val="clear" w:color="auto" w:fill="auto"/>
          </w:tcPr>
          <w:p w:rsidR="00B62635" w:rsidRPr="000B117C" w:rsidRDefault="00B62635" w:rsidP="00B62635">
            <w:pPr>
              <w:spacing w:afterLines="0" w:after="0" w:line="240" w:lineRule="auto"/>
              <w:rPr>
                <w:sz w:val="20"/>
                <w:szCs w:val="20"/>
              </w:rPr>
            </w:pPr>
            <w:r w:rsidRPr="000B117C">
              <w:rPr>
                <w:sz w:val="20"/>
                <w:szCs w:val="20"/>
              </w:rPr>
              <w:t>0</w:t>
            </w:r>
          </w:p>
        </w:tc>
        <w:tc>
          <w:tcPr>
            <w:tcW w:w="1965" w:type="dxa"/>
            <w:shd w:val="clear" w:color="auto" w:fill="auto"/>
          </w:tcPr>
          <w:p w:rsidR="00B62635" w:rsidRPr="000B117C" w:rsidRDefault="00B62635" w:rsidP="00B62635">
            <w:pPr>
              <w:spacing w:afterLines="0" w:after="0" w:line="240" w:lineRule="auto"/>
              <w:rPr>
                <w:sz w:val="20"/>
                <w:szCs w:val="20"/>
              </w:rPr>
            </w:pPr>
            <w:r w:rsidRPr="000B117C">
              <w:rPr>
                <w:sz w:val="20"/>
                <w:szCs w:val="20"/>
              </w:rPr>
              <w:t>0.5</w:t>
            </w:r>
          </w:p>
        </w:tc>
      </w:tr>
      <w:tr w:rsidR="00B62635" w:rsidRPr="000B117C" w:rsidTr="00B62635">
        <w:tc>
          <w:tcPr>
            <w:tcW w:w="1384" w:type="dxa"/>
            <w:shd w:val="clear" w:color="auto" w:fill="auto"/>
          </w:tcPr>
          <w:p w:rsidR="00B62635" w:rsidRPr="000B117C" w:rsidRDefault="00B62635" w:rsidP="00B62635">
            <w:pPr>
              <w:spacing w:afterLines="0" w:after="0" w:line="240" w:lineRule="auto"/>
              <w:rPr>
                <w:sz w:val="20"/>
                <w:szCs w:val="20"/>
              </w:rPr>
            </w:pPr>
            <w:r w:rsidRPr="000B117C">
              <w:rPr>
                <w:sz w:val="20"/>
                <w:szCs w:val="20"/>
              </w:rPr>
              <w:t>Q4 2013</w:t>
            </w:r>
          </w:p>
        </w:tc>
        <w:tc>
          <w:tcPr>
            <w:tcW w:w="1964" w:type="dxa"/>
            <w:shd w:val="clear" w:color="auto" w:fill="auto"/>
          </w:tcPr>
          <w:p w:rsidR="00B62635" w:rsidRPr="000B117C" w:rsidRDefault="00B62635" w:rsidP="00B62635">
            <w:pPr>
              <w:spacing w:afterLines="0" w:after="0" w:line="240" w:lineRule="auto"/>
              <w:rPr>
                <w:sz w:val="20"/>
                <w:szCs w:val="20"/>
              </w:rPr>
            </w:pPr>
            <w:r w:rsidRPr="000B117C">
              <w:rPr>
                <w:sz w:val="20"/>
                <w:szCs w:val="20"/>
              </w:rPr>
              <w:t>4</w:t>
            </w:r>
          </w:p>
        </w:tc>
        <w:tc>
          <w:tcPr>
            <w:tcW w:w="1965" w:type="dxa"/>
            <w:shd w:val="clear" w:color="auto" w:fill="auto"/>
          </w:tcPr>
          <w:p w:rsidR="00B62635" w:rsidRPr="000B117C" w:rsidRDefault="00B62635" w:rsidP="00B62635">
            <w:pPr>
              <w:spacing w:afterLines="0" w:after="0" w:line="240" w:lineRule="auto"/>
              <w:rPr>
                <w:sz w:val="20"/>
                <w:szCs w:val="20"/>
              </w:rPr>
            </w:pPr>
            <w:r w:rsidRPr="000B117C">
              <w:rPr>
                <w:sz w:val="20"/>
                <w:szCs w:val="20"/>
              </w:rPr>
              <w:t>4</w:t>
            </w:r>
          </w:p>
        </w:tc>
        <w:tc>
          <w:tcPr>
            <w:tcW w:w="1964" w:type="dxa"/>
            <w:shd w:val="clear" w:color="auto" w:fill="auto"/>
          </w:tcPr>
          <w:p w:rsidR="00B62635" w:rsidRPr="000B117C" w:rsidRDefault="00B62635" w:rsidP="00B62635">
            <w:pPr>
              <w:spacing w:afterLines="0" w:after="0" w:line="240" w:lineRule="auto"/>
              <w:rPr>
                <w:sz w:val="20"/>
                <w:szCs w:val="20"/>
              </w:rPr>
            </w:pPr>
            <w:r w:rsidRPr="000B117C">
              <w:rPr>
                <w:sz w:val="20"/>
                <w:szCs w:val="20"/>
              </w:rPr>
              <w:t>0</w:t>
            </w:r>
          </w:p>
        </w:tc>
        <w:tc>
          <w:tcPr>
            <w:tcW w:w="1965" w:type="dxa"/>
            <w:shd w:val="clear" w:color="auto" w:fill="auto"/>
          </w:tcPr>
          <w:p w:rsidR="00B62635" w:rsidRPr="000B117C" w:rsidRDefault="00B62635" w:rsidP="00B62635">
            <w:pPr>
              <w:spacing w:afterLines="0" w:after="0" w:line="240" w:lineRule="auto"/>
              <w:rPr>
                <w:sz w:val="20"/>
                <w:szCs w:val="20"/>
              </w:rPr>
            </w:pPr>
            <w:r w:rsidRPr="000B117C">
              <w:rPr>
                <w:sz w:val="20"/>
                <w:szCs w:val="20"/>
              </w:rPr>
              <w:t>1.0</w:t>
            </w:r>
          </w:p>
        </w:tc>
      </w:tr>
      <w:tr w:rsidR="00B62635" w:rsidRPr="000B117C" w:rsidTr="00B62635">
        <w:tc>
          <w:tcPr>
            <w:tcW w:w="1384" w:type="dxa"/>
            <w:shd w:val="clear" w:color="auto" w:fill="auto"/>
          </w:tcPr>
          <w:p w:rsidR="00B62635" w:rsidRPr="000B117C" w:rsidRDefault="00B62635" w:rsidP="00B62635">
            <w:pPr>
              <w:spacing w:afterLines="0" w:after="0" w:line="240" w:lineRule="auto"/>
              <w:rPr>
                <w:sz w:val="20"/>
                <w:szCs w:val="20"/>
              </w:rPr>
            </w:pPr>
            <w:r w:rsidRPr="000B117C">
              <w:rPr>
                <w:sz w:val="20"/>
                <w:szCs w:val="20"/>
              </w:rPr>
              <w:t>Q1 2014</w:t>
            </w:r>
          </w:p>
        </w:tc>
        <w:tc>
          <w:tcPr>
            <w:tcW w:w="1964" w:type="dxa"/>
            <w:shd w:val="clear" w:color="auto" w:fill="auto"/>
          </w:tcPr>
          <w:p w:rsidR="00B62635" w:rsidRPr="000B117C" w:rsidRDefault="00B62635" w:rsidP="00B62635">
            <w:pPr>
              <w:spacing w:afterLines="0" w:after="0" w:line="240" w:lineRule="auto"/>
              <w:rPr>
                <w:sz w:val="20"/>
                <w:szCs w:val="20"/>
              </w:rPr>
            </w:pPr>
            <w:r w:rsidRPr="000B117C">
              <w:rPr>
                <w:sz w:val="20"/>
                <w:szCs w:val="20"/>
              </w:rPr>
              <w:t>3</w:t>
            </w:r>
          </w:p>
        </w:tc>
        <w:tc>
          <w:tcPr>
            <w:tcW w:w="1965" w:type="dxa"/>
            <w:shd w:val="clear" w:color="auto" w:fill="auto"/>
          </w:tcPr>
          <w:p w:rsidR="00B62635" w:rsidRPr="000B117C" w:rsidRDefault="00B62635" w:rsidP="00B62635">
            <w:pPr>
              <w:spacing w:afterLines="0" w:after="0" w:line="240" w:lineRule="auto"/>
              <w:rPr>
                <w:sz w:val="20"/>
                <w:szCs w:val="20"/>
              </w:rPr>
            </w:pPr>
            <w:r w:rsidRPr="000B117C">
              <w:rPr>
                <w:sz w:val="20"/>
                <w:szCs w:val="20"/>
              </w:rPr>
              <w:t>3</w:t>
            </w:r>
          </w:p>
        </w:tc>
        <w:tc>
          <w:tcPr>
            <w:tcW w:w="1964" w:type="dxa"/>
            <w:shd w:val="clear" w:color="auto" w:fill="auto"/>
          </w:tcPr>
          <w:p w:rsidR="00B62635" w:rsidRPr="000B117C" w:rsidRDefault="00B62635" w:rsidP="00B62635">
            <w:pPr>
              <w:spacing w:afterLines="0" w:after="0" w:line="240" w:lineRule="auto"/>
              <w:rPr>
                <w:sz w:val="20"/>
                <w:szCs w:val="20"/>
              </w:rPr>
            </w:pPr>
            <w:r w:rsidRPr="000B117C">
              <w:rPr>
                <w:sz w:val="20"/>
                <w:szCs w:val="20"/>
              </w:rPr>
              <w:t>0</w:t>
            </w:r>
          </w:p>
        </w:tc>
        <w:tc>
          <w:tcPr>
            <w:tcW w:w="1965" w:type="dxa"/>
            <w:shd w:val="clear" w:color="auto" w:fill="auto"/>
          </w:tcPr>
          <w:p w:rsidR="00B62635" w:rsidRPr="000B117C" w:rsidRDefault="00B62635" w:rsidP="00B62635">
            <w:pPr>
              <w:spacing w:afterLines="0" w:after="0" w:line="240" w:lineRule="auto"/>
              <w:rPr>
                <w:sz w:val="20"/>
                <w:szCs w:val="20"/>
              </w:rPr>
            </w:pPr>
            <w:r w:rsidRPr="000B117C">
              <w:rPr>
                <w:sz w:val="20"/>
                <w:szCs w:val="20"/>
              </w:rPr>
              <w:t>0.8</w:t>
            </w:r>
          </w:p>
        </w:tc>
      </w:tr>
      <w:tr w:rsidR="00B62635" w:rsidRPr="000B117C" w:rsidTr="00B62635">
        <w:tc>
          <w:tcPr>
            <w:tcW w:w="1384" w:type="dxa"/>
            <w:shd w:val="clear" w:color="auto" w:fill="auto"/>
          </w:tcPr>
          <w:p w:rsidR="00B62635" w:rsidRPr="000B117C" w:rsidRDefault="00B62635" w:rsidP="00B62635">
            <w:pPr>
              <w:spacing w:afterLines="0" w:after="0" w:line="240" w:lineRule="auto"/>
              <w:rPr>
                <w:sz w:val="20"/>
                <w:szCs w:val="20"/>
              </w:rPr>
            </w:pPr>
            <w:r w:rsidRPr="000B117C">
              <w:rPr>
                <w:sz w:val="20"/>
                <w:szCs w:val="20"/>
              </w:rPr>
              <w:t>Q2 2014</w:t>
            </w:r>
          </w:p>
        </w:tc>
        <w:tc>
          <w:tcPr>
            <w:tcW w:w="1964" w:type="dxa"/>
            <w:shd w:val="clear" w:color="auto" w:fill="auto"/>
          </w:tcPr>
          <w:p w:rsidR="00B62635" w:rsidRPr="000B117C" w:rsidRDefault="00B62635" w:rsidP="00B62635">
            <w:pPr>
              <w:spacing w:afterLines="0" w:after="0" w:line="240" w:lineRule="auto"/>
              <w:rPr>
                <w:sz w:val="20"/>
                <w:szCs w:val="20"/>
              </w:rPr>
            </w:pPr>
            <w:r w:rsidRPr="000B117C">
              <w:rPr>
                <w:sz w:val="20"/>
                <w:szCs w:val="20"/>
              </w:rPr>
              <w:t>5</w:t>
            </w:r>
          </w:p>
        </w:tc>
        <w:tc>
          <w:tcPr>
            <w:tcW w:w="1965" w:type="dxa"/>
            <w:shd w:val="clear" w:color="auto" w:fill="auto"/>
          </w:tcPr>
          <w:p w:rsidR="00B62635" w:rsidRPr="000B117C" w:rsidRDefault="00B62635" w:rsidP="00B62635">
            <w:pPr>
              <w:spacing w:afterLines="0" w:after="0" w:line="240" w:lineRule="auto"/>
              <w:rPr>
                <w:sz w:val="20"/>
                <w:szCs w:val="20"/>
              </w:rPr>
            </w:pPr>
            <w:r w:rsidRPr="000B117C">
              <w:rPr>
                <w:sz w:val="20"/>
                <w:szCs w:val="20"/>
              </w:rPr>
              <w:t>4</w:t>
            </w:r>
          </w:p>
        </w:tc>
        <w:tc>
          <w:tcPr>
            <w:tcW w:w="1964" w:type="dxa"/>
            <w:shd w:val="clear" w:color="auto" w:fill="auto"/>
          </w:tcPr>
          <w:p w:rsidR="00B62635" w:rsidRPr="000B117C" w:rsidRDefault="00B62635" w:rsidP="00B62635">
            <w:pPr>
              <w:spacing w:afterLines="0" w:after="0" w:line="240" w:lineRule="auto"/>
              <w:rPr>
                <w:sz w:val="20"/>
                <w:szCs w:val="20"/>
              </w:rPr>
            </w:pPr>
            <w:r w:rsidRPr="000B117C">
              <w:rPr>
                <w:sz w:val="20"/>
                <w:szCs w:val="20"/>
              </w:rPr>
              <w:t>1</w:t>
            </w:r>
          </w:p>
        </w:tc>
        <w:tc>
          <w:tcPr>
            <w:tcW w:w="1965" w:type="dxa"/>
            <w:shd w:val="clear" w:color="auto" w:fill="auto"/>
          </w:tcPr>
          <w:p w:rsidR="00B62635" w:rsidRPr="000B117C" w:rsidRDefault="00B62635" w:rsidP="00B62635">
            <w:pPr>
              <w:spacing w:afterLines="0" w:after="0" w:line="240" w:lineRule="auto"/>
              <w:rPr>
                <w:sz w:val="20"/>
                <w:szCs w:val="20"/>
              </w:rPr>
            </w:pPr>
            <w:r w:rsidRPr="000B117C">
              <w:rPr>
                <w:sz w:val="20"/>
                <w:szCs w:val="20"/>
              </w:rPr>
              <w:t>1.3</w:t>
            </w:r>
          </w:p>
        </w:tc>
      </w:tr>
      <w:tr w:rsidR="00B62635" w:rsidRPr="000B117C" w:rsidTr="00B62635">
        <w:tc>
          <w:tcPr>
            <w:tcW w:w="1384" w:type="dxa"/>
            <w:shd w:val="clear" w:color="auto" w:fill="auto"/>
          </w:tcPr>
          <w:p w:rsidR="00B62635" w:rsidRPr="000B117C" w:rsidRDefault="00B62635" w:rsidP="00B62635">
            <w:pPr>
              <w:spacing w:afterLines="0" w:after="0" w:line="240" w:lineRule="auto"/>
              <w:rPr>
                <w:sz w:val="20"/>
                <w:szCs w:val="20"/>
              </w:rPr>
            </w:pPr>
            <w:r w:rsidRPr="000B117C">
              <w:rPr>
                <w:sz w:val="20"/>
                <w:szCs w:val="20"/>
              </w:rPr>
              <w:t>Q3 2014</w:t>
            </w:r>
          </w:p>
        </w:tc>
        <w:tc>
          <w:tcPr>
            <w:tcW w:w="1964" w:type="dxa"/>
            <w:shd w:val="clear" w:color="auto" w:fill="auto"/>
          </w:tcPr>
          <w:p w:rsidR="00B62635" w:rsidRPr="000B117C" w:rsidRDefault="00B62635" w:rsidP="00B62635">
            <w:pPr>
              <w:spacing w:afterLines="0" w:after="0" w:line="240" w:lineRule="auto"/>
              <w:rPr>
                <w:sz w:val="20"/>
                <w:szCs w:val="20"/>
              </w:rPr>
            </w:pPr>
            <w:r w:rsidRPr="000B117C">
              <w:rPr>
                <w:sz w:val="20"/>
                <w:szCs w:val="20"/>
              </w:rPr>
              <w:t>1</w:t>
            </w:r>
          </w:p>
        </w:tc>
        <w:tc>
          <w:tcPr>
            <w:tcW w:w="1965" w:type="dxa"/>
            <w:shd w:val="clear" w:color="auto" w:fill="auto"/>
          </w:tcPr>
          <w:p w:rsidR="00B62635" w:rsidRPr="000B117C" w:rsidRDefault="00B62635" w:rsidP="00B62635">
            <w:pPr>
              <w:spacing w:afterLines="0" w:after="0" w:line="240" w:lineRule="auto"/>
              <w:rPr>
                <w:sz w:val="20"/>
                <w:szCs w:val="20"/>
              </w:rPr>
            </w:pPr>
            <w:r w:rsidRPr="000B117C">
              <w:rPr>
                <w:sz w:val="20"/>
                <w:szCs w:val="20"/>
              </w:rPr>
              <w:t>1</w:t>
            </w:r>
          </w:p>
        </w:tc>
        <w:tc>
          <w:tcPr>
            <w:tcW w:w="1964" w:type="dxa"/>
            <w:shd w:val="clear" w:color="auto" w:fill="auto"/>
          </w:tcPr>
          <w:p w:rsidR="00B62635" w:rsidRPr="000B117C" w:rsidRDefault="00B62635" w:rsidP="00B62635">
            <w:pPr>
              <w:spacing w:afterLines="0" w:after="0" w:line="240" w:lineRule="auto"/>
              <w:rPr>
                <w:sz w:val="20"/>
                <w:szCs w:val="20"/>
              </w:rPr>
            </w:pPr>
            <w:r w:rsidRPr="000B117C">
              <w:rPr>
                <w:sz w:val="20"/>
                <w:szCs w:val="20"/>
              </w:rPr>
              <w:t>0</w:t>
            </w:r>
          </w:p>
        </w:tc>
        <w:tc>
          <w:tcPr>
            <w:tcW w:w="1965" w:type="dxa"/>
            <w:shd w:val="clear" w:color="auto" w:fill="auto"/>
          </w:tcPr>
          <w:p w:rsidR="00B62635" w:rsidRPr="000B117C" w:rsidRDefault="00B62635" w:rsidP="00B62635">
            <w:pPr>
              <w:spacing w:afterLines="0" w:after="0" w:line="240" w:lineRule="auto"/>
              <w:rPr>
                <w:sz w:val="20"/>
                <w:szCs w:val="20"/>
              </w:rPr>
            </w:pPr>
            <w:r w:rsidRPr="000B117C">
              <w:rPr>
                <w:sz w:val="20"/>
                <w:szCs w:val="20"/>
              </w:rPr>
              <w:t>0.3</w:t>
            </w:r>
          </w:p>
        </w:tc>
      </w:tr>
      <w:tr w:rsidR="00B62635" w:rsidRPr="000B117C" w:rsidTr="00B62635">
        <w:tc>
          <w:tcPr>
            <w:tcW w:w="1384" w:type="dxa"/>
            <w:shd w:val="clear" w:color="auto" w:fill="auto"/>
          </w:tcPr>
          <w:p w:rsidR="00B62635" w:rsidRPr="000B117C" w:rsidRDefault="00B62635" w:rsidP="00B62635">
            <w:pPr>
              <w:spacing w:afterLines="0" w:after="0" w:line="240" w:lineRule="auto"/>
              <w:rPr>
                <w:sz w:val="20"/>
                <w:szCs w:val="20"/>
              </w:rPr>
            </w:pPr>
            <w:r w:rsidRPr="000B117C">
              <w:rPr>
                <w:sz w:val="20"/>
                <w:szCs w:val="20"/>
              </w:rPr>
              <w:t>Q4 2014</w:t>
            </w:r>
          </w:p>
        </w:tc>
        <w:tc>
          <w:tcPr>
            <w:tcW w:w="1964" w:type="dxa"/>
            <w:shd w:val="clear" w:color="auto" w:fill="auto"/>
          </w:tcPr>
          <w:p w:rsidR="00B62635" w:rsidRPr="000B117C" w:rsidRDefault="00B62635" w:rsidP="00B62635">
            <w:pPr>
              <w:spacing w:afterLines="0" w:after="0" w:line="240" w:lineRule="auto"/>
              <w:rPr>
                <w:sz w:val="20"/>
                <w:szCs w:val="20"/>
              </w:rPr>
            </w:pPr>
            <w:r w:rsidRPr="000B117C">
              <w:rPr>
                <w:sz w:val="20"/>
                <w:szCs w:val="20"/>
              </w:rPr>
              <w:t>1</w:t>
            </w:r>
          </w:p>
        </w:tc>
        <w:tc>
          <w:tcPr>
            <w:tcW w:w="1965" w:type="dxa"/>
            <w:shd w:val="clear" w:color="auto" w:fill="auto"/>
          </w:tcPr>
          <w:p w:rsidR="00B62635" w:rsidRPr="000B117C" w:rsidRDefault="00B62635" w:rsidP="00B62635">
            <w:pPr>
              <w:spacing w:afterLines="0" w:after="0" w:line="240" w:lineRule="auto"/>
              <w:rPr>
                <w:sz w:val="20"/>
                <w:szCs w:val="20"/>
              </w:rPr>
            </w:pPr>
            <w:r w:rsidRPr="000B117C">
              <w:rPr>
                <w:sz w:val="20"/>
                <w:szCs w:val="20"/>
              </w:rPr>
              <w:t>0</w:t>
            </w:r>
          </w:p>
        </w:tc>
        <w:tc>
          <w:tcPr>
            <w:tcW w:w="1964" w:type="dxa"/>
            <w:shd w:val="clear" w:color="auto" w:fill="auto"/>
          </w:tcPr>
          <w:p w:rsidR="00B62635" w:rsidRPr="000B117C" w:rsidRDefault="00B62635" w:rsidP="00B62635">
            <w:pPr>
              <w:spacing w:afterLines="0" w:after="0" w:line="240" w:lineRule="auto"/>
              <w:rPr>
                <w:sz w:val="20"/>
                <w:szCs w:val="20"/>
              </w:rPr>
            </w:pPr>
            <w:r w:rsidRPr="000B117C">
              <w:rPr>
                <w:sz w:val="20"/>
                <w:szCs w:val="20"/>
              </w:rPr>
              <w:t>0</w:t>
            </w:r>
          </w:p>
        </w:tc>
        <w:tc>
          <w:tcPr>
            <w:tcW w:w="1965" w:type="dxa"/>
            <w:shd w:val="clear" w:color="auto" w:fill="auto"/>
          </w:tcPr>
          <w:p w:rsidR="00B62635" w:rsidRPr="000B117C" w:rsidRDefault="00B62635" w:rsidP="00B62635">
            <w:pPr>
              <w:spacing w:afterLines="0" w:after="0" w:line="240" w:lineRule="auto"/>
              <w:rPr>
                <w:sz w:val="20"/>
                <w:szCs w:val="20"/>
              </w:rPr>
            </w:pPr>
            <w:r w:rsidRPr="000B117C">
              <w:rPr>
                <w:sz w:val="20"/>
                <w:szCs w:val="20"/>
              </w:rPr>
              <w:t>0.3</w:t>
            </w:r>
          </w:p>
        </w:tc>
      </w:tr>
      <w:tr w:rsidR="00B62635" w:rsidRPr="000B117C" w:rsidTr="00B62635">
        <w:tc>
          <w:tcPr>
            <w:tcW w:w="1384" w:type="dxa"/>
            <w:shd w:val="clear" w:color="auto" w:fill="auto"/>
          </w:tcPr>
          <w:p w:rsidR="00B62635" w:rsidRPr="000B117C" w:rsidRDefault="00B62635" w:rsidP="00B62635">
            <w:pPr>
              <w:spacing w:afterLines="0" w:after="0" w:line="240" w:lineRule="auto"/>
              <w:rPr>
                <w:sz w:val="20"/>
                <w:szCs w:val="20"/>
              </w:rPr>
            </w:pPr>
            <w:r w:rsidRPr="000B117C">
              <w:rPr>
                <w:sz w:val="20"/>
                <w:szCs w:val="20"/>
              </w:rPr>
              <w:t>Q1 2015</w:t>
            </w:r>
          </w:p>
        </w:tc>
        <w:tc>
          <w:tcPr>
            <w:tcW w:w="1964" w:type="dxa"/>
            <w:shd w:val="clear" w:color="auto" w:fill="auto"/>
          </w:tcPr>
          <w:p w:rsidR="00B62635" w:rsidRPr="000B117C" w:rsidRDefault="00B62635" w:rsidP="00B62635">
            <w:pPr>
              <w:spacing w:afterLines="0" w:after="0" w:line="240" w:lineRule="auto"/>
              <w:rPr>
                <w:sz w:val="20"/>
                <w:szCs w:val="20"/>
              </w:rPr>
            </w:pPr>
            <w:r w:rsidRPr="000B117C">
              <w:rPr>
                <w:sz w:val="20"/>
                <w:szCs w:val="20"/>
              </w:rPr>
              <w:t>3</w:t>
            </w:r>
          </w:p>
        </w:tc>
        <w:tc>
          <w:tcPr>
            <w:tcW w:w="1965" w:type="dxa"/>
            <w:shd w:val="clear" w:color="auto" w:fill="auto"/>
          </w:tcPr>
          <w:p w:rsidR="00B62635" w:rsidRPr="000B117C" w:rsidRDefault="00B62635" w:rsidP="00B62635">
            <w:pPr>
              <w:spacing w:afterLines="0" w:after="0" w:line="240" w:lineRule="auto"/>
              <w:rPr>
                <w:sz w:val="20"/>
                <w:szCs w:val="20"/>
              </w:rPr>
            </w:pPr>
            <w:r w:rsidRPr="000B117C">
              <w:rPr>
                <w:sz w:val="20"/>
                <w:szCs w:val="20"/>
              </w:rPr>
              <w:t>2</w:t>
            </w:r>
          </w:p>
        </w:tc>
        <w:tc>
          <w:tcPr>
            <w:tcW w:w="1964" w:type="dxa"/>
            <w:shd w:val="clear" w:color="auto" w:fill="auto"/>
          </w:tcPr>
          <w:p w:rsidR="00B62635" w:rsidRPr="000B117C" w:rsidRDefault="00B62635" w:rsidP="00B62635">
            <w:pPr>
              <w:spacing w:afterLines="0" w:after="0" w:line="240" w:lineRule="auto"/>
              <w:rPr>
                <w:sz w:val="20"/>
                <w:szCs w:val="20"/>
              </w:rPr>
            </w:pPr>
            <w:r w:rsidRPr="000B117C">
              <w:rPr>
                <w:sz w:val="20"/>
                <w:szCs w:val="20"/>
              </w:rPr>
              <w:t>1</w:t>
            </w:r>
          </w:p>
        </w:tc>
        <w:tc>
          <w:tcPr>
            <w:tcW w:w="1965" w:type="dxa"/>
            <w:shd w:val="clear" w:color="auto" w:fill="auto"/>
          </w:tcPr>
          <w:p w:rsidR="00B62635" w:rsidRPr="000B117C" w:rsidRDefault="00B62635" w:rsidP="00B62635">
            <w:pPr>
              <w:spacing w:afterLines="0" w:after="0" w:line="240" w:lineRule="auto"/>
              <w:rPr>
                <w:sz w:val="20"/>
                <w:szCs w:val="20"/>
              </w:rPr>
            </w:pPr>
            <w:r w:rsidRPr="000B117C">
              <w:rPr>
                <w:sz w:val="20"/>
                <w:szCs w:val="20"/>
              </w:rPr>
              <w:t>0.8</w:t>
            </w:r>
          </w:p>
        </w:tc>
      </w:tr>
      <w:tr w:rsidR="00B62635" w:rsidRPr="000B117C" w:rsidTr="00B62635">
        <w:tc>
          <w:tcPr>
            <w:tcW w:w="1384" w:type="dxa"/>
            <w:shd w:val="clear" w:color="auto" w:fill="auto"/>
          </w:tcPr>
          <w:p w:rsidR="00B62635" w:rsidRPr="000B117C" w:rsidRDefault="00B62635" w:rsidP="00B62635">
            <w:pPr>
              <w:spacing w:afterLines="0" w:after="0" w:line="240" w:lineRule="auto"/>
              <w:rPr>
                <w:sz w:val="20"/>
                <w:szCs w:val="20"/>
              </w:rPr>
            </w:pPr>
            <w:r w:rsidRPr="000B117C">
              <w:rPr>
                <w:sz w:val="20"/>
                <w:szCs w:val="20"/>
              </w:rPr>
              <w:t>Q2 2015</w:t>
            </w:r>
          </w:p>
        </w:tc>
        <w:tc>
          <w:tcPr>
            <w:tcW w:w="1964" w:type="dxa"/>
            <w:shd w:val="clear" w:color="auto" w:fill="auto"/>
          </w:tcPr>
          <w:p w:rsidR="00B62635" w:rsidRPr="000B117C" w:rsidRDefault="00B62635" w:rsidP="00B62635">
            <w:pPr>
              <w:spacing w:afterLines="0" w:after="0" w:line="240" w:lineRule="auto"/>
              <w:rPr>
                <w:sz w:val="20"/>
                <w:szCs w:val="20"/>
              </w:rPr>
            </w:pPr>
            <w:r w:rsidRPr="000B117C">
              <w:rPr>
                <w:sz w:val="20"/>
                <w:szCs w:val="20"/>
              </w:rPr>
              <w:t>4</w:t>
            </w:r>
          </w:p>
        </w:tc>
        <w:tc>
          <w:tcPr>
            <w:tcW w:w="1965" w:type="dxa"/>
            <w:shd w:val="clear" w:color="auto" w:fill="auto"/>
          </w:tcPr>
          <w:p w:rsidR="00B62635" w:rsidRPr="000B117C" w:rsidRDefault="00B62635" w:rsidP="00B62635">
            <w:pPr>
              <w:spacing w:afterLines="0" w:after="0" w:line="240" w:lineRule="auto"/>
              <w:rPr>
                <w:sz w:val="20"/>
                <w:szCs w:val="20"/>
              </w:rPr>
            </w:pPr>
            <w:r w:rsidRPr="000B117C">
              <w:rPr>
                <w:sz w:val="20"/>
                <w:szCs w:val="20"/>
              </w:rPr>
              <w:t>4</w:t>
            </w:r>
          </w:p>
        </w:tc>
        <w:tc>
          <w:tcPr>
            <w:tcW w:w="1964" w:type="dxa"/>
            <w:shd w:val="clear" w:color="auto" w:fill="auto"/>
          </w:tcPr>
          <w:p w:rsidR="00B62635" w:rsidRPr="000B117C" w:rsidRDefault="00B62635" w:rsidP="00B62635">
            <w:pPr>
              <w:spacing w:afterLines="0" w:after="0" w:line="240" w:lineRule="auto"/>
              <w:rPr>
                <w:sz w:val="20"/>
                <w:szCs w:val="20"/>
              </w:rPr>
            </w:pPr>
            <w:r w:rsidRPr="000B117C">
              <w:rPr>
                <w:sz w:val="20"/>
                <w:szCs w:val="20"/>
              </w:rPr>
              <w:t>0</w:t>
            </w:r>
          </w:p>
        </w:tc>
        <w:tc>
          <w:tcPr>
            <w:tcW w:w="1965" w:type="dxa"/>
            <w:shd w:val="clear" w:color="auto" w:fill="auto"/>
          </w:tcPr>
          <w:p w:rsidR="00B62635" w:rsidRPr="000B117C" w:rsidRDefault="00B62635" w:rsidP="00B62635">
            <w:pPr>
              <w:spacing w:afterLines="0" w:after="0" w:line="240" w:lineRule="auto"/>
              <w:rPr>
                <w:sz w:val="20"/>
                <w:szCs w:val="20"/>
              </w:rPr>
            </w:pPr>
            <w:r w:rsidRPr="000B117C">
              <w:rPr>
                <w:sz w:val="20"/>
                <w:szCs w:val="20"/>
              </w:rPr>
              <w:t>1.0</w:t>
            </w:r>
          </w:p>
        </w:tc>
      </w:tr>
      <w:tr w:rsidR="00B62635" w:rsidRPr="000B117C" w:rsidTr="00B62635">
        <w:tc>
          <w:tcPr>
            <w:tcW w:w="1384" w:type="dxa"/>
            <w:shd w:val="clear" w:color="auto" w:fill="auto"/>
          </w:tcPr>
          <w:p w:rsidR="00B62635" w:rsidRPr="000B117C" w:rsidRDefault="00B62635" w:rsidP="00B62635">
            <w:pPr>
              <w:spacing w:afterLines="0" w:after="0" w:line="240" w:lineRule="auto"/>
              <w:rPr>
                <w:sz w:val="20"/>
                <w:szCs w:val="20"/>
              </w:rPr>
            </w:pPr>
            <w:r w:rsidRPr="000B117C">
              <w:rPr>
                <w:sz w:val="20"/>
                <w:szCs w:val="20"/>
              </w:rPr>
              <w:t>Q3 2015</w:t>
            </w:r>
          </w:p>
        </w:tc>
        <w:tc>
          <w:tcPr>
            <w:tcW w:w="1964" w:type="dxa"/>
            <w:shd w:val="clear" w:color="auto" w:fill="auto"/>
          </w:tcPr>
          <w:p w:rsidR="00B62635" w:rsidRPr="000B117C" w:rsidRDefault="00B62635" w:rsidP="00B62635">
            <w:pPr>
              <w:spacing w:afterLines="0" w:after="0" w:line="240" w:lineRule="auto"/>
              <w:rPr>
                <w:sz w:val="20"/>
                <w:szCs w:val="20"/>
              </w:rPr>
            </w:pPr>
            <w:r w:rsidRPr="000B117C">
              <w:rPr>
                <w:sz w:val="20"/>
                <w:szCs w:val="20"/>
              </w:rPr>
              <w:t>5</w:t>
            </w:r>
          </w:p>
        </w:tc>
        <w:tc>
          <w:tcPr>
            <w:tcW w:w="1965" w:type="dxa"/>
            <w:shd w:val="clear" w:color="auto" w:fill="auto"/>
          </w:tcPr>
          <w:p w:rsidR="00B62635" w:rsidRPr="000B117C" w:rsidRDefault="00B62635" w:rsidP="00B62635">
            <w:pPr>
              <w:spacing w:afterLines="0" w:after="0" w:line="240" w:lineRule="auto"/>
              <w:rPr>
                <w:sz w:val="20"/>
                <w:szCs w:val="20"/>
              </w:rPr>
            </w:pPr>
            <w:r w:rsidRPr="000B117C">
              <w:rPr>
                <w:sz w:val="20"/>
                <w:szCs w:val="20"/>
              </w:rPr>
              <w:t>5</w:t>
            </w:r>
          </w:p>
        </w:tc>
        <w:tc>
          <w:tcPr>
            <w:tcW w:w="1964" w:type="dxa"/>
            <w:shd w:val="clear" w:color="auto" w:fill="auto"/>
          </w:tcPr>
          <w:p w:rsidR="00B62635" w:rsidRPr="000B117C" w:rsidRDefault="00B62635" w:rsidP="00B62635">
            <w:pPr>
              <w:spacing w:afterLines="0" w:after="0" w:line="240" w:lineRule="auto"/>
              <w:rPr>
                <w:sz w:val="20"/>
                <w:szCs w:val="20"/>
              </w:rPr>
            </w:pPr>
            <w:r w:rsidRPr="000B117C">
              <w:rPr>
                <w:sz w:val="20"/>
                <w:szCs w:val="20"/>
              </w:rPr>
              <w:t>0</w:t>
            </w:r>
          </w:p>
        </w:tc>
        <w:tc>
          <w:tcPr>
            <w:tcW w:w="1965" w:type="dxa"/>
            <w:shd w:val="clear" w:color="auto" w:fill="auto"/>
          </w:tcPr>
          <w:p w:rsidR="00B62635" w:rsidRPr="000B117C" w:rsidRDefault="00B62635" w:rsidP="00B62635">
            <w:pPr>
              <w:spacing w:afterLines="0" w:after="0" w:line="240" w:lineRule="auto"/>
              <w:rPr>
                <w:sz w:val="20"/>
                <w:szCs w:val="20"/>
              </w:rPr>
            </w:pPr>
            <w:r w:rsidRPr="000B117C">
              <w:rPr>
                <w:sz w:val="20"/>
                <w:szCs w:val="20"/>
              </w:rPr>
              <w:t>1.3</w:t>
            </w:r>
          </w:p>
        </w:tc>
      </w:tr>
      <w:tr w:rsidR="00B62635" w:rsidRPr="000B117C" w:rsidTr="00B62635">
        <w:tc>
          <w:tcPr>
            <w:tcW w:w="1384" w:type="dxa"/>
            <w:shd w:val="clear" w:color="auto" w:fill="auto"/>
          </w:tcPr>
          <w:p w:rsidR="00B62635" w:rsidRPr="000B117C" w:rsidRDefault="00B62635" w:rsidP="00B62635">
            <w:pPr>
              <w:spacing w:afterLines="0" w:after="0" w:line="240" w:lineRule="auto"/>
              <w:rPr>
                <w:sz w:val="20"/>
                <w:szCs w:val="20"/>
              </w:rPr>
            </w:pPr>
            <w:r w:rsidRPr="000B117C">
              <w:rPr>
                <w:sz w:val="20"/>
                <w:szCs w:val="20"/>
              </w:rPr>
              <w:t>Q4 2015</w:t>
            </w:r>
          </w:p>
        </w:tc>
        <w:tc>
          <w:tcPr>
            <w:tcW w:w="1964" w:type="dxa"/>
            <w:shd w:val="clear" w:color="auto" w:fill="auto"/>
          </w:tcPr>
          <w:p w:rsidR="00B62635" w:rsidRPr="000B117C" w:rsidRDefault="00B62635" w:rsidP="00B62635">
            <w:pPr>
              <w:spacing w:afterLines="0" w:after="0" w:line="240" w:lineRule="auto"/>
              <w:rPr>
                <w:sz w:val="20"/>
                <w:szCs w:val="20"/>
              </w:rPr>
            </w:pPr>
            <w:r w:rsidRPr="000B117C">
              <w:rPr>
                <w:sz w:val="20"/>
                <w:szCs w:val="20"/>
              </w:rPr>
              <w:t>2</w:t>
            </w:r>
          </w:p>
        </w:tc>
        <w:tc>
          <w:tcPr>
            <w:tcW w:w="1965" w:type="dxa"/>
            <w:shd w:val="clear" w:color="auto" w:fill="auto"/>
          </w:tcPr>
          <w:p w:rsidR="00B62635" w:rsidRPr="000B117C" w:rsidRDefault="00B62635" w:rsidP="00B62635">
            <w:pPr>
              <w:spacing w:afterLines="0" w:after="0" w:line="240" w:lineRule="auto"/>
              <w:rPr>
                <w:sz w:val="20"/>
                <w:szCs w:val="20"/>
              </w:rPr>
            </w:pPr>
            <w:r w:rsidRPr="000B117C">
              <w:rPr>
                <w:sz w:val="20"/>
                <w:szCs w:val="20"/>
              </w:rPr>
              <w:t>2</w:t>
            </w:r>
          </w:p>
        </w:tc>
        <w:tc>
          <w:tcPr>
            <w:tcW w:w="1964" w:type="dxa"/>
            <w:shd w:val="clear" w:color="auto" w:fill="auto"/>
          </w:tcPr>
          <w:p w:rsidR="00B62635" w:rsidRPr="000B117C" w:rsidRDefault="00B62635" w:rsidP="00B62635">
            <w:pPr>
              <w:spacing w:afterLines="0" w:after="0" w:line="240" w:lineRule="auto"/>
              <w:rPr>
                <w:sz w:val="20"/>
                <w:szCs w:val="20"/>
              </w:rPr>
            </w:pPr>
            <w:r w:rsidRPr="000B117C">
              <w:rPr>
                <w:sz w:val="20"/>
                <w:szCs w:val="20"/>
              </w:rPr>
              <w:t>0</w:t>
            </w:r>
          </w:p>
        </w:tc>
        <w:tc>
          <w:tcPr>
            <w:tcW w:w="1965" w:type="dxa"/>
            <w:shd w:val="clear" w:color="auto" w:fill="auto"/>
          </w:tcPr>
          <w:p w:rsidR="00B62635" w:rsidRPr="000B117C" w:rsidRDefault="00B62635" w:rsidP="00B62635">
            <w:pPr>
              <w:spacing w:afterLines="0" w:after="0" w:line="240" w:lineRule="auto"/>
              <w:rPr>
                <w:sz w:val="20"/>
                <w:szCs w:val="20"/>
              </w:rPr>
            </w:pPr>
            <w:r w:rsidRPr="000B117C">
              <w:rPr>
                <w:sz w:val="20"/>
                <w:szCs w:val="20"/>
              </w:rPr>
              <w:t>0.5</w:t>
            </w:r>
          </w:p>
        </w:tc>
      </w:tr>
      <w:tr w:rsidR="00B62635" w:rsidRPr="000B117C" w:rsidTr="00B62635">
        <w:tc>
          <w:tcPr>
            <w:tcW w:w="1384" w:type="dxa"/>
            <w:shd w:val="clear" w:color="auto" w:fill="auto"/>
          </w:tcPr>
          <w:p w:rsidR="00B62635" w:rsidRPr="000B117C" w:rsidRDefault="00B62635" w:rsidP="00B62635">
            <w:pPr>
              <w:spacing w:afterLines="0" w:after="0" w:line="240" w:lineRule="auto"/>
              <w:rPr>
                <w:sz w:val="20"/>
                <w:szCs w:val="20"/>
              </w:rPr>
            </w:pPr>
            <w:r w:rsidRPr="000B117C">
              <w:rPr>
                <w:sz w:val="20"/>
                <w:szCs w:val="20"/>
              </w:rPr>
              <w:t>Q1 2016</w:t>
            </w:r>
          </w:p>
        </w:tc>
        <w:tc>
          <w:tcPr>
            <w:tcW w:w="1964" w:type="dxa"/>
            <w:shd w:val="clear" w:color="auto" w:fill="auto"/>
          </w:tcPr>
          <w:p w:rsidR="00B62635" w:rsidRPr="000B117C" w:rsidRDefault="00B62635" w:rsidP="00B62635">
            <w:pPr>
              <w:spacing w:afterLines="0" w:after="0" w:line="240" w:lineRule="auto"/>
              <w:rPr>
                <w:sz w:val="20"/>
                <w:szCs w:val="20"/>
              </w:rPr>
            </w:pPr>
            <w:r w:rsidRPr="000B117C">
              <w:rPr>
                <w:sz w:val="20"/>
                <w:szCs w:val="20"/>
              </w:rPr>
              <w:t>2</w:t>
            </w:r>
          </w:p>
        </w:tc>
        <w:tc>
          <w:tcPr>
            <w:tcW w:w="1965" w:type="dxa"/>
            <w:shd w:val="clear" w:color="auto" w:fill="auto"/>
          </w:tcPr>
          <w:p w:rsidR="00B62635" w:rsidRPr="000B117C" w:rsidRDefault="00B62635" w:rsidP="00B62635">
            <w:pPr>
              <w:spacing w:afterLines="0" w:after="0" w:line="240" w:lineRule="auto"/>
              <w:rPr>
                <w:sz w:val="20"/>
                <w:szCs w:val="20"/>
              </w:rPr>
            </w:pPr>
            <w:r w:rsidRPr="000B117C">
              <w:rPr>
                <w:sz w:val="20"/>
                <w:szCs w:val="20"/>
              </w:rPr>
              <w:t>2</w:t>
            </w:r>
          </w:p>
        </w:tc>
        <w:tc>
          <w:tcPr>
            <w:tcW w:w="1964" w:type="dxa"/>
            <w:shd w:val="clear" w:color="auto" w:fill="auto"/>
          </w:tcPr>
          <w:p w:rsidR="00B62635" w:rsidRPr="000B117C" w:rsidRDefault="00B62635" w:rsidP="00B62635">
            <w:pPr>
              <w:spacing w:afterLines="0" w:after="0" w:line="240" w:lineRule="auto"/>
              <w:rPr>
                <w:sz w:val="20"/>
                <w:szCs w:val="20"/>
              </w:rPr>
            </w:pPr>
            <w:r w:rsidRPr="000B117C">
              <w:rPr>
                <w:sz w:val="20"/>
                <w:szCs w:val="20"/>
              </w:rPr>
              <w:t>0</w:t>
            </w:r>
          </w:p>
        </w:tc>
        <w:tc>
          <w:tcPr>
            <w:tcW w:w="1965" w:type="dxa"/>
            <w:shd w:val="clear" w:color="auto" w:fill="auto"/>
          </w:tcPr>
          <w:p w:rsidR="00B62635" w:rsidRPr="000B117C" w:rsidRDefault="00B62635" w:rsidP="00B62635">
            <w:pPr>
              <w:spacing w:afterLines="0" w:after="0" w:line="240" w:lineRule="auto"/>
              <w:rPr>
                <w:sz w:val="20"/>
                <w:szCs w:val="20"/>
              </w:rPr>
            </w:pPr>
            <w:r w:rsidRPr="000B117C">
              <w:rPr>
                <w:sz w:val="20"/>
                <w:szCs w:val="20"/>
              </w:rPr>
              <w:t>0.5</w:t>
            </w:r>
          </w:p>
        </w:tc>
      </w:tr>
      <w:tr w:rsidR="000B117C" w:rsidRPr="000B117C" w:rsidTr="00B62635">
        <w:tc>
          <w:tcPr>
            <w:tcW w:w="1384" w:type="dxa"/>
            <w:shd w:val="clear" w:color="auto" w:fill="auto"/>
          </w:tcPr>
          <w:p w:rsidR="000B117C" w:rsidRPr="000B117C" w:rsidRDefault="000B117C" w:rsidP="00B62635">
            <w:pPr>
              <w:spacing w:afterLines="0" w:after="0" w:line="240" w:lineRule="auto"/>
              <w:rPr>
                <w:sz w:val="20"/>
                <w:szCs w:val="20"/>
              </w:rPr>
            </w:pPr>
            <w:r>
              <w:rPr>
                <w:sz w:val="20"/>
                <w:szCs w:val="20"/>
              </w:rPr>
              <w:t>Q2 2016</w:t>
            </w:r>
          </w:p>
        </w:tc>
        <w:tc>
          <w:tcPr>
            <w:tcW w:w="1964" w:type="dxa"/>
            <w:shd w:val="clear" w:color="auto" w:fill="auto"/>
          </w:tcPr>
          <w:p w:rsidR="000B117C" w:rsidRPr="000B117C" w:rsidRDefault="000B117C" w:rsidP="00B62635">
            <w:pPr>
              <w:spacing w:afterLines="0" w:after="0" w:line="240" w:lineRule="auto"/>
              <w:rPr>
                <w:sz w:val="20"/>
                <w:szCs w:val="20"/>
              </w:rPr>
            </w:pPr>
            <w:r>
              <w:rPr>
                <w:sz w:val="20"/>
                <w:szCs w:val="20"/>
              </w:rPr>
              <w:t>4</w:t>
            </w:r>
          </w:p>
        </w:tc>
        <w:tc>
          <w:tcPr>
            <w:tcW w:w="1965" w:type="dxa"/>
            <w:shd w:val="clear" w:color="auto" w:fill="auto"/>
          </w:tcPr>
          <w:p w:rsidR="000B117C" w:rsidRPr="000B117C" w:rsidRDefault="000B117C" w:rsidP="00B62635">
            <w:pPr>
              <w:spacing w:afterLines="0" w:after="0" w:line="240" w:lineRule="auto"/>
              <w:rPr>
                <w:sz w:val="20"/>
                <w:szCs w:val="20"/>
              </w:rPr>
            </w:pPr>
            <w:r>
              <w:rPr>
                <w:sz w:val="20"/>
                <w:szCs w:val="20"/>
              </w:rPr>
              <w:t>4</w:t>
            </w:r>
          </w:p>
        </w:tc>
        <w:tc>
          <w:tcPr>
            <w:tcW w:w="1964" w:type="dxa"/>
            <w:shd w:val="clear" w:color="auto" w:fill="auto"/>
          </w:tcPr>
          <w:p w:rsidR="000B117C" w:rsidRPr="000B117C" w:rsidRDefault="000B117C" w:rsidP="00B62635">
            <w:pPr>
              <w:spacing w:afterLines="0" w:after="0" w:line="240" w:lineRule="auto"/>
              <w:rPr>
                <w:sz w:val="20"/>
                <w:szCs w:val="20"/>
              </w:rPr>
            </w:pPr>
            <w:r>
              <w:rPr>
                <w:sz w:val="20"/>
                <w:szCs w:val="20"/>
              </w:rPr>
              <w:t>0</w:t>
            </w:r>
          </w:p>
        </w:tc>
        <w:tc>
          <w:tcPr>
            <w:tcW w:w="1965" w:type="dxa"/>
            <w:shd w:val="clear" w:color="auto" w:fill="auto"/>
          </w:tcPr>
          <w:p w:rsidR="000B117C" w:rsidRPr="000B117C" w:rsidRDefault="000B117C" w:rsidP="00B62635">
            <w:pPr>
              <w:spacing w:afterLines="0" w:after="0" w:line="240" w:lineRule="auto"/>
              <w:rPr>
                <w:sz w:val="20"/>
                <w:szCs w:val="20"/>
              </w:rPr>
            </w:pPr>
            <w:r>
              <w:rPr>
                <w:sz w:val="20"/>
                <w:szCs w:val="20"/>
              </w:rPr>
              <w:t>1.0</w:t>
            </w:r>
          </w:p>
        </w:tc>
      </w:tr>
    </w:tbl>
    <w:p w:rsidR="008E161C" w:rsidRDefault="008E161C" w:rsidP="00B62635">
      <w:pPr>
        <w:tabs>
          <w:tab w:val="left" w:pos="567"/>
        </w:tabs>
        <w:spacing w:afterLines="0"/>
        <w:rPr>
          <w:rFonts w:eastAsia="Times New Roman" w:cs="Times New Roman"/>
          <w:b/>
          <w:bCs/>
        </w:rPr>
      </w:pPr>
    </w:p>
    <w:p w:rsidR="00B62635" w:rsidRPr="00B62635" w:rsidRDefault="00B62635" w:rsidP="00B62635">
      <w:pPr>
        <w:tabs>
          <w:tab w:val="left" w:pos="567"/>
        </w:tabs>
        <w:spacing w:afterLines="0"/>
        <w:rPr>
          <w:rFonts w:eastAsia="Times New Roman" w:cs="Times New Roman"/>
          <w:bCs/>
        </w:rPr>
      </w:pPr>
      <w:bookmarkStart w:id="114" w:name="_Toc459796758"/>
      <w:r w:rsidRPr="00B62635">
        <w:rPr>
          <w:rFonts w:eastAsia="Times New Roman" w:cs="Times New Roman"/>
          <w:b/>
          <w:bCs/>
        </w:rPr>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556020">
        <w:rPr>
          <w:rFonts w:eastAsia="Times New Roman" w:cs="Times New Roman"/>
          <w:b/>
          <w:bCs/>
          <w:noProof/>
        </w:rPr>
        <w:t>4</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Launceston General Hospital numbers and rates per10 000 patient days of HCA-SAB</w:t>
      </w:r>
      <w:bookmarkEnd w:id="11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4 Launceston General Hospital numbers and rates per10 000 patient days of HCA-SAB"/>
      </w:tblPr>
      <w:tblGrid>
        <w:gridCol w:w="1384"/>
        <w:gridCol w:w="1964"/>
        <w:gridCol w:w="1965"/>
        <w:gridCol w:w="1964"/>
        <w:gridCol w:w="1965"/>
      </w:tblGrid>
      <w:tr w:rsidR="00B62635" w:rsidRPr="000B117C" w:rsidTr="00AD4ECF">
        <w:trPr>
          <w:tblHeader/>
        </w:trPr>
        <w:tc>
          <w:tcPr>
            <w:tcW w:w="1384" w:type="dxa"/>
          </w:tcPr>
          <w:p w:rsidR="00B62635" w:rsidRPr="000B117C" w:rsidRDefault="00B62635" w:rsidP="00B62635">
            <w:pPr>
              <w:spacing w:afterLines="0" w:after="0" w:line="240" w:lineRule="auto"/>
              <w:rPr>
                <w:b/>
                <w:sz w:val="20"/>
                <w:szCs w:val="20"/>
              </w:rPr>
            </w:pPr>
            <w:r w:rsidRPr="000B117C">
              <w:rPr>
                <w:b/>
                <w:sz w:val="20"/>
                <w:szCs w:val="20"/>
              </w:rPr>
              <w:t>Quarter</w:t>
            </w:r>
          </w:p>
        </w:tc>
        <w:tc>
          <w:tcPr>
            <w:tcW w:w="1964" w:type="dxa"/>
          </w:tcPr>
          <w:p w:rsidR="00B62635" w:rsidRPr="000B117C" w:rsidRDefault="00B62635" w:rsidP="00B62635">
            <w:pPr>
              <w:spacing w:afterLines="0" w:after="0" w:line="240" w:lineRule="auto"/>
              <w:rPr>
                <w:b/>
                <w:sz w:val="20"/>
                <w:szCs w:val="20"/>
              </w:rPr>
            </w:pPr>
            <w:r w:rsidRPr="000B117C">
              <w:rPr>
                <w:b/>
                <w:sz w:val="20"/>
                <w:szCs w:val="20"/>
              </w:rPr>
              <w:t xml:space="preserve">Total HCA-SAB </w:t>
            </w:r>
          </w:p>
        </w:tc>
        <w:tc>
          <w:tcPr>
            <w:tcW w:w="1965" w:type="dxa"/>
          </w:tcPr>
          <w:p w:rsidR="00B62635" w:rsidRPr="000B117C" w:rsidRDefault="00B62635" w:rsidP="00B62635">
            <w:pPr>
              <w:spacing w:afterLines="0" w:after="0" w:line="240" w:lineRule="auto"/>
              <w:rPr>
                <w:b/>
                <w:sz w:val="20"/>
                <w:szCs w:val="20"/>
              </w:rPr>
            </w:pPr>
            <w:r w:rsidRPr="000B117C">
              <w:rPr>
                <w:b/>
                <w:sz w:val="20"/>
                <w:szCs w:val="20"/>
              </w:rPr>
              <w:t>Number MSSA</w:t>
            </w:r>
          </w:p>
        </w:tc>
        <w:tc>
          <w:tcPr>
            <w:tcW w:w="1964" w:type="dxa"/>
          </w:tcPr>
          <w:p w:rsidR="00B62635" w:rsidRPr="000B117C" w:rsidRDefault="00B62635" w:rsidP="00B62635">
            <w:pPr>
              <w:spacing w:afterLines="0" w:after="0" w:line="240" w:lineRule="auto"/>
              <w:rPr>
                <w:b/>
                <w:sz w:val="20"/>
                <w:szCs w:val="20"/>
              </w:rPr>
            </w:pPr>
            <w:r w:rsidRPr="000B117C">
              <w:rPr>
                <w:b/>
                <w:sz w:val="20"/>
                <w:szCs w:val="20"/>
              </w:rPr>
              <w:t>Number MRSA</w:t>
            </w:r>
          </w:p>
        </w:tc>
        <w:tc>
          <w:tcPr>
            <w:tcW w:w="1965" w:type="dxa"/>
          </w:tcPr>
          <w:p w:rsidR="00B62635" w:rsidRPr="000B117C" w:rsidRDefault="00B62635" w:rsidP="00B62635">
            <w:pPr>
              <w:spacing w:afterLines="0" w:after="0" w:line="240" w:lineRule="auto"/>
              <w:rPr>
                <w:b/>
                <w:sz w:val="20"/>
                <w:szCs w:val="20"/>
              </w:rPr>
            </w:pPr>
            <w:r w:rsidRPr="000B117C">
              <w:rPr>
                <w:b/>
                <w:sz w:val="20"/>
                <w:szCs w:val="20"/>
              </w:rPr>
              <w:t>HCA SAB Rate</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Q3 2010</w:t>
            </w:r>
          </w:p>
        </w:tc>
        <w:tc>
          <w:tcPr>
            <w:tcW w:w="1964" w:type="dxa"/>
          </w:tcPr>
          <w:p w:rsidR="00B62635" w:rsidRPr="000B117C" w:rsidRDefault="00B62635" w:rsidP="00B62635">
            <w:pPr>
              <w:spacing w:afterLines="0" w:after="0" w:line="240" w:lineRule="auto"/>
              <w:rPr>
                <w:sz w:val="20"/>
                <w:szCs w:val="20"/>
              </w:rPr>
            </w:pPr>
            <w:r w:rsidRPr="000B117C">
              <w:rPr>
                <w:sz w:val="20"/>
                <w:szCs w:val="20"/>
              </w:rPr>
              <w:t>3</w:t>
            </w:r>
          </w:p>
        </w:tc>
        <w:tc>
          <w:tcPr>
            <w:tcW w:w="1965" w:type="dxa"/>
          </w:tcPr>
          <w:p w:rsidR="00B62635" w:rsidRPr="000B117C" w:rsidRDefault="00B62635" w:rsidP="00B62635">
            <w:pPr>
              <w:spacing w:afterLines="0" w:after="0" w:line="240" w:lineRule="auto"/>
              <w:rPr>
                <w:sz w:val="20"/>
                <w:szCs w:val="20"/>
              </w:rPr>
            </w:pPr>
            <w:r w:rsidRPr="000B117C">
              <w:rPr>
                <w:sz w:val="20"/>
                <w:szCs w:val="20"/>
              </w:rPr>
              <w:t>3</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1.0</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Q4 2010</w:t>
            </w:r>
          </w:p>
        </w:tc>
        <w:tc>
          <w:tcPr>
            <w:tcW w:w="1964" w:type="dxa"/>
          </w:tcPr>
          <w:p w:rsidR="00B62635" w:rsidRPr="000B117C" w:rsidRDefault="00B62635" w:rsidP="00B62635">
            <w:pPr>
              <w:spacing w:afterLines="0" w:after="0" w:line="240" w:lineRule="auto"/>
              <w:rPr>
                <w:sz w:val="20"/>
                <w:szCs w:val="20"/>
              </w:rPr>
            </w:pPr>
            <w:r w:rsidRPr="000B117C">
              <w:rPr>
                <w:sz w:val="20"/>
                <w:szCs w:val="20"/>
              </w:rPr>
              <w:t>3</w:t>
            </w:r>
          </w:p>
        </w:tc>
        <w:tc>
          <w:tcPr>
            <w:tcW w:w="1965" w:type="dxa"/>
          </w:tcPr>
          <w:p w:rsidR="00B62635" w:rsidRPr="000B117C" w:rsidRDefault="00B62635" w:rsidP="00B62635">
            <w:pPr>
              <w:spacing w:afterLines="0" w:after="0" w:line="240" w:lineRule="auto"/>
              <w:rPr>
                <w:sz w:val="20"/>
                <w:szCs w:val="20"/>
              </w:rPr>
            </w:pPr>
            <w:r w:rsidRPr="000B117C">
              <w:rPr>
                <w:sz w:val="20"/>
                <w:szCs w:val="20"/>
              </w:rPr>
              <w:t>1</w:t>
            </w:r>
          </w:p>
        </w:tc>
        <w:tc>
          <w:tcPr>
            <w:tcW w:w="1964" w:type="dxa"/>
          </w:tcPr>
          <w:p w:rsidR="00B62635" w:rsidRPr="000B117C" w:rsidRDefault="00B62635" w:rsidP="00B62635">
            <w:pPr>
              <w:spacing w:afterLines="0" w:after="0" w:line="240" w:lineRule="auto"/>
              <w:rPr>
                <w:sz w:val="20"/>
                <w:szCs w:val="20"/>
              </w:rPr>
            </w:pPr>
            <w:r w:rsidRPr="000B117C">
              <w:rPr>
                <w:sz w:val="20"/>
                <w:szCs w:val="20"/>
              </w:rPr>
              <w:t>2</w:t>
            </w:r>
          </w:p>
        </w:tc>
        <w:tc>
          <w:tcPr>
            <w:tcW w:w="1965" w:type="dxa"/>
          </w:tcPr>
          <w:p w:rsidR="00B62635" w:rsidRPr="000B117C" w:rsidRDefault="00B62635" w:rsidP="00B62635">
            <w:pPr>
              <w:spacing w:afterLines="0" w:after="0" w:line="240" w:lineRule="auto"/>
              <w:rPr>
                <w:sz w:val="20"/>
                <w:szCs w:val="20"/>
              </w:rPr>
            </w:pPr>
            <w:r w:rsidRPr="000B117C">
              <w:rPr>
                <w:sz w:val="20"/>
                <w:szCs w:val="20"/>
              </w:rPr>
              <w:t>1.1</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Q1 2011</w:t>
            </w:r>
          </w:p>
        </w:tc>
        <w:tc>
          <w:tcPr>
            <w:tcW w:w="1964" w:type="dxa"/>
          </w:tcPr>
          <w:p w:rsidR="00B62635" w:rsidRPr="000B117C" w:rsidRDefault="00B62635" w:rsidP="00B62635">
            <w:pPr>
              <w:spacing w:afterLines="0" w:after="0" w:line="240" w:lineRule="auto"/>
              <w:rPr>
                <w:sz w:val="20"/>
                <w:szCs w:val="20"/>
              </w:rPr>
            </w:pPr>
            <w:r w:rsidRPr="000B117C">
              <w:rPr>
                <w:sz w:val="20"/>
                <w:szCs w:val="20"/>
              </w:rPr>
              <w:t>5</w:t>
            </w:r>
          </w:p>
        </w:tc>
        <w:tc>
          <w:tcPr>
            <w:tcW w:w="1965" w:type="dxa"/>
          </w:tcPr>
          <w:p w:rsidR="00B62635" w:rsidRPr="000B117C" w:rsidRDefault="00B62635" w:rsidP="00B62635">
            <w:pPr>
              <w:spacing w:afterLines="0" w:after="0" w:line="240" w:lineRule="auto"/>
              <w:rPr>
                <w:sz w:val="20"/>
                <w:szCs w:val="20"/>
              </w:rPr>
            </w:pPr>
            <w:r w:rsidRPr="000B117C">
              <w:rPr>
                <w:sz w:val="20"/>
                <w:szCs w:val="20"/>
              </w:rPr>
              <w:t>5</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1.8</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Q2 2011</w:t>
            </w:r>
          </w:p>
        </w:tc>
        <w:tc>
          <w:tcPr>
            <w:tcW w:w="1964" w:type="dxa"/>
          </w:tcPr>
          <w:p w:rsidR="00B62635" w:rsidRPr="000B117C" w:rsidRDefault="00B62635" w:rsidP="00B62635">
            <w:pPr>
              <w:spacing w:afterLines="0" w:after="0" w:line="240" w:lineRule="auto"/>
              <w:rPr>
                <w:sz w:val="20"/>
                <w:szCs w:val="20"/>
              </w:rPr>
            </w:pPr>
            <w:r w:rsidRPr="000B117C">
              <w:rPr>
                <w:sz w:val="20"/>
                <w:szCs w:val="20"/>
              </w:rPr>
              <w:t>2</w:t>
            </w:r>
          </w:p>
        </w:tc>
        <w:tc>
          <w:tcPr>
            <w:tcW w:w="1965" w:type="dxa"/>
          </w:tcPr>
          <w:p w:rsidR="00B62635" w:rsidRPr="000B117C" w:rsidRDefault="00B62635" w:rsidP="00B62635">
            <w:pPr>
              <w:spacing w:afterLines="0" w:after="0" w:line="240" w:lineRule="auto"/>
              <w:rPr>
                <w:sz w:val="20"/>
                <w:szCs w:val="20"/>
              </w:rPr>
            </w:pPr>
            <w:r w:rsidRPr="000B117C">
              <w:rPr>
                <w:sz w:val="20"/>
                <w:szCs w:val="20"/>
              </w:rPr>
              <w:t>2</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0.7</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Q3 2011</w:t>
            </w:r>
          </w:p>
        </w:tc>
        <w:tc>
          <w:tcPr>
            <w:tcW w:w="1964" w:type="dxa"/>
          </w:tcPr>
          <w:p w:rsidR="00B62635" w:rsidRPr="000B117C" w:rsidRDefault="00B62635" w:rsidP="00B62635">
            <w:pPr>
              <w:spacing w:afterLines="0" w:after="0" w:line="240" w:lineRule="auto"/>
              <w:rPr>
                <w:sz w:val="20"/>
                <w:szCs w:val="20"/>
              </w:rPr>
            </w:pPr>
            <w:r w:rsidRPr="000B117C">
              <w:rPr>
                <w:sz w:val="20"/>
                <w:szCs w:val="20"/>
              </w:rPr>
              <w:t>5</w:t>
            </w:r>
          </w:p>
        </w:tc>
        <w:tc>
          <w:tcPr>
            <w:tcW w:w="1965" w:type="dxa"/>
          </w:tcPr>
          <w:p w:rsidR="00B62635" w:rsidRPr="000B117C" w:rsidRDefault="00B62635" w:rsidP="00B62635">
            <w:pPr>
              <w:spacing w:afterLines="0" w:after="0" w:line="240" w:lineRule="auto"/>
              <w:rPr>
                <w:sz w:val="20"/>
                <w:szCs w:val="20"/>
              </w:rPr>
            </w:pPr>
            <w:r w:rsidRPr="000B117C">
              <w:rPr>
                <w:sz w:val="20"/>
                <w:szCs w:val="20"/>
              </w:rPr>
              <w:t>5</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1.7</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Q4 2011</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1</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0.4</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Q1 2012</w:t>
            </w:r>
          </w:p>
        </w:tc>
        <w:tc>
          <w:tcPr>
            <w:tcW w:w="1964" w:type="dxa"/>
          </w:tcPr>
          <w:p w:rsidR="00B62635" w:rsidRPr="000B117C" w:rsidRDefault="00B62635" w:rsidP="00B62635">
            <w:pPr>
              <w:spacing w:afterLines="0" w:after="0" w:line="240" w:lineRule="auto"/>
              <w:rPr>
                <w:sz w:val="20"/>
                <w:szCs w:val="20"/>
              </w:rPr>
            </w:pPr>
            <w:r w:rsidRPr="000B117C">
              <w:rPr>
                <w:sz w:val="20"/>
                <w:szCs w:val="20"/>
              </w:rPr>
              <w:t>2</w:t>
            </w:r>
          </w:p>
        </w:tc>
        <w:tc>
          <w:tcPr>
            <w:tcW w:w="1965" w:type="dxa"/>
          </w:tcPr>
          <w:p w:rsidR="00B62635" w:rsidRPr="000B117C" w:rsidRDefault="00B62635" w:rsidP="00B62635">
            <w:pPr>
              <w:spacing w:afterLines="0" w:after="0" w:line="240" w:lineRule="auto"/>
              <w:rPr>
                <w:sz w:val="20"/>
                <w:szCs w:val="20"/>
              </w:rPr>
            </w:pPr>
            <w:r w:rsidRPr="000B117C">
              <w:rPr>
                <w:sz w:val="20"/>
                <w:szCs w:val="20"/>
              </w:rPr>
              <w:t>1</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0.8</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Q2 2012</w:t>
            </w:r>
          </w:p>
        </w:tc>
        <w:tc>
          <w:tcPr>
            <w:tcW w:w="1964" w:type="dxa"/>
          </w:tcPr>
          <w:p w:rsidR="00B62635" w:rsidRPr="000B117C" w:rsidRDefault="00B62635" w:rsidP="00B62635">
            <w:pPr>
              <w:spacing w:afterLines="0" w:after="0" w:line="240" w:lineRule="auto"/>
              <w:rPr>
                <w:sz w:val="20"/>
                <w:szCs w:val="20"/>
              </w:rPr>
            </w:pPr>
            <w:r w:rsidRPr="000B117C">
              <w:rPr>
                <w:sz w:val="20"/>
                <w:szCs w:val="20"/>
              </w:rPr>
              <w:t>2</w:t>
            </w:r>
          </w:p>
        </w:tc>
        <w:tc>
          <w:tcPr>
            <w:tcW w:w="1965" w:type="dxa"/>
          </w:tcPr>
          <w:p w:rsidR="00B62635" w:rsidRPr="000B117C" w:rsidRDefault="00B62635" w:rsidP="00B62635">
            <w:pPr>
              <w:spacing w:afterLines="0" w:after="0" w:line="240" w:lineRule="auto"/>
              <w:rPr>
                <w:sz w:val="20"/>
                <w:szCs w:val="20"/>
              </w:rPr>
            </w:pPr>
            <w:r w:rsidRPr="000B117C">
              <w:rPr>
                <w:sz w:val="20"/>
                <w:szCs w:val="20"/>
              </w:rPr>
              <w:t>2</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0.8</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Q3 2012</w:t>
            </w:r>
          </w:p>
        </w:tc>
        <w:tc>
          <w:tcPr>
            <w:tcW w:w="1964" w:type="dxa"/>
          </w:tcPr>
          <w:p w:rsidR="00B62635" w:rsidRPr="000B117C" w:rsidRDefault="00B62635" w:rsidP="00B62635">
            <w:pPr>
              <w:spacing w:afterLines="0" w:after="0" w:line="240" w:lineRule="auto"/>
              <w:rPr>
                <w:sz w:val="20"/>
                <w:szCs w:val="20"/>
              </w:rPr>
            </w:pPr>
            <w:r w:rsidRPr="000B117C">
              <w:rPr>
                <w:sz w:val="20"/>
                <w:szCs w:val="20"/>
              </w:rPr>
              <w:t>2</w:t>
            </w:r>
          </w:p>
        </w:tc>
        <w:tc>
          <w:tcPr>
            <w:tcW w:w="1965" w:type="dxa"/>
          </w:tcPr>
          <w:p w:rsidR="00B62635" w:rsidRPr="000B117C" w:rsidRDefault="00B62635" w:rsidP="00B62635">
            <w:pPr>
              <w:spacing w:afterLines="0" w:after="0" w:line="240" w:lineRule="auto"/>
              <w:rPr>
                <w:sz w:val="20"/>
                <w:szCs w:val="20"/>
              </w:rPr>
            </w:pPr>
            <w:r w:rsidRPr="000B117C">
              <w:rPr>
                <w:sz w:val="20"/>
                <w:szCs w:val="20"/>
              </w:rPr>
              <w:t>2</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0.7</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Q4 2012</w:t>
            </w:r>
          </w:p>
        </w:tc>
        <w:tc>
          <w:tcPr>
            <w:tcW w:w="1964" w:type="dxa"/>
          </w:tcPr>
          <w:p w:rsidR="00B62635" w:rsidRPr="000B117C" w:rsidRDefault="00B62635" w:rsidP="00B62635">
            <w:pPr>
              <w:spacing w:afterLines="0" w:after="0" w:line="240" w:lineRule="auto"/>
              <w:rPr>
                <w:sz w:val="20"/>
                <w:szCs w:val="20"/>
              </w:rPr>
            </w:pPr>
            <w:r w:rsidRPr="000B117C">
              <w:rPr>
                <w:sz w:val="20"/>
                <w:szCs w:val="20"/>
              </w:rPr>
              <w:t>6</w:t>
            </w:r>
          </w:p>
        </w:tc>
        <w:tc>
          <w:tcPr>
            <w:tcW w:w="1965" w:type="dxa"/>
          </w:tcPr>
          <w:p w:rsidR="00B62635" w:rsidRPr="000B117C" w:rsidRDefault="00B62635" w:rsidP="00B62635">
            <w:pPr>
              <w:spacing w:afterLines="0" w:after="0" w:line="240" w:lineRule="auto"/>
              <w:rPr>
                <w:sz w:val="20"/>
                <w:szCs w:val="20"/>
              </w:rPr>
            </w:pPr>
            <w:r w:rsidRPr="000B117C">
              <w:rPr>
                <w:sz w:val="20"/>
                <w:szCs w:val="20"/>
              </w:rPr>
              <w:t>5</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2.3</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Q1 2013</w:t>
            </w:r>
          </w:p>
        </w:tc>
        <w:tc>
          <w:tcPr>
            <w:tcW w:w="1964" w:type="dxa"/>
          </w:tcPr>
          <w:p w:rsidR="00B62635" w:rsidRPr="000B117C" w:rsidRDefault="00B62635" w:rsidP="00B62635">
            <w:pPr>
              <w:spacing w:afterLines="0" w:after="0" w:line="240" w:lineRule="auto"/>
              <w:rPr>
                <w:sz w:val="20"/>
                <w:szCs w:val="20"/>
              </w:rPr>
            </w:pPr>
            <w:r w:rsidRPr="000B117C">
              <w:rPr>
                <w:sz w:val="20"/>
                <w:szCs w:val="20"/>
              </w:rPr>
              <w:t>4</w:t>
            </w:r>
          </w:p>
        </w:tc>
        <w:tc>
          <w:tcPr>
            <w:tcW w:w="1965" w:type="dxa"/>
          </w:tcPr>
          <w:p w:rsidR="00B62635" w:rsidRPr="000B117C" w:rsidRDefault="00B62635" w:rsidP="00B62635">
            <w:pPr>
              <w:spacing w:afterLines="0" w:after="0" w:line="240" w:lineRule="auto"/>
              <w:rPr>
                <w:sz w:val="20"/>
                <w:szCs w:val="20"/>
              </w:rPr>
            </w:pPr>
            <w:r w:rsidRPr="000B117C">
              <w:rPr>
                <w:sz w:val="20"/>
                <w:szCs w:val="20"/>
              </w:rPr>
              <w:t>4</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1.5</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Q2 2013</w:t>
            </w:r>
          </w:p>
        </w:tc>
        <w:tc>
          <w:tcPr>
            <w:tcW w:w="1964" w:type="dxa"/>
          </w:tcPr>
          <w:p w:rsidR="00B62635" w:rsidRPr="000B117C" w:rsidRDefault="00B62635" w:rsidP="00B62635">
            <w:pPr>
              <w:spacing w:afterLines="0" w:after="0" w:line="240" w:lineRule="auto"/>
              <w:rPr>
                <w:sz w:val="20"/>
                <w:szCs w:val="20"/>
              </w:rPr>
            </w:pPr>
            <w:r w:rsidRPr="000B117C">
              <w:rPr>
                <w:sz w:val="20"/>
                <w:szCs w:val="20"/>
              </w:rPr>
              <w:t>4</w:t>
            </w:r>
          </w:p>
        </w:tc>
        <w:tc>
          <w:tcPr>
            <w:tcW w:w="1965" w:type="dxa"/>
          </w:tcPr>
          <w:p w:rsidR="00B62635" w:rsidRPr="000B117C" w:rsidRDefault="00B62635" w:rsidP="00B62635">
            <w:pPr>
              <w:spacing w:afterLines="0" w:after="0" w:line="240" w:lineRule="auto"/>
              <w:rPr>
                <w:sz w:val="20"/>
                <w:szCs w:val="20"/>
              </w:rPr>
            </w:pPr>
            <w:r w:rsidRPr="000B117C">
              <w:rPr>
                <w:sz w:val="20"/>
                <w:szCs w:val="20"/>
              </w:rPr>
              <w:t>3</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1.3</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Q3 2013</w:t>
            </w:r>
          </w:p>
        </w:tc>
        <w:tc>
          <w:tcPr>
            <w:tcW w:w="1964" w:type="dxa"/>
          </w:tcPr>
          <w:p w:rsidR="00B62635" w:rsidRPr="000B117C" w:rsidRDefault="00B62635" w:rsidP="00B62635">
            <w:pPr>
              <w:spacing w:afterLines="0" w:after="0" w:line="240" w:lineRule="auto"/>
              <w:rPr>
                <w:sz w:val="20"/>
                <w:szCs w:val="20"/>
              </w:rPr>
            </w:pPr>
            <w:r w:rsidRPr="000B117C">
              <w:rPr>
                <w:sz w:val="20"/>
                <w:szCs w:val="20"/>
              </w:rPr>
              <w:t>3</w:t>
            </w:r>
          </w:p>
        </w:tc>
        <w:tc>
          <w:tcPr>
            <w:tcW w:w="1965" w:type="dxa"/>
          </w:tcPr>
          <w:p w:rsidR="00B62635" w:rsidRPr="000B117C" w:rsidRDefault="00B62635" w:rsidP="00B62635">
            <w:pPr>
              <w:spacing w:afterLines="0" w:after="0" w:line="240" w:lineRule="auto"/>
              <w:rPr>
                <w:sz w:val="20"/>
                <w:szCs w:val="20"/>
              </w:rPr>
            </w:pPr>
            <w:r w:rsidRPr="000B117C">
              <w:rPr>
                <w:sz w:val="20"/>
                <w:szCs w:val="20"/>
              </w:rPr>
              <w:t>3</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1.0</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Q4 2013</w:t>
            </w:r>
          </w:p>
        </w:tc>
        <w:tc>
          <w:tcPr>
            <w:tcW w:w="1964" w:type="dxa"/>
          </w:tcPr>
          <w:p w:rsidR="00B62635" w:rsidRPr="000B117C" w:rsidRDefault="00B62635" w:rsidP="00B62635">
            <w:pPr>
              <w:spacing w:afterLines="0" w:after="0" w:line="240" w:lineRule="auto"/>
              <w:rPr>
                <w:sz w:val="20"/>
                <w:szCs w:val="20"/>
              </w:rPr>
            </w:pPr>
            <w:r w:rsidRPr="000B117C">
              <w:rPr>
                <w:sz w:val="20"/>
                <w:szCs w:val="20"/>
              </w:rPr>
              <w:t>3</w:t>
            </w:r>
          </w:p>
        </w:tc>
        <w:tc>
          <w:tcPr>
            <w:tcW w:w="1965" w:type="dxa"/>
          </w:tcPr>
          <w:p w:rsidR="00B62635" w:rsidRPr="000B117C" w:rsidRDefault="00B62635" w:rsidP="00B62635">
            <w:pPr>
              <w:spacing w:afterLines="0" w:after="0" w:line="240" w:lineRule="auto"/>
              <w:rPr>
                <w:sz w:val="20"/>
                <w:szCs w:val="20"/>
              </w:rPr>
            </w:pPr>
            <w:r w:rsidRPr="000B117C">
              <w:rPr>
                <w:sz w:val="20"/>
                <w:szCs w:val="20"/>
              </w:rPr>
              <w:t>3</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1.0</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Q1 2014</w:t>
            </w:r>
          </w:p>
        </w:tc>
        <w:tc>
          <w:tcPr>
            <w:tcW w:w="1964" w:type="dxa"/>
          </w:tcPr>
          <w:p w:rsidR="00B62635" w:rsidRPr="000B117C" w:rsidRDefault="00B62635" w:rsidP="00B62635">
            <w:pPr>
              <w:spacing w:afterLines="0" w:after="0" w:line="240" w:lineRule="auto"/>
              <w:rPr>
                <w:sz w:val="20"/>
                <w:szCs w:val="20"/>
              </w:rPr>
            </w:pPr>
            <w:r w:rsidRPr="000B117C">
              <w:rPr>
                <w:sz w:val="20"/>
                <w:szCs w:val="20"/>
              </w:rPr>
              <w:t>4</w:t>
            </w:r>
          </w:p>
        </w:tc>
        <w:tc>
          <w:tcPr>
            <w:tcW w:w="1965" w:type="dxa"/>
          </w:tcPr>
          <w:p w:rsidR="00B62635" w:rsidRPr="000B117C" w:rsidRDefault="00B62635" w:rsidP="00B62635">
            <w:pPr>
              <w:spacing w:afterLines="0" w:after="0" w:line="240" w:lineRule="auto"/>
              <w:rPr>
                <w:sz w:val="20"/>
                <w:szCs w:val="20"/>
              </w:rPr>
            </w:pPr>
            <w:r w:rsidRPr="000B117C">
              <w:rPr>
                <w:sz w:val="20"/>
                <w:szCs w:val="20"/>
              </w:rPr>
              <w:t>4</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1.4</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Q2 2014</w:t>
            </w:r>
          </w:p>
        </w:tc>
        <w:tc>
          <w:tcPr>
            <w:tcW w:w="1964" w:type="dxa"/>
          </w:tcPr>
          <w:p w:rsidR="00B62635" w:rsidRPr="000B117C" w:rsidRDefault="00B62635" w:rsidP="00B62635">
            <w:pPr>
              <w:spacing w:afterLines="0" w:after="0" w:line="240" w:lineRule="auto"/>
              <w:rPr>
                <w:sz w:val="20"/>
                <w:szCs w:val="20"/>
              </w:rPr>
            </w:pPr>
            <w:r w:rsidRPr="000B117C">
              <w:rPr>
                <w:sz w:val="20"/>
                <w:szCs w:val="20"/>
              </w:rPr>
              <w:t>3</w:t>
            </w:r>
          </w:p>
        </w:tc>
        <w:tc>
          <w:tcPr>
            <w:tcW w:w="1965" w:type="dxa"/>
          </w:tcPr>
          <w:p w:rsidR="00B62635" w:rsidRPr="000B117C" w:rsidRDefault="00B62635" w:rsidP="00B62635">
            <w:pPr>
              <w:spacing w:afterLines="0" w:after="0" w:line="240" w:lineRule="auto"/>
              <w:rPr>
                <w:sz w:val="20"/>
                <w:szCs w:val="20"/>
              </w:rPr>
            </w:pPr>
            <w:r w:rsidRPr="000B117C">
              <w:rPr>
                <w:sz w:val="20"/>
                <w:szCs w:val="20"/>
              </w:rPr>
              <w:t>2</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1.0</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Q3 2014</w:t>
            </w:r>
          </w:p>
        </w:tc>
        <w:tc>
          <w:tcPr>
            <w:tcW w:w="1964" w:type="dxa"/>
          </w:tcPr>
          <w:p w:rsidR="00B62635" w:rsidRPr="000B117C" w:rsidRDefault="00B62635" w:rsidP="00B62635">
            <w:pPr>
              <w:spacing w:afterLines="0" w:after="0" w:line="240" w:lineRule="auto"/>
              <w:rPr>
                <w:sz w:val="20"/>
                <w:szCs w:val="20"/>
              </w:rPr>
            </w:pPr>
            <w:r w:rsidRPr="000B117C">
              <w:rPr>
                <w:sz w:val="20"/>
                <w:szCs w:val="20"/>
              </w:rPr>
              <w:t>2</w:t>
            </w:r>
          </w:p>
        </w:tc>
        <w:tc>
          <w:tcPr>
            <w:tcW w:w="1965" w:type="dxa"/>
          </w:tcPr>
          <w:p w:rsidR="00B62635" w:rsidRPr="000B117C" w:rsidRDefault="00B62635" w:rsidP="00B62635">
            <w:pPr>
              <w:spacing w:afterLines="0" w:after="0" w:line="240" w:lineRule="auto"/>
              <w:rPr>
                <w:sz w:val="20"/>
                <w:szCs w:val="20"/>
              </w:rPr>
            </w:pPr>
            <w:r w:rsidRPr="000B117C">
              <w:rPr>
                <w:sz w:val="20"/>
                <w:szCs w:val="20"/>
              </w:rPr>
              <w:t>2</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0.6</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Q4 2014</w:t>
            </w:r>
          </w:p>
        </w:tc>
        <w:tc>
          <w:tcPr>
            <w:tcW w:w="1964" w:type="dxa"/>
          </w:tcPr>
          <w:p w:rsidR="00B62635" w:rsidRPr="000B117C" w:rsidRDefault="00B62635" w:rsidP="00B62635">
            <w:pPr>
              <w:spacing w:afterLines="0" w:after="0" w:line="240" w:lineRule="auto"/>
              <w:rPr>
                <w:sz w:val="20"/>
                <w:szCs w:val="20"/>
              </w:rPr>
            </w:pPr>
            <w:r w:rsidRPr="000B117C">
              <w:rPr>
                <w:sz w:val="20"/>
                <w:szCs w:val="20"/>
              </w:rPr>
              <w:t>2</w:t>
            </w:r>
          </w:p>
        </w:tc>
        <w:tc>
          <w:tcPr>
            <w:tcW w:w="1965" w:type="dxa"/>
          </w:tcPr>
          <w:p w:rsidR="00B62635" w:rsidRPr="000B117C" w:rsidRDefault="00B62635" w:rsidP="00B62635">
            <w:pPr>
              <w:spacing w:afterLines="0" w:after="0" w:line="240" w:lineRule="auto"/>
              <w:rPr>
                <w:sz w:val="20"/>
                <w:szCs w:val="20"/>
              </w:rPr>
            </w:pPr>
            <w:r w:rsidRPr="000B117C">
              <w:rPr>
                <w:sz w:val="20"/>
                <w:szCs w:val="20"/>
              </w:rPr>
              <w:t>2</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0.7</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Q1 2015</w:t>
            </w:r>
          </w:p>
        </w:tc>
        <w:tc>
          <w:tcPr>
            <w:tcW w:w="1964" w:type="dxa"/>
          </w:tcPr>
          <w:p w:rsidR="00B62635" w:rsidRPr="000B117C" w:rsidRDefault="00B62635" w:rsidP="00B62635">
            <w:pPr>
              <w:spacing w:afterLines="0" w:after="0" w:line="240" w:lineRule="auto"/>
              <w:rPr>
                <w:sz w:val="20"/>
                <w:szCs w:val="20"/>
              </w:rPr>
            </w:pPr>
            <w:r w:rsidRPr="000B117C">
              <w:rPr>
                <w:sz w:val="20"/>
                <w:szCs w:val="20"/>
              </w:rPr>
              <w:t>5</w:t>
            </w:r>
          </w:p>
        </w:tc>
        <w:tc>
          <w:tcPr>
            <w:tcW w:w="1965" w:type="dxa"/>
          </w:tcPr>
          <w:p w:rsidR="00B62635" w:rsidRPr="000B117C" w:rsidRDefault="00B62635" w:rsidP="00B62635">
            <w:pPr>
              <w:spacing w:afterLines="0" w:after="0" w:line="240" w:lineRule="auto"/>
              <w:rPr>
                <w:sz w:val="20"/>
                <w:szCs w:val="20"/>
              </w:rPr>
            </w:pPr>
            <w:r w:rsidRPr="000B117C">
              <w:rPr>
                <w:sz w:val="20"/>
                <w:szCs w:val="20"/>
              </w:rPr>
              <w:t>5</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1.6</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Q2 2015</w:t>
            </w:r>
          </w:p>
        </w:tc>
        <w:tc>
          <w:tcPr>
            <w:tcW w:w="1964" w:type="dxa"/>
          </w:tcPr>
          <w:p w:rsidR="00B62635" w:rsidRPr="000B117C" w:rsidRDefault="00B62635" w:rsidP="00B62635">
            <w:pPr>
              <w:spacing w:afterLines="0" w:after="0" w:line="240" w:lineRule="auto"/>
              <w:rPr>
                <w:sz w:val="20"/>
                <w:szCs w:val="20"/>
              </w:rPr>
            </w:pPr>
            <w:r w:rsidRPr="000B117C">
              <w:rPr>
                <w:sz w:val="20"/>
                <w:szCs w:val="20"/>
              </w:rPr>
              <w:t>4</w:t>
            </w:r>
          </w:p>
        </w:tc>
        <w:tc>
          <w:tcPr>
            <w:tcW w:w="1965" w:type="dxa"/>
          </w:tcPr>
          <w:p w:rsidR="00B62635" w:rsidRPr="000B117C" w:rsidRDefault="00B62635" w:rsidP="00B62635">
            <w:pPr>
              <w:spacing w:afterLines="0" w:after="0" w:line="240" w:lineRule="auto"/>
              <w:rPr>
                <w:sz w:val="20"/>
                <w:szCs w:val="20"/>
              </w:rPr>
            </w:pPr>
            <w:r w:rsidRPr="000B117C">
              <w:rPr>
                <w:sz w:val="20"/>
                <w:szCs w:val="20"/>
              </w:rPr>
              <w:t>2</w:t>
            </w:r>
          </w:p>
        </w:tc>
        <w:tc>
          <w:tcPr>
            <w:tcW w:w="1964" w:type="dxa"/>
          </w:tcPr>
          <w:p w:rsidR="00B62635" w:rsidRPr="000B117C" w:rsidRDefault="00B62635" w:rsidP="00B62635">
            <w:pPr>
              <w:spacing w:afterLines="0" w:after="0" w:line="240" w:lineRule="auto"/>
              <w:rPr>
                <w:sz w:val="20"/>
                <w:szCs w:val="20"/>
              </w:rPr>
            </w:pPr>
            <w:r w:rsidRPr="000B117C">
              <w:rPr>
                <w:sz w:val="20"/>
                <w:szCs w:val="20"/>
              </w:rPr>
              <w:t>2</w:t>
            </w:r>
          </w:p>
        </w:tc>
        <w:tc>
          <w:tcPr>
            <w:tcW w:w="1965" w:type="dxa"/>
          </w:tcPr>
          <w:p w:rsidR="00B62635" w:rsidRPr="000B117C" w:rsidRDefault="00B62635" w:rsidP="00B62635">
            <w:pPr>
              <w:spacing w:afterLines="0" w:after="0" w:line="240" w:lineRule="auto"/>
              <w:rPr>
                <w:sz w:val="20"/>
                <w:szCs w:val="20"/>
              </w:rPr>
            </w:pPr>
            <w:r w:rsidRPr="000B117C">
              <w:rPr>
                <w:sz w:val="20"/>
                <w:szCs w:val="20"/>
              </w:rPr>
              <w:t>1.3</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Q3 2015</w:t>
            </w:r>
          </w:p>
        </w:tc>
        <w:tc>
          <w:tcPr>
            <w:tcW w:w="1964" w:type="dxa"/>
          </w:tcPr>
          <w:p w:rsidR="00B62635" w:rsidRPr="000B117C" w:rsidRDefault="00B62635" w:rsidP="00B62635">
            <w:pPr>
              <w:spacing w:afterLines="0" w:after="0" w:line="240" w:lineRule="auto"/>
              <w:rPr>
                <w:sz w:val="20"/>
                <w:szCs w:val="20"/>
              </w:rPr>
            </w:pPr>
            <w:r w:rsidRPr="000B117C">
              <w:rPr>
                <w:sz w:val="20"/>
                <w:szCs w:val="20"/>
              </w:rPr>
              <w:t>5</w:t>
            </w:r>
          </w:p>
        </w:tc>
        <w:tc>
          <w:tcPr>
            <w:tcW w:w="1965" w:type="dxa"/>
          </w:tcPr>
          <w:p w:rsidR="00B62635" w:rsidRPr="000B117C" w:rsidRDefault="00B62635" w:rsidP="00B62635">
            <w:pPr>
              <w:spacing w:afterLines="0" w:after="0" w:line="240" w:lineRule="auto"/>
              <w:rPr>
                <w:sz w:val="20"/>
                <w:szCs w:val="20"/>
              </w:rPr>
            </w:pPr>
            <w:r w:rsidRPr="000B117C">
              <w:rPr>
                <w:sz w:val="20"/>
                <w:szCs w:val="20"/>
              </w:rPr>
              <w:t>3</w:t>
            </w:r>
          </w:p>
        </w:tc>
        <w:tc>
          <w:tcPr>
            <w:tcW w:w="1964" w:type="dxa"/>
          </w:tcPr>
          <w:p w:rsidR="00B62635" w:rsidRPr="000B117C" w:rsidRDefault="00B62635" w:rsidP="00B62635">
            <w:pPr>
              <w:spacing w:afterLines="0" w:after="0" w:line="240" w:lineRule="auto"/>
              <w:rPr>
                <w:sz w:val="20"/>
                <w:szCs w:val="20"/>
              </w:rPr>
            </w:pPr>
            <w:r w:rsidRPr="000B117C">
              <w:rPr>
                <w:sz w:val="20"/>
                <w:szCs w:val="20"/>
              </w:rPr>
              <w:t>2</w:t>
            </w:r>
          </w:p>
        </w:tc>
        <w:tc>
          <w:tcPr>
            <w:tcW w:w="1965" w:type="dxa"/>
          </w:tcPr>
          <w:p w:rsidR="00B62635" w:rsidRPr="000B117C" w:rsidRDefault="00B62635" w:rsidP="00B62635">
            <w:pPr>
              <w:spacing w:afterLines="0" w:after="0" w:line="240" w:lineRule="auto"/>
              <w:rPr>
                <w:sz w:val="20"/>
                <w:szCs w:val="20"/>
              </w:rPr>
            </w:pPr>
            <w:r w:rsidRPr="000B117C">
              <w:rPr>
                <w:sz w:val="20"/>
                <w:szCs w:val="20"/>
              </w:rPr>
              <w:t>1.5</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Q4 2015</w:t>
            </w:r>
          </w:p>
        </w:tc>
        <w:tc>
          <w:tcPr>
            <w:tcW w:w="1964" w:type="dxa"/>
          </w:tcPr>
          <w:p w:rsidR="00B62635" w:rsidRPr="000B117C" w:rsidRDefault="00B62635" w:rsidP="00B62635">
            <w:pPr>
              <w:spacing w:afterLines="0" w:after="0" w:line="240" w:lineRule="auto"/>
              <w:rPr>
                <w:sz w:val="20"/>
                <w:szCs w:val="20"/>
              </w:rPr>
            </w:pPr>
            <w:r w:rsidRPr="000B117C">
              <w:rPr>
                <w:sz w:val="20"/>
                <w:szCs w:val="20"/>
              </w:rPr>
              <w:t>2</w:t>
            </w:r>
          </w:p>
        </w:tc>
        <w:tc>
          <w:tcPr>
            <w:tcW w:w="1965" w:type="dxa"/>
          </w:tcPr>
          <w:p w:rsidR="00B62635" w:rsidRPr="000B117C" w:rsidRDefault="00B62635" w:rsidP="00B62635">
            <w:pPr>
              <w:spacing w:afterLines="0" w:after="0" w:line="240" w:lineRule="auto"/>
              <w:rPr>
                <w:sz w:val="20"/>
                <w:szCs w:val="20"/>
              </w:rPr>
            </w:pPr>
            <w:r w:rsidRPr="000B117C">
              <w:rPr>
                <w:sz w:val="20"/>
                <w:szCs w:val="20"/>
              </w:rPr>
              <w:t>1</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0.6</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Q1 2016</w:t>
            </w:r>
          </w:p>
        </w:tc>
        <w:tc>
          <w:tcPr>
            <w:tcW w:w="1964" w:type="dxa"/>
          </w:tcPr>
          <w:p w:rsidR="00B62635" w:rsidRPr="000B117C" w:rsidRDefault="00B62635" w:rsidP="00B62635">
            <w:pPr>
              <w:spacing w:afterLines="0" w:after="0" w:line="240" w:lineRule="auto"/>
              <w:rPr>
                <w:sz w:val="20"/>
                <w:szCs w:val="20"/>
              </w:rPr>
            </w:pPr>
            <w:r w:rsidRPr="000B117C">
              <w:rPr>
                <w:sz w:val="20"/>
                <w:szCs w:val="20"/>
              </w:rPr>
              <w:t>5</w:t>
            </w:r>
          </w:p>
        </w:tc>
        <w:tc>
          <w:tcPr>
            <w:tcW w:w="1965" w:type="dxa"/>
          </w:tcPr>
          <w:p w:rsidR="00B62635" w:rsidRPr="000B117C" w:rsidRDefault="00B62635" w:rsidP="00B62635">
            <w:pPr>
              <w:spacing w:afterLines="0" w:after="0" w:line="240" w:lineRule="auto"/>
              <w:rPr>
                <w:sz w:val="20"/>
                <w:szCs w:val="20"/>
              </w:rPr>
            </w:pPr>
            <w:r w:rsidRPr="000B117C">
              <w:rPr>
                <w:sz w:val="20"/>
                <w:szCs w:val="20"/>
              </w:rPr>
              <w:t>3</w:t>
            </w:r>
          </w:p>
        </w:tc>
        <w:tc>
          <w:tcPr>
            <w:tcW w:w="1964" w:type="dxa"/>
          </w:tcPr>
          <w:p w:rsidR="00B62635" w:rsidRPr="000B117C" w:rsidRDefault="00B62635" w:rsidP="00B62635">
            <w:pPr>
              <w:spacing w:afterLines="0" w:after="0" w:line="240" w:lineRule="auto"/>
              <w:rPr>
                <w:sz w:val="20"/>
                <w:szCs w:val="20"/>
              </w:rPr>
            </w:pPr>
            <w:r w:rsidRPr="000B117C">
              <w:rPr>
                <w:sz w:val="20"/>
                <w:szCs w:val="20"/>
              </w:rPr>
              <w:t>2</w:t>
            </w:r>
          </w:p>
        </w:tc>
        <w:tc>
          <w:tcPr>
            <w:tcW w:w="1965" w:type="dxa"/>
          </w:tcPr>
          <w:p w:rsidR="00B62635" w:rsidRPr="000B117C" w:rsidRDefault="00B62635" w:rsidP="00B62635">
            <w:pPr>
              <w:spacing w:afterLines="0" w:after="0" w:line="240" w:lineRule="auto"/>
              <w:rPr>
                <w:sz w:val="20"/>
                <w:szCs w:val="20"/>
              </w:rPr>
            </w:pPr>
            <w:r w:rsidRPr="000B117C">
              <w:rPr>
                <w:sz w:val="20"/>
                <w:szCs w:val="20"/>
              </w:rPr>
              <w:t>1.6</w:t>
            </w:r>
          </w:p>
        </w:tc>
      </w:tr>
      <w:tr w:rsidR="000B117C" w:rsidRPr="000B117C" w:rsidTr="00B62635">
        <w:tc>
          <w:tcPr>
            <w:tcW w:w="1384" w:type="dxa"/>
          </w:tcPr>
          <w:p w:rsidR="000B117C" w:rsidRPr="000B117C" w:rsidRDefault="000B117C" w:rsidP="00B62635">
            <w:pPr>
              <w:spacing w:afterLines="0" w:after="0" w:line="240" w:lineRule="auto"/>
              <w:rPr>
                <w:sz w:val="20"/>
                <w:szCs w:val="20"/>
              </w:rPr>
            </w:pPr>
            <w:r>
              <w:rPr>
                <w:sz w:val="20"/>
                <w:szCs w:val="20"/>
              </w:rPr>
              <w:t>Q2 2016</w:t>
            </w:r>
          </w:p>
        </w:tc>
        <w:tc>
          <w:tcPr>
            <w:tcW w:w="1964" w:type="dxa"/>
          </w:tcPr>
          <w:p w:rsidR="000B117C" w:rsidRPr="000B117C" w:rsidRDefault="000B117C" w:rsidP="00B62635">
            <w:pPr>
              <w:spacing w:afterLines="0" w:after="0" w:line="240" w:lineRule="auto"/>
              <w:rPr>
                <w:sz w:val="20"/>
                <w:szCs w:val="20"/>
              </w:rPr>
            </w:pPr>
            <w:r>
              <w:rPr>
                <w:sz w:val="20"/>
                <w:szCs w:val="20"/>
              </w:rPr>
              <w:t>4</w:t>
            </w:r>
          </w:p>
        </w:tc>
        <w:tc>
          <w:tcPr>
            <w:tcW w:w="1965" w:type="dxa"/>
          </w:tcPr>
          <w:p w:rsidR="000B117C" w:rsidRPr="000B117C" w:rsidRDefault="000B117C" w:rsidP="00B62635">
            <w:pPr>
              <w:spacing w:afterLines="0" w:after="0" w:line="240" w:lineRule="auto"/>
              <w:rPr>
                <w:sz w:val="20"/>
                <w:szCs w:val="20"/>
              </w:rPr>
            </w:pPr>
            <w:r>
              <w:rPr>
                <w:sz w:val="20"/>
                <w:szCs w:val="20"/>
              </w:rPr>
              <w:t>4</w:t>
            </w:r>
          </w:p>
        </w:tc>
        <w:tc>
          <w:tcPr>
            <w:tcW w:w="1964" w:type="dxa"/>
          </w:tcPr>
          <w:p w:rsidR="000B117C" w:rsidRPr="000B117C" w:rsidRDefault="000B117C" w:rsidP="00B62635">
            <w:pPr>
              <w:spacing w:afterLines="0" w:after="0" w:line="240" w:lineRule="auto"/>
              <w:rPr>
                <w:sz w:val="20"/>
                <w:szCs w:val="20"/>
              </w:rPr>
            </w:pPr>
            <w:r>
              <w:rPr>
                <w:sz w:val="20"/>
                <w:szCs w:val="20"/>
              </w:rPr>
              <w:t>0</w:t>
            </w:r>
          </w:p>
        </w:tc>
        <w:tc>
          <w:tcPr>
            <w:tcW w:w="1965" w:type="dxa"/>
          </w:tcPr>
          <w:p w:rsidR="000B117C" w:rsidRPr="000B117C" w:rsidRDefault="000B117C" w:rsidP="00B62635">
            <w:pPr>
              <w:spacing w:afterLines="0" w:after="0" w:line="240" w:lineRule="auto"/>
              <w:rPr>
                <w:sz w:val="20"/>
                <w:szCs w:val="20"/>
              </w:rPr>
            </w:pPr>
            <w:r>
              <w:rPr>
                <w:sz w:val="20"/>
                <w:szCs w:val="20"/>
              </w:rPr>
              <w:t>1.2</w:t>
            </w:r>
          </w:p>
        </w:tc>
      </w:tr>
    </w:tbl>
    <w:p w:rsidR="00B62635" w:rsidRPr="00B62635" w:rsidRDefault="00B62635" w:rsidP="008E161C">
      <w:pPr>
        <w:spacing w:afterLines="0"/>
        <w:ind w:left="-426"/>
        <w:rPr>
          <w:rFonts w:eastAsia="Times New Roman" w:cs="Times New Roman"/>
          <w:bCs/>
        </w:rPr>
      </w:pPr>
      <w:bookmarkStart w:id="115" w:name="_Toc459796759"/>
      <w:r w:rsidRPr="00B62635">
        <w:rPr>
          <w:rFonts w:eastAsia="Times New Roman" w:cs="Times New Roman"/>
          <w:b/>
          <w:bCs/>
        </w:rPr>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556020">
        <w:rPr>
          <w:rFonts w:eastAsia="Times New Roman" w:cs="Times New Roman"/>
          <w:b/>
          <w:bCs/>
          <w:noProof/>
        </w:rPr>
        <w:t>5</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Mersey Community Hospital numbers and rates per10 000 patient days of HCA-SAB</w:t>
      </w:r>
      <w:bookmarkEnd w:id="11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5 Mersey Community Hospital numbers and rates per10 000 patient days of HCA-SAB"/>
      </w:tblPr>
      <w:tblGrid>
        <w:gridCol w:w="1384"/>
        <w:gridCol w:w="1964"/>
        <w:gridCol w:w="1965"/>
        <w:gridCol w:w="1964"/>
        <w:gridCol w:w="1965"/>
      </w:tblGrid>
      <w:tr w:rsidR="00B62635" w:rsidRPr="000B117C" w:rsidTr="00AD4ECF">
        <w:trPr>
          <w:tblHeader/>
        </w:trPr>
        <w:tc>
          <w:tcPr>
            <w:tcW w:w="1384" w:type="dxa"/>
          </w:tcPr>
          <w:p w:rsidR="00B62635" w:rsidRPr="000B117C" w:rsidRDefault="00B62635" w:rsidP="000B117C">
            <w:pPr>
              <w:spacing w:afterLines="0" w:after="0" w:line="240" w:lineRule="auto"/>
              <w:rPr>
                <w:b/>
                <w:sz w:val="20"/>
                <w:szCs w:val="20"/>
              </w:rPr>
            </w:pPr>
            <w:r w:rsidRPr="000B117C">
              <w:rPr>
                <w:b/>
                <w:sz w:val="20"/>
                <w:szCs w:val="20"/>
              </w:rPr>
              <w:t>Quarter</w:t>
            </w:r>
          </w:p>
        </w:tc>
        <w:tc>
          <w:tcPr>
            <w:tcW w:w="1964" w:type="dxa"/>
          </w:tcPr>
          <w:p w:rsidR="00B62635" w:rsidRPr="000B117C" w:rsidRDefault="00B62635" w:rsidP="000B117C">
            <w:pPr>
              <w:spacing w:afterLines="0" w:after="0" w:line="240" w:lineRule="auto"/>
              <w:rPr>
                <w:b/>
                <w:sz w:val="20"/>
                <w:szCs w:val="20"/>
              </w:rPr>
            </w:pPr>
            <w:r w:rsidRPr="000B117C">
              <w:rPr>
                <w:b/>
                <w:sz w:val="20"/>
                <w:szCs w:val="20"/>
              </w:rPr>
              <w:t xml:space="preserve">Total HCA-SAB </w:t>
            </w:r>
          </w:p>
        </w:tc>
        <w:tc>
          <w:tcPr>
            <w:tcW w:w="1965" w:type="dxa"/>
          </w:tcPr>
          <w:p w:rsidR="00B62635" w:rsidRPr="000B117C" w:rsidRDefault="00B62635" w:rsidP="000B117C">
            <w:pPr>
              <w:spacing w:afterLines="0" w:after="0" w:line="240" w:lineRule="auto"/>
              <w:rPr>
                <w:b/>
                <w:sz w:val="20"/>
                <w:szCs w:val="20"/>
              </w:rPr>
            </w:pPr>
            <w:r w:rsidRPr="000B117C">
              <w:rPr>
                <w:b/>
                <w:sz w:val="20"/>
                <w:szCs w:val="20"/>
              </w:rPr>
              <w:t>Number MSSA</w:t>
            </w:r>
          </w:p>
        </w:tc>
        <w:tc>
          <w:tcPr>
            <w:tcW w:w="1964" w:type="dxa"/>
          </w:tcPr>
          <w:p w:rsidR="00B62635" w:rsidRPr="000B117C" w:rsidRDefault="00B62635" w:rsidP="000B117C">
            <w:pPr>
              <w:spacing w:afterLines="0" w:after="0" w:line="240" w:lineRule="auto"/>
              <w:rPr>
                <w:b/>
                <w:sz w:val="20"/>
                <w:szCs w:val="20"/>
              </w:rPr>
            </w:pPr>
            <w:r w:rsidRPr="000B117C">
              <w:rPr>
                <w:b/>
                <w:sz w:val="20"/>
                <w:szCs w:val="20"/>
              </w:rPr>
              <w:t>Number MRSA</w:t>
            </w:r>
          </w:p>
        </w:tc>
        <w:tc>
          <w:tcPr>
            <w:tcW w:w="1965" w:type="dxa"/>
          </w:tcPr>
          <w:p w:rsidR="00B62635" w:rsidRPr="000B117C" w:rsidRDefault="00B62635" w:rsidP="000B117C">
            <w:pPr>
              <w:spacing w:afterLines="0" w:after="0" w:line="240" w:lineRule="auto"/>
              <w:rPr>
                <w:b/>
                <w:sz w:val="20"/>
                <w:szCs w:val="20"/>
              </w:rPr>
            </w:pPr>
            <w:r w:rsidRPr="000B117C">
              <w:rPr>
                <w:b/>
                <w:sz w:val="20"/>
                <w:szCs w:val="20"/>
              </w:rPr>
              <w:t>HCA SAB Rate</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Q3 2010</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1</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1.6</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Q4 2010</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0.0</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Q1 2011</w:t>
            </w:r>
          </w:p>
        </w:tc>
        <w:tc>
          <w:tcPr>
            <w:tcW w:w="1964" w:type="dxa"/>
          </w:tcPr>
          <w:p w:rsidR="00B62635" w:rsidRPr="000B117C" w:rsidRDefault="00B62635" w:rsidP="00B62635">
            <w:pPr>
              <w:spacing w:afterLines="0" w:after="0" w:line="240" w:lineRule="auto"/>
              <w:rPr>
                <w:sz w:val="20"/>
                <w:szCs w:val="20"/>
              </w:rPr>
            </w:pPr>
            <w:r w:rsidRPr="000B117C">
              <w:rPr>
                <w:sz w:val="20"/>
                <w:szCs w:val="20"/>
              </w:rPr>
              <w:t>3</w:t>
            </w:r>
          </w:p>
        </w:tc>
        <w:tc>
          <w:tcPr>
            <w:tcW w:w="1965" w:type="dxa"/>
          </w:tcPr>
          <w:p w:rsidR="00B62635" w:rsidRPr="000B117C" w:rsidRDefault="00B62635" w:rsidP="00B62635">
            <w:pPr>
              <w:spacing w:afterLines="0" w:after="0" w:line="240" w:lineRule="auto"/>
              <w:rPr>
                <w:sz w:val="20"/>
                <w:szCs w:val="20"/>
              </w:rPr>
            </w:pPr>
            <w:r w:rsidRPr="000B117C">
              <w:rPr>
                <w:sz w:val="20"/>
                <w:szCs w:val="20"/>
              </w:rPr>
              <w:t>3</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4.6</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Q2 2011</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0.0</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Q3 2011</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0.0</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Q4 2011</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0</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1.8</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Q1 2012</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1</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1.9</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Q2 2012</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1</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1.7</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Q3 2012</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1</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1.6</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Q4 2012</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0.0</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Q1 2013</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0.0</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Q2 2013</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0.0</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Q3 2013</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0.0</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Q4 2013</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0.0</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Q1 2014</w:t>
            </w:r>
          </w:p>
        </w:tc>
        <w:tc>
          <w:tcPr>
            <w:tcW w:w="1964" w:type="dxa"/>
          </w:tcPr>
          <w:p w:rsidR="00B62635" w:rsidRPr="000B117C" w:rsidRDefault="00B62635" w:rsidP="00B62635">
            <w:pPr>
              <w:spacing w:afterLines="0" w:after="0" w:line="240" w:lineRule="auto"/>
              <w:rPr>
                <w:sz w:val="20"/>
                <w:szCs w:val="20"/>
              </w:rPr>
            </w:pPr>
            <w:r w:rsidRPr="000B117C">
              <w:rPr>
                <w:sz w:val="20"/>
                <w:szCs w:val="20"/>
              </w:rPr>
              <w:t>2</w:t>
            </w:r>
          </w:p>
        </w:tc>
        <w:tc>
          <w:tcPr>
            <w:tcW w:w="1965" w:type="dxa"/>
          </w:tcPr>
          <w:p w:rsidR="00B62635" w:rsidRPr="000B117C" w:rsidRDefault="00B62635" w:rsidP="00B62635">
            <w:pPr>
              <w:spacing w:afterLines="0" w:after="0" w:line="240" w:lineRule="auto"/>
              <w:rPr>
                <w:sz w:val="20"/>
                <w:szCs w:val="20"/>
              </w:rPr>
            </w:pPr>
            <w:r w:rsidRPr="000B117C">
              <w:rPr>
                <w:sz w:val="20"/>
                <w:szCs w:val="20"/>
              </w:rPr>
              <w:t>2</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3.9</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Q2 2014</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0.0</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Q3 2014</w:t>
            </w:r>
          </w:p>
        </w:tc>
        <w:tc>
          <w:tcPr>
            <w:tcW w:w="1964" w:type="dxa"/>
          </w:tcPr>
          <w:p w:rsidR="00B62635" w:rsidRPr="000B117C" w:rsidRDefault="00B62635" w:rsidP="00B62635">
            <w:pPr>
              <w:spacing w:afterLines="0" w:after="0" w:line="240" w:lineRule="auto"/>
              <w:rPr>
                <w:sz w:val="20"/>
                <w:szCs w:val="20"/>
              </w:rPr>
            </w:pPr>
            <w:r w:rsidRPr="000B117C">
              <w:rPr>
                <w:sz w:val="20"/>
                <w:szCs w:val="20"/>
              </w:rPr>
              <w:t>2</w:t>
            </w:r>
          </w:p>
        </w:tc>
        <w:tc>
          <w:tcPr>
            <w:tcW w:w="1965" w:type="dxa"/>
          </w:tcPr>
          <w:p w:rsidR="00B62635" w:rsidRPr="000B117C" w:rsidRDefault="00B62635" w:rsidP="00B62635">
            <w:pPr>
              <w:spacing w:afterLines="0" w:after="0" w:line="240" w:lineRule="auto"/>
              <w:rPr>
                <w:sz w:val="20"/>
                <w:szCs w:val="20"/>
              </w:rPr>
            </w:pPr>
            <w:r w:rsidRPr="000B117C">
              <w:rPr>
                <w:sz w:val="20"/>
                <w:szCs w:val="20"/>
              </w:rPr>
              <w:t>2</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3.2</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Q4 2014</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1</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1.7</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Q1 2015</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1</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1.7</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Q2 2015</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0.0</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Q3 2015</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1</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1.5</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Q4 2015</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1</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1.7</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Q1 2016</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1</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2.0</w:t>
            </w:r>
          </w:p>
        </w:tc>
      </w:tr>
      <w:tr w:rsidR="000B117C" w:rsidRPr="000B117C" w:rsidTr="00B62635">
        <w:tc>
          <w:tcPr>
            <w:tcW w:w="1384" w:type="dxa"/>
          </w:tcPr>
          <w:p w:rsidR="000B117C" w:rsidRPr="000B117C" w:rsidRDefault="000B117C" w:rsidP="00B62635">
            <w:pPr>
              <w:spacing w:afterLines="0" w:after="0" w:line="240" w:lineRule="auto"/>
              <w:rPr>
                <w:sz w:val="20"/>
                <w:szCs w:val="20"/>
              </w:rPr>
            </w:pPr>
            <w:r>
              <w:rPr>
                <w:sz w:val="20"/>
                <w:szCs w:val="20"/>
              </w:rPr>
              <w:t>Q2 2016</w:t>
            </w:r>
          </w:p>
        </w:tc>
        <w:tc>
          <w:tcPr>
            <w:tcW w:w="1964" w:type="dxa"/>
          </w:tcPr>
          <w:p w:rsidR="000B117C" w:rsidRPr="000B117C" w:rsidRDefault="000B117C" w:rsidP="00B62635">
            <w:pPr>
              <w:spacing w:afterLines="0" w:after="0" w:line="240" w:lineRule="auto"/>
              <w:rPr>
                <w:sz w:val="20"/>
                <w:szCs w:val="20"/>
              </w:rPr>
            </w:pPr>
            <w:r>
              <w:rPr>
                <w:sz w:val="20"/>
                <w:szCs w:val="20"/>
              </w:rPr>
              <w:t>1</w:t>
            </w:r>
          </w:p>
        </w:tc>
        <w:tc>
          <w:tcPr>
            <w:tcW w:w="1965" w:type="dxa"/>
          </w:tcPr>
          <w:p w:rsidR="000B117C" w:rsidRPr="000B117C" w:rsidRDefault="000B117C" w:rsidP="00B62635">
            <w:pPr>
              <w:spacing w:afterLines="0" w:after="0" w:line="240" w:lineRule="auto"/>
              <w:rPr>
                <w:sz w:val="20"/>
                <w:szCs w:val="20"/>
              </w:rPr>
            </w:pPr>
            <w:r>
              <w:rPr>
                <w:sz w:val="20"/>
                <w:szCs w:val="20"/>
              </w:rPr>
              <w:t>1</w:t>
            </w:r>
          </w:p>
        </w:tc>
        <w:tc>
          <w:tcPr>
            <w:tcW w:w="1964" w:type="dxa"/>
          </w:tcPr>
          <w:p w:rsidR="000B117C" w:rsidRPr="000B117C" w:rsidRDefault="000B117C" w:rsidP="00B62635">
            <w:pPr>
              <w:spacing w:afterLines="0" w:after="0" w:line="240" w:lineRule="auto"/>
              <w:rPr>
                <w:sz w:val="20"/>
                <w:szCs w:val="20"/>
              </w:rPr>
            </w:pPr>
            <w:r>
              <w:rPr>
                <w:sz w:val="20"/>
                <w:szCs w:val="20"/>
              </w:rPr>
              <w:t>0</w:t>
            </w:r>
          </w:p>
        </w:tc>
        <w:tc>
          <w:tcPr>
            <w:tcW w:w="1965" w:type="dxa"/>
          </w:tcPr>
          <w:p w:rsidR="000B117C" w:rsidRPr="000B117C" w:rsidRDefault="000B117C" w:rsidP="00B62635">
            <w:pPr>
              <w:spacing w:afterLines="0" w:after="0" w:line="240" w:lineRule="auto"/>
              <w:rPr>
                <w:sz w:val="20"/>
                <w:szCs w:val="20"/>
              </w:rPr>
            </w:pPr>
            <w:r>
              <w:rPr>
                <w:sz w:val="20"/>
                <w:szCs w:val="20"/>
              </w:rPr>
              <w:t>1.7</w:t>
            </w:r>
          </w:p>
        </w:tc>
      </w:tr>
    </w:tbl>
    <w:p w:rsidR="000B117C" w:rsidRDefault="000B117C" w:rsidP="00B62635">
      <w:pPr>
        <w:tabs>
          <w:tab w:val="left" w:pos="567"/>
        </w:tabs>
        <w:spacing w:afterLines="0"/>
        <w:rPr>
          <w:rFonts w:eastAsia="Times New Roman" w:cs="Times New Roman"/>
          <w:b/>
          <w:bCs/>
        </w:rPr>
      </w:pPr>
    </w:p>
    <w:p w:rsidR="00B62635" w:rsidRPr="00B62635" w:rsidRDefault="00B62635" w:rsidP="00B62635">
      <w:pPr>
        <w:tabs>
          <w:tab w:val="left" w:pos="567"/>
        </w:tabs>
        <w:spacing w:afterLines="0"/>
        <w:rPr>
          <w:rFonts w:eastAsia="Times New Roman" w:cs="Times New Roman"/>
          <w:bCs/>
        </w:rPr>
      </w:pPr>
      <w:bookmarkStart w:id="116" w:name="_Toc459796760"/>
      <w:r w:rsidRPr="00B62635">
        <w:rPr>
          <w:rFonts w:eastAsia="Times New Roman" w:cs="Times New Roman"/>
          <w:b/>
          <w:bCs/>
        </w:rPr>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556020">
        <w:rPr>
          <w:rFonts w:eastAsia="Times New Roman" w:cs="Times New Roman"/>
          <w:b/>
          <w:bCs/>
          <w:noProof/>
        </w:rPr>
        <w:t>6</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North West Regional Hospital numbers and rates per10 000 patient days of HCA-SAB.</w:t>
      </w:r>
      <w:bookmarkEnd w:id="11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6 North West Regional Hospital numbers and rates per10 000 patient days of HCA-SAB"/>
      </w:tblPr>
      <w:tblGrid>
        <w:gridCol w:w="1384"/>
        <w:gridCol w:w="1964"/>
        <w:gridCol w:w="1965"/>
        <w:gridCol w:w="1964"/>
        <w:gridCol w:w="1965"/>
      </w:tblGrid>
      <w:tr w:rsidR="00B62635" w:rsidRPr="000B117C" w:rsidTr="00AD4ECF">
        <w:trPr>
          <w:tblHeader/>
        </w:trPr>
        <w:tc>
          <w:tcPr>
            <w:tcW w:w="1384" w:type="dxa"/>
          </w:tcPr>
          <w:p w:rsidR="00B62635" w:rsidRPr="000B117C" w:rsidRDefault="00B62635" w:rsidP="00B62635">
            <w:pPr>
              <w:spacing w:afterLines="0" w:after="0" w:line="240" w:lineRule="auto"/>
              <w:rPr>
                <w:b/>
                <w:sz w:val="20"/>
                <w:szCs w:val="20"/>
              </w:rPr>
            </w:pPr>
            <w:r w:rsidRPr="000B117C">
              <w:rPr>
                <w:b/>
                <w:sz w:val="20"/>
                <w:szCs w:val="20"/>
              </w:rPr>
              <w:t>Quarter</w:t>
            </w:r>
          </w:p>
        </w:tc>
        <w:tc>
          <w:tcPr>
            <w:tcW w:w="1964" w:type="dxa"/>
          </w:tcPr>
          <w:p w:rsidR="00B62635" w:rsidRPr="000B117C" w:rsidRDefault="00B62635" w:rsidP="00B62635">
            <w:pPr>
              <w:spacing w:afterLines="0" w:after="0" w:line="240" w:lineRule="auto"/>
              <w:rPr>
                <w:b/>
                <w:sz w:val="20"/>
                <w:szCs w:val="20"/>
              </w:rPr>
            </w:pPr>
            <w:r w:rsidRPr="000B117C">
              <w:rPr>
                <w:b/>
                <w:sz w:val="20"/>
                <w:szCs w:val="20"/>
              </w:rPr>
              <w:t xml:space="preserve">Total HCA-SAB </w:t>
            </w:r>
          </w:p>
        </w:tc>
        <w:tc>
          <w:tcPr>
            <w:tcW w:w="1965" w:type="dxa"/>
          </w:tcPr>
          <w:p w:rsidR="00B62635" w:rsidRPr="000B117C" w:rsidRDefault="00B62635" w:rsidP="00B62635">
            <w:pPr>
              <w:spacing w:afterLines="0" w:after="0" w:line="240" w:lineRule="auto"/>
              <w:rPr>
                <w:b/>
                <w:sz w:val="20"/>
                <w:szCs w:val="20"/>
              </w:rPr>
            </w:pPr>
            <w:r w:rsidRPr="000B117C">
              <w:rPr>
                <w:b/>
                <w:sz w:val="20"/>
                <w:szCs w:val="20"/>
              </w:rPr>
              <w:t>Number MSSA</w:t>
            </w:r>
          </w:p>
        </w:tc>
        <w:tc>
          <w:tcPr>
            <w:tcW w:w="1964" w:type="dxa"/>
          </w:tcPr>
          <w:p w:rsidR="00B62635" w:rsidRPr="000B117C" w:rsidRDefault="00B62635" w:rsidP="00B62635">
            <w:pPr>
              <w:spacing w:afterLines="0" w:after="0" w:line="240" w:lineRule="auto"/>
              <w:rPr>
                <w:b/>
                <w:sz w:val="20"/>
                <w:szCs w:val="20"/>
              </w:rPr>
            </w:pPr>
            <w:r w:rsidRPr="000B117C">
              <w:rPr>
                <w:b/>
                <w:sz w:val="20"/>
                <w:szCs w:val="20"/>
              </w:rPr>
              <w:t>Number MRSA</w:t>
            </w:r>
          </w:p>
        </w:tc>
        <w:tc>
          <w:tcPr>
            <w:tcW w:w="1965" w:type="dxa"/>
          </w:tcPr>
          <w:p w:rsidR="00B62635" w:rsidRPr="000B117C" w:rsidRDefault="00B62635" w:rsidP="00B62635">
            <w:pPr>
              <w:spacing w:afterLines="0" w:after="0" w:line="240" w:lineRule="auto"/>
              <w:rPr>
                <w:b/>
                <w:sz w:val="20"/>
                <w:szCs w:val="20"/>
              </w:rPr>
            </w:pPr>
            <w:r w:rsidRPr="000B117C">
              <w:rPr>
                <w:b/>
                <w:sz w:val="20"/>
                <w:szCs w:val="20"/>
              </w:rPr>
              <w:t>HCA SAB Rate</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Q3 2010</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0.0</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Q4 2010</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1</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1.0</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Q1 2011</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1</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1.2</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Q2 2011</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0.0</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Q3 2011</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0.0</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Q4 2011</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1</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1.2</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Q1 2012</w:t>
            </w:r>
          </w:p>
        </w:tc>
        <w:tc>
          <w:tcPr>
            <w:tcW w:w="1964" w:type="dxa"/>
          </w:tcPr>
          <w:p w:rsidR="00B62635" w:rsidRPr="000B117C" w:rsidRDefault="00B62635" w:rsidP="00B62635">
            <w:pPr>
              <w:spacing w:afterLines="0" w:after="0" w:line="240" w:lineRule="auto"/>
              <w:rPr>
                <w:sz w:val="20"/>
                <w:szCs w:val="20"/>
              </w:rPr>
            </w:pPr>
            <w:r w:rsidRPr="000B117C">
              <w:rPr>
                <w:sz w:val="20"/>
                <w:szCs w:val="20"/>
              </w:rPr>
              <w:t>2</w:t>
            </w:r>
          </w:p>
        </w:tc>
        <w:tc>
          <w:tcPr>
            <w:tcW w:w="1965" w:type="dxa"/>
          </w:tcPr>
          <w:p w:rsidR="00B62635" w:rsidRPr="000B117C" w:rsidRDefault="00B62635" w:rsidP="00B62635">
            <w:pPr>
              <w:spacing w:afterLines="0" w:after="0" w:line="240" w:lineRule="auto"/>
              <w:rPr>
                <w:sz w:val="20"/>
                <w:szCs w:val="20"/>
              </w:rPr>
            </w:pPr>
            <w:r w:rsidRPr="000B117C">
              <w:rPr>
                <w:sz w:val="20"/>
                <w:szCs w:val="20"/>
              </w:rPr>
              <w:t>2</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2.6</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Q2 2012</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0</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1.3</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Q3 2012</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0.0</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Q4 2012</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0.0</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Q1 2013</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1</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1.2</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Q2 2013</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0.0</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Q3 2013</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1</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1.1</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Q4 2013</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0.0</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Q1 2014</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0</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1.2</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Q2 2014</w:t>
            </w:r>
          </w:p>
        </w:tc>
        <w:tc>
          <w:tcPr>
            <w:tcW w:w="1964" w:type="dxa"/>
          </w:tcPr>
          <w:p w:rsidR="00B62635" w:rsidRPr="000B117C" w:rsidRDefault="00B62635" w:rsidP="00B62635">
            <w:pPr>
              <w:spacing w:afterLines="0" w:after="0" w:line="240" w:lineRule="auto"/>
              <w:rPr>
                <w:sz w:val="20"/>
                <w:szCs w:val="20"/>
              </w:rPr>
            </w:pPr>
            <w:r w:rsidRPr="000B117C">
              <w:rPr>
                <w:sz w:val="20"/>
                <w:szCs w:val="20"/>
              </w:rPr>
              <w:t>4</w:t>
            </w:r>
          </w:p>
        </w:tc>
        <w:tc>
          <w:tcPr>
            <w:tcW w:w="1965" w:type="dxa"/>
          </w:tcPr>
          <w:p w:rsidR="00B62635" w:rsidRPr="000B117C" w:rsidRDefault="00B62635" w:rsidP="00B62635">
            <w:pPr>
              <w:spacing w:afterLines="0" w:after="0" w:line="240" w:lineRule="auto"/>
              <w:rPr>
                <w:sz w:val="20"/>
                <w:szCs w:val="20"/>
              </w:rPr>
            </w:pPr>
            <w:r w:rsidRPr="000B117C">
              <w:rPr>
                <w:sz w:val="20"/>
                <w:szCs w:val="20"/>
              </w:rPr>
              <w:t>4</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3.7</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Q3 2014</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1</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1.0</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Q4 2014</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0.0</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Q1 2015</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1</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1.0</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Q2 2015</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1</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0.9</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Q3 2015</w:t>
            </w:r>
          </w:p>
        </w:tc>
        <w:tc>
          <w:tcPr>
            <w:tcW w:w="1964" w:type="dxa"/>
          </w:tcPr>
          <w:p w:rsidR="00B62635" w:rsidRPr="000B117C" w:rsidRDefault="00B62635" w:rsidP="00B62635">
            <w:pPr>
              <w:spacing w:afterLines="0" w:after="0" w:line="240" w:lineRule="auto"/>
              <w:rPr>
                <w:sz w:val="20"/>
                <w:szCs w:val="20"/>
              </w:rPr>
            </w:pPr>
            <w:r w:rsidRPr="000B117C">
              <w:rPr>
                <w:sz w:val="20"/>
                <w:szCs w:val="20"/>
              </w:rPr>
              <w:t>1</w:t>
            </w:r>
          </w:p>
        </w:tc>
        <w:tc>
          <w:tcPr>
            <w:tcW w:w="1965" w:type="dxa"/>
          </w:tcPr>
          <w:p w:rsidR="00B62635" w:rsidRPr="000B117C" w:rsidRDefault="00B62635" w:rsidP="00B62635">
            <w:pPr>
              <w:spacing w:afterLines="0" w:after="0" w:line="240" w:lineRule="auto"/>
              <w:rPr>
                <w:sz w:val="20"/>
                <w:szCs w:val="20"/>
              </w:rPr>
            </w:pPr>
            <w:r w:rsidRPr="000B117C">
              <w:rPr>
                <w:sz w:val="20"/>
                <w:szCs w:val="20"/>
              </w:rPr>
              <w:t>1</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0.9</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Q4 2015</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0.0</w:t>
            </w:r>
          </w:p>
        </w:tc>
      </w:tr>
      <w:tr w:rsidR="00B62635" w:rsidRPr="000B117C" w:rsidTr="00B62635">
        <w:tc>
          <w:tcPr>
            <w:tcW w:w="1384" w:type="dxa"/>
          </w:tcPr>
          <w:p w:rsidR="00B62635" w:rsidRPr="000B117C" w:rsidRDefault="00B62635" w:rsidP="00B62635">
            <w:pPr>
              <w:spacing w:afterLines="0" w:after="0" w:line="240" w:lineRule="auto"/>
              <w:rPr>
                <w:sz w:val="20"/>
                <w:szCs w:val="20"/>
              </w:rPr>
            </w:pPr>
            <w:r w:rsidRPr="000B117C">
              <w:rPr>
                <w:sz w:val="20"/>
                <w:szCs w:val="20"/>
              </w:rPr>
              <w:t>Q1 2016</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w:t>
            </w:r>
          </w:p>
        </w:tc>
        <w:tc>
          <w:tcPr>
            <w:tcW w:w="1964" w:type="dxa"/>
          </w:tcPr>
          <w:p w:rsidR="00B62635" w:rsidRPr="000B117C" w:rsidRDefault="00B62635" w:rsidP="00B62635">
            <w:pPr>
              <w:spacing w:afterLines="0" w:after="0" w:line="240" w:lineRule="auto"/>
              <w:rPr>
                <w:sz w:val="20"/>
                <w:szCs w:val="20"/>
              </w:rPr>
            </w:pPr>
            <w:r w:rsidRPr="000B117C">
              <w:rPr>
                <w:sz w:val="20"/>
                <w:szCs w:val="20"/>
              </w:rPr>
              <w:t>0</w:t>
            </w:r>
          </w:p>
        </w:tc>
        <w:tc>
          <w:tcPr>
            <w:tcW w:w="1965" w:type="dxa"/>
          </w:tcPr>
          <w:p w:rsidR="00B62635" w:rsidRPr="000B117C" w:rsidRDefault="00B62635" w:rsidP="00B62635">
            <w:pPr>
              <w:spacing w:afterLines="0" w:after="0" w:line="240" w:lineRule="auto"/>
              <w:rPr>
                <w:sz w:val="20"/>
                <w:szCs w:val="20"/>
              </w:rPr>
            </w:pPr>
            <w:r w:rsidRPr="000B117C">
              <w:rPr>
                <w:sz w:val="20"/>
                <w:szCs w:val="20"/>
              </w:rPr>
              <w:t>0.0</w:t>
            </w:r>
          </w:p>
        </w:tc>
      </w:tr>
      <w:tr w:rsidR="000B117C" w:rsidRPr="000B117C" w:rsidTr="00B62635">
        <w:tc>
          <w:tcPr>
            <w:tcW w:w="1384" w:type="dxa"/>
          </w:tcPr>
          <w:p w:rsidR="000B117C" w:rsidRPr="000B117C" w:rsidRDefault="000B117C" w:rsidP="00B62635">
            <w:pPr>
              <w:spacing w:afterLines="0" w:after="0" w:line="240" w:lineRule="auto"/>
              <w:rPr>
                <w:sz w:val="20"/>
                <w:szCs w:val="20"/>
              </w:rPr>
            </w:pPr>
            <w:r>
              <w:rPr>
                <w:sz w:val="20"/>
                <w:szCs w:val="20"/>
              </w:rPr>
              <w:t>Q2 2016</w:t>
            </w:r>
          </w:p>
        </w:tc>
        <w:tc>
          <w:tcPr>
            <w:tcW w:w="1964" w:type="dxa"/>
          </w:tcPr>
          <w:p w:rsidR="000B117C" w:rsidRPr="000B117C" w:rsidRDefault="000B117C" w:rsidP="00B62635">
            <w:pPr>
              <w:spacing w:afterLines="0" w:after="0" w:line="240" w:lineRule="auto"/>
              <w:rPr>
                <w:sz w:val="20"/>
                <w:szCs w:val="20"/>
              </w:rPr>
            </w:pPr>
            <w:r>
              <w:rPr>
                <w:sz w:val="20"/>
                <w:szCs w:val="20"/>
              </w:rPr>
              <w:t>2</w:t>
            </w:r>
          </w:p>
        </w:tc>
        <w:tc>
          <w:tcPr>
            <w:tcW w:w="1965" w:type="dxa"/>
          </w:tcPr>
          <w:p w:rsidR="000B117C" w:rsidRPr="000B117C" w:rsidRDefault="000B117C" w:rsidP="00B62635">
            <w:pPr>
              <w:spacing w:afterLines="0" w:after="0" w:line="240" w:lineRule="auto"/>
              <w:rPr>
                <w:sz w:val="20"/>
                <w:szCs w:val="20"/>
              </w:rPr>
            </w:pPr>
            <w:r>
              <w:rPr>
                <w:sz w:val="20"/>
                <w:szCs w:val="20"/>
              </w:rPr>
              <w:t>1</w:t>
            </w:r>
          </w:p>
        </w:tc>
        <w:tc>
          <w:tcPr>
            <w:tcW w:w="1964" w:type="dxa"/>
          </w:tcPr>
          <w:p w:rsidR="000B117C" w:rsidRPr="000B117C" w:rsidRDefault="000B117C" w:rsidP="00B62635">
            <w:pPr>
              <w:spacing w:afterLines="0" w:after="0" w:line="240" w:lineRule="auto"/>
              <w:rPr>
                <w:sz w:val="20"/>
                <w:szCs w:val="20"/>
              </w:rPr>
            </w:pPr>
            <w:r>
              <w:rPr>
                <w:sz w:val="20"/>
                <w:szCs w:val="20"/>
              </w:rPr>
              <w:t>1</w:t>
            </w:r>
          </w:p>
        </w:tc>
        <w:tc>
          <w:tcPr>
            <w:tcW w:w="1965" w:type="dxa"/>
          </w:tcPr>
          <w:p w:rsidR="000B117C" w:rsidRPr="000B117C" w:rsidRDefault="000B117C" w:rsidP="00B62635">
            <w:pPr>
              <w:spacing w:afterLines="0" w:after="0" w:line="240" w:lineRule="auto"/>
              <w:rPr>
                <w:sz w:val="20"/>
                <w:szCs w:val="20"/>
              </w:rPr>
            </w:pPr>
            <w:r>
              <w:rPr>
                <w:sz w:val="20"/>
                <w:szCs w:val="20"/>
              </w:rPr>
              <w:t>1.8</w:t>
            </w:r>
          </w:p>
        </w:tc>
      </w:tr>
    </w:tbl>
    <w:p w:rsidR="00B62635" w:rsidRPr="00B62635" w:rsidRDefault="00B62635" w:rsidP="00B62635">
      <w:pPr>
        <w:keepNext/>
        <w:keepLines/>
        <w:spacing w:before="200" w:after="336"/>
        <w:outlineLvl w:val="1"/>
        <w:rPr>
          <w:rFonts w:eastAsiaTheme="majorEastAsia" w:cstheme="majorBidi"/>
          <w:b/>
          <w:bCs/>
          <w:sz w:val="32"/>
          <w:szCs w:val="32"/>
        </w:rPr>
      </w:pPr>
      <w:r w:rsidRPr="00B62635">
        <w:rPr>
          <w:rFonts w:asciiTheme="majorHAnsi" w:eastAsiaTheme="majorEastAsia" w:hAnsiTheme="majorHAnsi" w:cstheme="majorBidi"/>
          <w:b/>
          <w:bCs/>
          <w:color w:val="4F81BD" w:themeColor="accent1"/>
          <w:sz w:val="26"/>
          <w:szCs w:val="26"/>
        </w:rPr>
        <w:br w:type="page"/>
      </w:r>
      <w:bookmarkStart w:id="117" w:name="_Toc459796646"/>
      <w:r w:rsidRPr="00B62635">
        <w:rPr>
          <w:rFonts w:eastAsiaTheme="majorEastAsia" w:cstheme="majorBidi"/>
          <w:b/>
          <w:bCs/>
          <w:i/>
          <w:sz w:val="32"/>
          <w:szCs w:val="32"/>
        </w:rPr>
        <w:t>Clostridium difficile</w:t>
      </w:r>
      <w:r w:rsidRPr="00B62635">
        <w:rPr>
          <w:rFonts w:eastAsiaTheme="majorEastAsia" w:cstheme="majorBidi"/>
          <w:b/>
          <w:bCs/>
          <w:sz w:val="32"/>
          <w:szCs w:val="32"/>
        </w:rPr>
        <w:t xml:space="preserve"> infection (CDI)</w:t>
      </w:r>
      <w:bookmarkEnd w:id="117"/>
    </w:p>
    <w:p w:rsidR="00B62635" w:rsidRPr="00B62635" w:rsidRDefault="00B62635" w:rsidP="00B62635">
      <w:pPr>
        <w:tabs>
          <w:tab w:val="left" w:pos="567"/>
        </w:tabs>
        <w:spacing w:afterLines="0"/>
        <w:rPr>
          <w:rFonts w:eastAsia="Times New Roman" w:cs="Times New Roman"/>
          <w:bCs/>
        </w:rPr>
      </w:pPr>
      <w:bookmarkStart w:id="118" w:name="_Toc459796761"/>
      <w:r w:rsidRPr="00B62635">
        <w:rPr>
          <w:rFonts w:eastAsia="Times New Roman" w:cs="Times New Roman"/>
          <w:b/>
          <w:bCs/>
        </w:rPr>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556020">
        <w:rPr>
          <w:rFonts w:eastAsia="Times New Roman" w:cs="Times New Roman"/>
          <w:b/>
          <w:bCs/>
          <w:noProof/>
        </w:rPr>
        <w:t>7</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Tasmanian numbers and rates per10 000 patient days of CDI</w:t>
      </w:r>
      <w:bookmarkEnd w:id="118"/>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7 - Tasmanian numbers and rates per10 000 patient days of CDI"/>
      </w:tblPr>
      <w:tblGrid>
        <w:gridCol w:w="1928"/>
        <w:gridCol w:w="1928"/>
        <w:gridCol w:w="1928"/>
        <w:gridCol w:w="1928"/>
        <w:gridCol w:w="1928"/>
      </w:tblGrid>
      <w:tr w:rsidR="00B62635" w:rsidRPr="00B62635" w:rsidTr="00AD4ECF">
        <w:trPr>
          <w:trHeight w:val="70"/>
          <w:tblHeader/>
        </w:trPr>
        <w:tc>
          <w:tcPr>
            <w:tcW w:w="1928" w:type="dxa"/>
            <w:shd w:val="clear" w:color="auto" w:fill="auto"/>
          </w:tcPr>
          <w:p w:rsidR="00B62635" w:rsidRPr="00B62635" w:rsidRDefault="00B62635" w:rsidP="00B62635">
            <w:pPr>
              <w:spacing w:afterLines="0" w:line="240" w:lineRule="auto"/>
              <w:rPr>
                <w:b/>
              </w:rPr>
            </w:pPr>
            <w:r w:rsidRPr="00B62635">
              <w:rPr>
                <w:b/>
              </w:rPr>
              <w:t>Quarter</w:t>
            </w:r>
          </w:p>
        </w:tc>
        <w:tc>
          <w:tcPr>
            <w:tcW w:w="1928" w:type="dxa"/>
            <w:shd w:val="clear" w:color="auto" w:fill="auto"/>
          </w:tcPr>
          <w:p w:rsidR="00B62635" w:rsidRPr="00B62635" w:rsidRDefault="00B62635" w:rsidP="00B62635">
            <w:pPr>
              <w:spacing w:afterLines="0" w:line="240" w:lineRule="auto"/>
              <w:rPr>
                <w:b/>
              </w:rPr>
            </w:pPr>
            <w:r w:rsidRPr="00B62635">
              <w:rPr>
                <w:b/>
              </w:rPr>
              <w:t xml:space="preserve">Total hospital identified CDI </w:t>
            </w:r>
          </w:p>
        </w:tc>
        <w:tc>
          <w:tcPr>
            <w:tcW w:w="1928" w:type="dxa"/>
            <w:shd w:val="clear" w:color="auto" w:fill="auto"/>
          </w:tcPr>
          <w:p w:rsidR="00B62635" w:rsidRPr="00B62635" w:rsidRDefault="00B62635" w:rsidP="00B62635">
            <w:pPr>
              <w:spacing w:afterLines="0" w:line="240" w:lineRule="auto"/>
              <w:rPr>
                <w:b/>
              </w:rPr>
            </w:pPr>
            <w:r w:rsidRPr="00B62635">
              <w:rPr>
                <w:b/>
              </w:rPr>
              <w:t>Rate</w:t>
            </w:r>
          </w:p>
        </w:tc>
        <w:tc>
          <w:tcPr>
            <w:tcW w:w="1928" w:type="dxa"/>
          </w:tcPr>
          <w:p w:rsidR="00B62635" w:rsidRPr="00B62635" w:rsidRDefault="00B62635" w:rsidP="00B62635">
            <w:pPr>
              <w:spacing w:afterLines="0" w:line="240" w:lineRule="auto"/>
              <w:rPr>
                <w:b/>
              </w:rPr>
            </w:pPr>
            <w:r w:rsidRPr="00B62635">
              <w:rPr>
                <w:b/>
              </w:rPr>
              <w:t>Total HCA HCF</w:t>
            </w:r>
          </w:p>
        </w:tc>
        <w:tc>
          <w:tcPr>
            <w:tcW w:w="1928" w:type="dxa"/>
          </w:tcPr>
          <w:p w:rsidR="00B62635" w:rsidRPr="00B62635" w:rsidRDefault="00B62635" w:rsidP="00B62635">
            <w:pPr>
              <w:spacing w:afterLines="0" w:line="240" w:lineRule="auto"/>
              <w:rPr>
                <w:b/>
              </w:rPr>
            </w:pPr>
            <w:r w:rsidRPr="00B62635">
              <w:rPr>
                <w:b/>
              </w:rPr>
              <w:t>Rate</w:t>
            </w:r>
          </w:p>
        </w:tc>
      </w:tr>
      <w:tr w:rsidR="00B62635" w:rsidRPr="00B62635" w:rsidTr="00B62635">
        <w:tc>
          <w:tcPr>
            <w:tcW w:w="1928" w:type="dxa"/>
            <w:vAlign w:val="center"/>
          </w:tcPr>
          <w:p w:rsidR="00B62635" w:rsidRPr="00B62635" w:rsidRDefault="00B62635" w:rsidP="00B62635">
            <w:pPr>
              <w:spacing w:afterLines="0" w:line="240" w:lineRule="auto"/>
            </w:pPr>
            <w:r w:rsidRPr="00B62635">
              <w:t>Q3 2010</w:t>
            </w:r>
          </w:p>
        </w:tc>
        <w:tc>
          <w:tcPr>
            <w:tcW w:w="1928" w:type="dxa"/>
            <w:shd w:val="clear" w:color="auto" w:fill="auto"/>
            <w:vAlign w:val="center"/>
          </w:tcPr>
          <w:p w:rsidR="00B62635" w:rsidRPr="00B62635" w:rsidRDefault="00B62635" w:rsidP="00B62635">
            <w:pPr>
              <w:spacing w:afterLines="0" w:line="240" w:lineRule="auto"/>
            </w:pPr>
            <w:r w:rsidRPr="00B62635">
              <w:t>34</w:t>
            </w:r>
          </w:p>
        </w:tc>
        <w:tc>
          <w:tcPr>
            <w:tcW w:w="1928" w:type="dxa"/>
            <w:shd w:val="clear" w:color="auto" w:fill="auto"/>
            <w:vAlign w:val="center"/>
          </w:tcPr>
          <w:p w:rsidR="00B62635" w:rsidRPr="00B62635" w:rsidRDefault="00B62635" w:rsidP="00B62635">
            <w:pPr>
              <w:spacing w:afterLines="0" w:line="240" w:lineRule="auto"/>
            </w:pPr>
            <w:r w:rsidRPr="00B62635">
              <w:t>4.3</w:t>
            </w:r>
          </w:p>
        </w:tc>
        <w:tc>
          <w:tcPr>
            <w:tcW w:w="1928" w:type="dxa"/>
            <w:vAlign w:val="center"/>
          </w:tcPr>
          <w:p w:rsidR="00B62635" w:rsidRPr="00B62635" w:rsidRDefault="00B62635" w:rsidP="00B62635">
            <w:pPr>
              <w:spacing w:afterLines="0" w:line="240" w:lineRule="auto"/>
              <w:rPr>
                <w:rFonts w:cs="Arial"/>
              </w:rPr>
            </w:pPr>
            <w:r w:rsidRPr="00B62635">
              <w:rPr>
                <w:rFonts w:cs="Arial"/>
              </w:rPr>
              <w:t>30</w:t>
            </w:r>
          </w:p>
        </w:tc>
        <w:tc>
          <w:tcPr>
            <w:tcW w:w="1928" w:type="dxa"/>
            <w:vAlign w:val="center"/>
          </w:tcPr>
          <w:p w:rsidR="00B62635" w:rsidRPr="00B62635" w:rsidRDefault="00B62635" w:rsidP="00B62635">
            <w:pPr>
              <w:spacing w:afterLines="0" w:line="240" w:lineRule="auto"/>
              <w:rPr>
                <w:rFonts w:cs="Arial"/>
              </w:rPr>
            </w:pPr>
            <w:r w:rsidRPr="00B62635">
              <w:rPr>
                <w:rFonts w:cs="Arial"/>
              </w:rPr>
              <w:t>3.8</w:t>
            </w:r>
          </w:p>
        </w:tc>
      </w:tr>
      <w:tr w:rsidR="00B62635" w:rsidRPr="00B62635" w:rsidTr="00B62635">
        <w:tc>
          <w:tcPr>
            <w:tcW w:w="1928" w:type="dxa"/>
            <w:vAlign w:val="center"/>
          </w:tcPr>
          <w:p w:rsidR="00B62635" w:rsidRPr="00B62635" w:rsidRDefault="00B62635" w:rsidP="00B62635">
            <w:pPr>
              <w:spacing w:afterLines="0" w:line="240" w:lineRule="auto"/>
            </w:pPr>
            <w:r w:rsidRPr="00B62635">
              <w:t>Q4 2010</w:t>
            </w:r>
          </w:p>
        </w:tc>
        <w:tc>
          <w:tcPr>
            <w:tcW w:w="1928" w:type="dxa"/>
            <w:shd w:val="clear" w:color="auto" w:fill="auto"/>
            <w:vAlign w:val="center"/>
          </w:tcPr>
          <w:p w:rsidR="00B62635" w:rsidRPr="00B62635" w:rsidRDefault="00B62635" w:rsidP="00B62635">
            <w:pPr>
              <w:spacing w:afterLines="0" w:line="240" w:lineRule="auto"/>
            </w:pPr>
            <w:r w:rsidRPr="00B62635">
              <w:t>35</w:t>
            </w:r>
          </w:p>
        </w:tc>
        <w:tc>
          <w:tcPr>
            <w:tcW w:w="1928" w:type="dxa"/>
            <w:shd w:val="clear" w:color="auto" w:fill="auto"/>
            <w:vAlign w:val="center"/>
          </w:tcPr>
          <w:p w:rsidR="00B62635" w:rsidRPr="00B62635" w:rsidRDefault="00B62635" w:rsidP="00B62635">
            <w:pPr>
              <w:spacing w:afterLines="0" w:line="240" w:lineRule="auto"/>
            </w:pPr>
            <w:r w:rsidRPr="00B62635">
              <w:t>4.4</w:t>
            </w:r>
          </w:p>
        </w:tc>
        <w:tc>
          <w:tcPr>
            <w:tcW w:w="1928" w:type="dxa"/>
            <w:vAlign w:val="center"/>
          </w:tcPr>
          <w:p w:rsidR="00B62635" w:rsidRPr="00B62635" w:rsidRDefault="00B62635" w:rsidP="00B62635">
            <w:pPr>
              <w:spacing w:afterLines="0" w:line="240" w:lineRule="auto"/>
              <w:rPr>
                <w:rFonts w:cs="Arial"/>
              </w:rPr>
            </w:pPr>
            <w:r w:rsidRPr="00B62635">
              <w:rPr>
                <w:rFonts w:cs="Arial"/>
              </w:rPr>
              <w:t>27</w:t>
            </w:r>
          </w:p>
        </w:tc>
        <w:tc>
          <w:tcPr>
            <w:tcW w:w="1928" w:type="dxa"/>
            <w:vAlign w:val="center"/>
          </w:tcPr>
          <w:p w:rsidR="00B62635" w:rsidRPr="00B62635" w:rsidRDefault="00B62635" w:rsidP="00B62635">
            <w:pPr>
              <w:spacing w:afterLines="0" w:line="240" w:lineRule="auto"/>
              <w:rPr>
                <w:rFonts w:cs="Arial"/>
              </w:rPr>
            </w:pPr>
            <w:r w:rsidRPr="00B62635">
              <w:rPr>
                <w:rFonts w:cs="Arial"/>
              </w:rPr>
              <w:t>3.4</w:t>
            </w:r>
          </w:p>
        </w:tc>
      </w:tr>
      <w:tr w:rsidR="00B62635" w:rsidRPr="00B62635" w:rsidTr="00B62635">
        <w:tc>
          <w:tcPr>
            <w:tcW w:w="1928" w:type="dxa"/>
            <w:vAlign w:val="center"/>
          </w:tcPr>
          <w:p w:rsidR="00B62635" w:rsidRPr="00B62635" w:rsidRDefault="00B62635" w:rsidP="00B62635">
            <w:pPr>
              <w:spacing w:afterLines="0" w:line="240" w:lineRule="auto"/>
            </w:pPr>
            <w:r w:rsidRPr="00B62635">
              <w:t>Q1 2011</w:t>
            </w:r>
          </w:p>
        </w:tc>
        <w:tc>
          <w:tcPr>
            <w:tcW w:w="1928" w:type="dxa"/>
            <w:shd w:val="clear" w:color="auto" w:fill="auto"/>
            <w:vAlign w:val="center"/>
          </w:tcPr>
          <w:p w:rsidR="00B62635" w:rsidRPr="00B62635" w:rsidRDefault="00B62635" w:rsidP="00B62635">
            <w:pPr>
              <w:spacing w:afterLines="0" w:line="240" w:lineRule="auto"/>
            </w:pPr>
            <w:r w:rsidRPr="00B62635">
              <w:t>35</w:t>
            </w:r>
          </w:p>
        </w:tc>
        <w:tc>
          <w:tcPr>
            <w:tcW w:w="1928" w:type="dxa"/>
            <w:shd w:val="clear" w:color="auto" w:fill="auto"/>
            <w:vAlign w:val="center"/>
          </w:tcPr>
          <w:p w:rsidR="00B62635" w:rsidRPr="00B62635" w:rsidRDefault="00B62635" w:rsidP="00B62635">
            <w:pPr>
              <w:spacing w:afterLines="0" w:line="240" w:lineRule="auto"/>
            </w:pPr>
            <w:r w:rsidRPr="00B62635">
              <w:t>4.7</w:t>
            </w:r>
          </w:p>
        </w:tc>
        <w:tc>
          <w:tcPr>
            <w:tcW w:w="1928" w:type="dxa"/>
            <w:vAlign w:val="center"/>
          </w:tcPr>
          <w:p w:rsidR="00B62635" w:rsidRPr="00B62635" w:rsidRDefault="00B62635" w:rsidP="00B62635">
            <w:pPr>
              <w:spacing w:afterLines="0" w:line="240" w:lineRule="auto"/>
              <w:rPr>
                <w:rFonts w:cs="Arial"/>
              </w:rPr>
            </w:pPr>
            <w:r w:rsidRPr="00B62635">
              <w:rPr>
                <w:rFonts w:cs="Arial"/>
              </w:rPr>
              <w:t>22</w:t>
            </w:r>
          </w:p>
        </w:tc>
        <w:tc>
          <w:tcPr>
            <w:tcW w:w="1928" w:type="dxa"/>
            <w:vAlign w:val="center"/>
          </w:tcPr>
          <w:p w:rsidR="00B62635" w:rsidRPr="00B62635" w:rsidRDefault="00B62635" w:rsidP="00B62635">
            <w:pPr>
              <w:spacing w:afterLines="0" w:line="240" w:lineRule="auto"/>
              <w:rPr>
                <w:rFonts w:cs="Arial"/>
              </w:rPr>
            </w:pPr>
            <w:r w:rsidRPr="00B62635">
              <w:rPr>
                <w:rFonts w:cs="Arial"/>
              </w:rPr>
              <w:t>2.9</w:t>
            </w:r>
          </w:p>
        </w:tc>
      </w:tr>
      <w:tr w:rsidR="00B62635" w:rsidRPr="00B62635" w:rsidTr="00B62635">
        <w:tc>
          <w:tcPr>
            <w:tcW w:w="1928" w:type="dxa"/>
            <w:vAlign w:val="center"/>
          </w:tcPr>
          <w:p w:rsidR="00B62635" w:rsidRPr="00B62635" w:rsidRDefault="00B62635" w:rsidP="00B62635">
            <w:pPr>
              <w:spacing w:afterLines="0" w:line="240" w:lineRule="auto"/>
            </w:pPr>
            <w:r w:rsidRPr="00B62635">
              <w:t>Q2 2011</w:t>
            </w:r>
          </w:p>
        </w:tc>
        <w:tc>
          <w:tcPr>
            <w:tcW w:w="1928" w:type="dxa"/>
            <w:shd w:val="clear" w:color="auto" w:fill="auto"/>
            <w:vAlign w:val="bottom"/>
          </w:tcPr>
          <w:p w:rsidR="00B62635" w:rsidRPr="00B62635" w:rsidRDefault="00B62635" w:rsidP="00B62635">
            <w:pPr>
              <w:spacing w:afterLines="0" w:line="240" w:lineRule="auto"/>
            </w:pPr>
            <w:r w:rsidRPr="00B62635">
              <w:t>35</w:t>
            </w:r>
          </w:p>
        </w:tc>
        <w:tc>
          <w:tcPr>
            <w:tcW w:w="1928" w:type="dxa"/>
            <w:shd w:val="clear" w:color="auto" w:fill="auto"/>
            <w:vAlign w:val="center"/>
          </w:tcPr>
          <w:p w:rsidR="00B62635" w:rsidRPr="00B62635" w:rsidRDefault="00B62635" w:rsidP="00B62635">
            <w:pPr>
              <w:spacing w:afterLines="0" w:line="240" w:lineRule="auto"/>
            </w:pPr>
            <w:r w:rsidRPr="00B62635">
              <w:t>4.3</w:t>
            </w:r>
          </w:p>
        </w:tc>
        <w:tc>
          <w:tcPr>
            <w:tcW w:w="1928" w:type="dxa"/>
            <w:vAlign w:val="center"/>
          </w:tcPr>
          <w:p w:rsidR="00B62635" w:rsidRPr="00B62635" w:rsidRDefault="00B62635" w:rsidP="00B62635">
            <w:pPr>
              <w:spacing w:afterLines="0" w:line="240" w:lineRule="auto"/>
            </w:pPr>
            <w:r w:rsidRPr="00B62635">
              <w:t>18</w:t>
            </w:r>
          </w:p>
        </w:tc>
        <w:tc>
          <w:tcPr>
            <w:tcW w:w="1928" w:type="dxa"/>
            <w:vAlign w:val="center"/>
          </w:tcPr>
          <w:p w:rsidR="00B62635" w:rsidRPr="00B62635" w:rsidRDefault="00B62635" w:rsidP="00B62635">
            <w:pPr>
              <w:spacing w:afterLines="0" w:line="240" w:lineRule="auto"/>
            </w:pPr>
            <w:r w:rsidRPr="00B62635">
              <w:t>2.2</w:t>
            </w:r>
          </w:p>
        </w:tc>
      </w:tr>
      <w:tr w:rsidR="00B62635" w:rsidRPr="00B62635" w:rsidTr="00B62635">
        <w:tc>
          <w:tcPr>
            <w:tcW w:w="1928" w:type="dxa"/>
            <w:vAlign w:val="center"/>
          </w:tcPr>
          <w:p w:rsidR="00B62635" w:rsidRPr="00B62635" w:rsidRDefault="00B62635" w:rsidP="00B62635">
            <w:pPr>
              <w:spacing w:afterLines="0" w:line="240" w:lineRule="auto"/>
            </w:pPr>
            <w:r w:rsidRPr="00B62635">
              <w:t>Q3 2011</w:t>
            </w:r>
          </w:p>
        </w:tc>
        <w:tc>
          <w:tcPr>
            <w:tcW w:w="1928" w:type="dxa"/>
            <w:shd w:val="clear" w:color="auto" w:fill="auto"/>
            <w:vAlign w:val="bottom"/>
          </w:tcPr>
          <w:p w:rsidR="00B62635" w:rsidRPr="00B62635" w:rsidRDefault="00B62635" w:rsidP="00B62635">
            <w:pPr>
              <w:spacing w:afterLines="0" w:line="240" w:lineRule="auto"/>
            </w:pPr>
            <w:r w:rsidRPr="00B62635">
              <w:t>43</w:t>
            </w:r>
          </w:p>
        </w:tc>
        <w:tc>
          <w:tcPr>
            <w:tcW w:w="1928" w:type="dxa"/>
            <w:shd w:val="clear" w:color="auto" w:fill="auto"/>
            <w:vAlign w:val="center"/>
          </w:tcPr>
          <w:p w:rsidR="00B62635" w:rsidRPr="00B62635" w:rsidRDefault="00B62635" w:rsidP="00B62635">
            <w:pPr>
              <w:spacing w:afterLines="0" w:line="240" w:lineRule="auto"/>
            </w:pPr>
            <w:r w:rsidRPr="00B62635">
              <w:t>5.4</w:t>
            </w:r>
          </w:p>
        </w:tc>
        <w:tc>
          <w:tcPr>
            <w:tcW w:w="1928" w:type="dxa"/>
            <w:vAlign w:val="center"/>
          </w:tcPr>
          <w:p w:rsidR="00B62635" w:rsidRPr="00B62635" w:rsidRDefault="00B62635" w:rsidP="00B62635">
            <w:pPr>
              <w:spacing w:afterLines="0" w:line="240" w:lineRule="auto"/>
            </w:pPr>
            <w:r w:rsidRPr="00B62635">
              <w:t>25</w:t>
            </w:r>
          </w:p>
        </w:tc>
        <w:tc>
          <w:tcPr>
            <w:tcW w:w="1928" w:type="dxa"/>
            <w:vAlign w:val="center"/>
          </w:tcPr>
          <w:p w:rsidR="00B62635" w:rsidRPr="00B62635" w:rsidRDefault="00B62635" w:rsidP="00B62635">
            <w:pPr>
              <w:spacing w:afterLines="0" w:line="240" w:lineRule="auto"/>
            </w:pPr>
            <w:r w:rsidRPr="00B62635">
              <w:t>3.1</w:t>
            </w:r>
          </w:p>
        </w:tc>
      </w:tr>
      <w:tr w:rsidR="00B62635" w:rsidRPr="00B62635" w:rsidTr="00B62635">
        <w:tc>
          <w:tcPr>
            <w:tcW w:w="1928" w:type="dxa"/>
            <w:vAlign w:val="center"/>
          </w:tcPr>
          <w:p w:rsidR="00B62635" w:rsidRPr="00B62635" w:rsidRDefault="00B62635" w:rsidP="00B62635">
            <w:pPr>
              <w:spacing w:afterLines="0" w:line="240" w:lineRule="auto"/>
            </w:pPr>
            <w:r w:rsidRPr="00B62635">
              <w:t>Q4 2011</w:t>
            </w:r>
          </w:p>
        </w:tc>
        <w:tc>
          <w:tcPr>
            <w:tcW w:w="1928" w:type="dxa"/>
            <w:shd w:val="clear" w:color="auto" w:fill="auto"/>
            <w:vAlign w:val="bottom"/>
          </w:tcPr>
          <w:p w:rsidR="00B62635" w:rsidRPr="00B62635" w:rsidRDefault="00B62635" w:rsidP="00B62635">
            <w:pPr>
              <w:spacing w:afterLines="0" w:line="240" w:lineRule="auto"/>
            </w:pPr>
            <w:r w:rsidRPr="00B62635">
              <w:t>66</w:t>
            </w:r>
          </w:p>
        </w:tc>
        <w:tc>
          <w:tcPr>
            <w:tcW w:w="1928" w:type="dxa"/>
            <w:shd w:val="clear" w:color="auto" w:fill="auto"/>
            <w:vAlign w:val="center"/>
          </w:tcPr>
          <w:p w:rsidR="00B62635" w:rsidRPr="00B62635" w:rsidRDefault="00B62635" w:rsidP="00B62635">
            <w:pPr>
              <w:spacing w:afterLines="0" w:line="240" w:lineRule="auto"/>
            </w:pPr>
            <w:r w:rsidRPr="00B62635">
              <w:t>8.9</w:t>
            </w:r>
          </w:p>
        </w:tc>
        <w:tc>
          <w:tcPr>
            <w:tcW w:w="1928" w:type="dxa"/>
            <w:vAlign w:val="center"/>
          </w:tcPr>
          <w:p w:rsidR="00B62635" w:rsidRPr="00B62635" w:rsidRDefault="00B62635" w:rsidP="00B62635">
            <w:pPr>
              <w:spacing w:afterLines="0" w:line="240" w:lineRule="auto"/>
            </w:pPr>
            <w:r w:rsidRPr="00B62635">
              <w:t>42</w:t>
            </w:r>
          </w:p>
        </w:tc>
        <w:tc>
          <w:tcPr>
            <w:tcW w:w="1928" w:type="dxa"/>
            <w:vAlign w:val="center"/>
          </w:tcPr>
          <w:p w:rsidR="00B62635" w:rsidRPr="00B62635" w:rsidRDefault="00B62635" w:rsidP="00B62635">
            <w:pPr>
              <w:spacing w:afterLines="0" w:line="240" w:lineRule="auto"/>
            </w:pPr>
            <w:r w:rsidRPr="00B62635">
              <w:t>5.6</w:t>
            </w:r>
          </w:p>
        </w:tc>
      </w:tr>
      <w:tr w:rsidR="00B62635" w:rsidRPr="00B62635" w:rsidTr="00B62635">
        <w:tc>
          <w:tcPr>
            <w:tcW w:w="1928" w:type="dxa"/>
            <w:vAlign w:val="center"/>
          </w:tcPr>
          <w:p w:rsidR="00B62635" w:rsidRPr="00B62635" w:rsidRDefault="00B62635" w:rsidP="00B62635">
            <w:pPr>
              <w:spacing w:afterLines="0" w:line="240" w:lineRule="auto"/>
            </w:pPr>
            <w:r w:rsidRPr="00B62635">
              <w:t>Q1 2012</w:t>
            </w:r>
          </w:p>
        </w:tc>
        <w:tc>
          <w:tcPr>
            <w:tcW w:w="1928" w:type="dxa"/>
            <w:shd w:val="clear" w:color="auto" w:fill="auto"/>
            <w:vAlign w:val="bottom"/>
          </w:tcPr>
          <w:p w:rsidR="00B62635" w:rsidRPr="00B62635" w:rsidRDefault="00B62635" w:rsidP="00B62635">
            <w:pPr>
              <w:spacing w:afterLines="0" w:line="240" w:lineRule="auto"/>
            </w:pPr>
            <w:r w:rsidRPr="00B62635">
              <w:t>50</w:t>
            </w:r>
          </w:p>
        </w:tc>
        <w:tc>
          <w:tcPr>
            <w:tcW w:w="1928" w:type="dxa"/>
            <w:shd w:val="clear" w:color="auto" w:fill="auto"/>
            <w:vAlign w:val="center"/>
          </w:tcPr>
          <w:p w:rsidR="00B62635" w:rsidRPr="00B62635" w:rsidRDefault="00B62635" w:rsidP="00B62635">
            <w:pPr>
              <w:spacing w:afterLines="0" w:line="240" w:lineRule="auto"/>
            </w:pPr>
            <w:r w:rsidRPr="00B62635">
              <w:t>7.1</w:t>
            </w:r>
          </w:p>
        </w:tc>
        <w:tc>
          <w:tcPr>
            <w:tcW w:w="1928" w:type="dxa"/>
            <w:vAlign w:val="center"/>
          </w:tcPr>
          <w:p w:rsidR="00B62635" w:rsidRPr="00B62635" w:rsidRDefault="00B62635" w:rsidP="00B62635">
            <w:pPr>
              <w:spacing w:afterLines="0" w:line="240" w:lineRule="auto"/>
            </w:pPr>
            <w:r w:rsidRPr="00B62635">
              <w:t>24</w:t>
            </w:r>
          </w:p>
        </w:tc>
        <w:tc>
          <w:tcPr>
            <w:tcW w:w="1928" w:type="dxa"/>
            <w:vAlign w:val="center"/>
          </w:tcPr>
          <w:p w:rsidR="00B62635" w:rsidRPr="00B62635" w:rsidRDefault="00B62635" w:rsidP="00B62635">
            <w:pPr>
              <w:spacing w:afterLines="0" w:line="240" w:lineRule="auto"/>
            </w:pPr>
            <w:r w:rsidRPr="00B62635">
              <w:t>3.4</w:t>
            </w:r>
          </w:p>
        </w:tc>
      </w:tr>
      <w:tr w:rsidR="00B62635" w:rsidRPr="00B62635" w:rsidTr="00B62635">
        <w:tc>
          <w:tcPr>
            <w:tcW w:w="1928" w:type="dxa"/>
            <w:vAlign w:val="center"/>
          </w:tcPr>
          <w:p w:rsidR="00B62635" w:rsidRPr="00B62635" w:rsidRDefault="00B62635" w:rsidP="00B62635">
            <w:pPr>
              <w:spacing w:afterLines="0" w:line="240" w:lineRule="auto"/>
            </w:pPr>
            <w:r w:rsidRPr="00B62635">
              <w:t>Q2 2012</w:t>
            </w:r>
          </w:p>
        </w:tc>
        <w:tc>
          <w:tcPr>
            <w:tcW w:w="1928" w:type="dxa"/>
            <w:shd w:val="clear" w:color="auto" w:fill="auto"/>
            <w:vAlign w:val="bottom"/>
          </w:tcPr>
          <w:p w:rsidR="00B62635" w:rsidRPr="00B62635" w:rsidRDefault="00B62635" w:rsidP="00B62635">
            <w:pPr>
              <w:spacing w:afterLines="0" w:line="240" w:lineRule="auto"/>
            </w:pPr>
            <w:r w:rsidRPr="00B62635">
              <w:t>43</w:t>
            </w:r>
          </w:p>
        </w:tc>
        <w:tc>
          <w:tcPr>
            <w:tcW w:w="1928" w:type="dxa"/>
            <w:shd w:val="clear" w:color="auto" w:fill="auto"/>
            <w:vAlign w:val="center"/>
          </w:tcPr>
          <w:p w:rsidR="00B62635" w:rsidRPr="00B62635" w:rsidRDefault="00B62635" w:rsidP="00B62635">
            <w:pPr>
              <w:spacing w:afterLines="0" w:line="240" w:lineRule="auto"/>
            </w:pPr>
            <w:r w:rsidRPr="00B62635">
              <w:t>6.0</w:t>
            </w:r>
          </w:p>
        </w:tc>
        <w:tc>
          <w:tcPr>
            <w:tcW w:w="1928" w:type="dxa"/>
            <w:vAlign w:val="center"/>
          </w:tcPr>
          <w:p w:rsidR="00B62635" w:rsidRPr="00B62635" w:rsidRDefault="00B62635" w:rsidP="00B62635">
            <w:pPr>
              <w:spacing w:afterLines="0" w:line="240" w:lineRule="auto"/>
            </w:pPr>
            <w:r w:rsidRPr="00B62635">
              <w:t>27</w:t>
            </w:r>
          </w:p>
        </w:tc>
        <w:tc>
          <w:tcPr>
            <w:tcW w:w="1928" w:type="dxa"/>
            <w:vAlign w:val="center"/>
          </w:tcPr>
          <w:p w:rsidR="00B62635" w:rsidRPr="00B62635" w:rsidRDefault="00B62635" w:rsidP="00B62635">
            <w:pPr>
              <w:spacing w:afterLines="0" w:line="240" w:lineRule="auto"/>
            </w:pPr>
            <w:r w:rsidRPr="00B62635">
              <w:t>3.8</w:t>
            </w:r>
          </w:p>
        </w:tc>
      </w:tr>
      <w:tr w:rsidR="00B62635" w:rsidRPr="00B62635" w:rsidTr="00B62635">
        <w:tc>
          <w:tcPr>
            <w:tcW w:w="1928" w:type="dxa"/>
            <w:vAlign w:val="center"/>
          </w:tcPr>
          <w:p w:rsidR="00B62635" w:rsidRPr="00B62635" w:rsidRDefault="00B62635" w:rsidP="00B62635">
            <w:pPr>
              <w:spacing w:afterLines="0" w:line="240" w:lineRule="auto"/>
            </w:pPr>
            <w:r w:rsidRPr="00B62635">
              <w:t>Q3 2012</w:t>
            </w:r>
          </w:p>
        </w:tc>
        <w:tc>
          <w:tcPr>
            <w:tcW w:w="1928" w:type="dxa"/>
            <w:shd w:val="clear" w:color="auto" w:fill="auto"/>
            <w:vAlign w:val="bottom"/>
          </w:tcPr>
          <w:p w:rsidR="00B62635" w:rsidRPr="00B62635" w:rsidRDefault="00B62635" w:rsidP="00B62635">
            <w:pPr>
              <w:spacing w:afterLines="0" w:line="240" w:lineRule="auto"/>
            </w:pPr>
            <w:r w:rsidRPr="00B62635">
              <w:t>39</w:t>
            </w:r>
          </w:p>
        </w:tc>
        <w:tc>
          <w:tcPr>
            <w:tcW w:w="1928" w:type="dxa"/>
            <w:shd w:val="clear" w:color="auto" w:fill="auto"/>
            <w:vAlign w:val="center"/>
          </w:tcPr>
          <w:p w:rsidR="00B62635" w:rsidRPr="00B62635" w:rsidRDefault="00B62635" w:rsidP="00B62635">
            <w:pPr>
              <w:spacing w:afterLines="0" w:line="240" w:lineRule="auto"/>
            </w:pPr>
            <w:r w:rsidRPr="00B62635">
              <w:t>5.1</w:t>
            </w:r>
          </w:p>
        </w:tc>
        <w:tc>
          <w:tcPr>
            <w:tcW w:w="1928" w:type="dxa"/>
            <w:vAlign w:val="center"/>
          </w:tcPr>
          <w:p w:rsidR="00B62635" w:rsidRPr="00B62635" w:rsidRDefault="00B62635" w:rsidP="00B62635">
            <w:pPr>
              <w:spacing w:afterLines="0" w:line="240" w:lineRule="auto"/>
            </w:pPr>
            <w:r w:rsidRPr="00B62635">
              <w:t>18</w:t>
            </w:r>
          </w:p>
        </w:tc>
        <w:tc>
          <w:tcPr>
            <w:tcW w:w="1928" w:type="dxa"/>
            <w:vAlign w:val="center"/>
          </w:tcPr>
          <w:p w:rsidR="00B62635" w:rsidRPr="00B62635" w:rsidRDefault="00B62635" w:rsidP="00B62635">
            <w:pPr>
              <w:spacing w:afterLines="0" w:line="240" w:lineRule="auto"/>
            </w:pPr>
            <w:r w:rsidRPr="00B62635">
              <w:t>2.4</w:t>
            </w:r>
          </w:p>
        </w:tc>
      </w:tr>
      <w:tr w:rsidR="00B62635" w:rsidRPr="00B62635" w:rsidTr="00B62635">
        <w:tc>
          <w:tcPr>
            <w:tcW w:w="1928" w:type="dxa"/>
            <w:vAlign w:val="center"/>
          </w:tcPr>
          <w:p w:rsidR="00B62635" w:rsidRPr="00B62635" w:rsidRDefault="00B62635" w:rsidP="00B62635">
            <w:pPr>
              <w:spacing w:afterLines="0" w:line="240" w:lineRule="auto"/>
            </w:pPr>
            <w:r w:rsidRPr="00B62635">
              <w:t>Q4 2012</w:t>
            </w:r>
          </w:p>
        </w:tc>
        <w:tc>
          <w:tcPr>
            <w:tcW w:w="1928" w:type="dxa"/>
            <w:shd w:val="clear" w:color="auto" w:fill="auto"/>
            <w:vAlign w:val="bottom"/>
          </w:tcPr>
          <w:p w:rsidR="00B62635" w:rsidRPr="00B62635" w:rsidRDefault="00B62635" w:rsidP="00B62635">
            <w:pPr>
              <w:spacing w:afterLines="0" w:line="240" w:lineRule="auto"/>
            </w:pPr>
            <w:r w:rsidRPr="00B62635">
              <w:t>45</w:t>
            </w:r>
          </w:p>
        </w:tc>
        <w:tc>
          <w:tcPr>
            <w:tcW w:w="1928" w:type="dxa"/>
            <w:shd w:val="clear" w:color="auto" w:fill="auto"/>
            <w:vAlign w:val="center"/>
          </w:tcPr>
          <w:p w:rsidR="00B62635" w:rsidRPr="00B62635" w:rsidRDefault="00B62635" w:rsidP="00B62635">
            <w:pPr>
              <w:spacing w:afterLines="0" w:line="240" w:lineRule="auto"/>
            </w:pPr>
            <w:r w:rsidRPr="00B62635">
              <w:t>6.2</w:t>
            </w:r>
          </w:p>
        </w:tc>
        <w:tc>
          <w:tcPr>
            <w:tcW w:w="1928" w:type="dxa"/>
            <w:vAlign w:val="center"/>
          </w:tcPr>
          <w:p w:rsidR="00B62635" w:rsidRPr="00B62635" w:rsidRDefault="00B62635" w:rsidP="00B62635">
            <w:pPr>
              <w:spacing w:afterLines="0" w:line="240" w:lineRule="auto"/>
            </w:pPr>
            <w:r w:rsidRPr="00B62635">
              <w:t>26</w:t>
            </w:r>
          </w:p>
        </w:tc>
        <w:tc>
          <w:tcPr>
            <w:tcW w:w="1928" w:type="dxa"/>
            <w:vAlign w:val="center"/>
          </w:tcPr>
          <w:p w:rsidR="00B62635" w:rsidRPr="00B62635" w:rsidRDefault="00B62635" w:rsidP="00B62635">
            <w:pPr>
              <w:spacing w:afterLines="0" w:line="240" w:lineRule="auto"/>
            </w:pPr>
            <w:r w:rsidRPr="00B62635">
              <w:t>3.6</w:t>
            </w:r>
          </w:p>
        </w:tc>
      </w:tr>
      <w:tr w:rsidR="00B62635" w:rsidRPr="00B62635" w:rsidTr="00B62635">
        <w:tc>
          <w:tcPr>
            <w:tcW w:w="1928" w:type="dxa"/>
            <w:vAlign w:val="center"/>
          </w:tcPr>
          <w:p w:rsidR="00B62635" w:rsidRPr="00B62635" w:rsidRDefault="00B62635" w:rsidP="00B62635">
            <w:pPr>
              <w:spacing w:afterLines="0" w:line="240" w:lineRule="auto"/>
            </w:pPr>
            <w:r w:rsidRPr="00B62635">
              <w:t>Q1 2013</w:t>
            </w:r>
          </w:p>
        </w:tc>
        <w:tc>
          <w:tcPr>
            <w:tcW w:w="1928" w:type="dxa"/>
            <w:shd w:val="clear" w:color="auto" w:fill="auto"/>
            <w:vAlign w:val="bottom"/>
          </w:tcPr>
          <w:p w:rsidR="00B62635" w:rsidRPr="00B62635" w:rsidRDefault="00B62635" w:rsidP="00B62635">
            <w:pPr>
              <w:spacing w:afterLines="0" w:line="240" w:lineRule="auto"/>
            </w:pPr>
            <w:r w:rsidRPr="00B62635">
              <w:t>50</w:t>
            </w:r>
          </w:p>
        </w:tc>
        <w:tc>
          <w:tcPr>
            <w:tcW w:w="1928" w:type="dxa"/>
            <w:shd w:val="clear" w:color="auto" w:fill="auto"/>
            <w:vAlign w:val="center"/>
          </w:tcPr>
          <w:p w:rsidR="00B62635" w:rsidRPr="00B62635" w:rsidRDefault="00B62635" w:rsidP="00B62635">
            <w:pPr>
              <w:spacing w:afterLines="0" w:line="240" w:lineRule="auto"/>
            </w:pPr>
            <w:r w:rsidRPr="00B62635">
              <w:t>7.1</w:t>
            </w:r>
          </w:p>
        </w:tc>
        <w:tc>
          <w:tcPr>
            <w:tcW w:w="1928" w:type="dxa"/>
            <w:vAlign w:val="center"/>
          </w:tcPr>
          <w:p w:rsidR="00B62635" w:rsidRPr="00B62635" w:rsidRDefault="00B62635" w:rsidP="00B62635">
            <w:pPr>
              <w:spacing w:afterLines="0" w:line="240" w:lineRule="auto"/>
            </w:pPr>
            <w:r w:rsidRPr="00B62635">
              <w:t>31</w:t>
            </w:r>
          </w:p>
        </w:tc>
        <w:tc>
          <w:tcPr>
            <w:tcW w:w="1928" w:type="dxa"/>
            <w:vAlign w:val="center"/>
          </w:tcPr>
          <w:p w:rsidR="00B62635" w:rsidRPr="00B62635" w:rsidRDefault="00B62635" w:rsidP="00B62635">
            <w:pPr>
              <w:spacing w:afterLines="0" w:line="240" w:lineRule="auto"/>
            </w:pPr>
            <w:r w:rsidRPr="00B62635">
              <w:t>4.4</w:t>
            </w:r>
          </w:p>
        </w:tc>
      </w:tr>
      <w:tr w:rsidR="00B62635" w:rsidRPr="00B62635" w:rsidTr="00B62635">
        <w:tc>
          <w:tcPr>
            <w:tcW w:w="1928" w:type="dxa"/>
            <w:vAlign w:val="center"/>
          </w:tcPr>
          <w:p w:rsidR="00B62635" w:rsidRPr="00B62635" w:rsidRDefault="00B62635" w:rsidP="00B62635">
            <w:pPr>
              <w:spacing w:afterLines="0" w:line="240" w:lineRule="auto"/>
            </w:pPr>
            <w:r w:rsidRPr="00B62635">
              <w:t>Q2 2013</w:t>
            </w:r>
          </w:p>
        </w:tc>
        <w:tc>
          <w:tcPr>
            <w:tcW w:w="1928" w:type="dxa"/>
            <w:shd w:val="clear" w:color="auto" w:fill="auto"/>
            <w:vAlign w:val="bottom"/>
          </w:tcPr>
          <w:p w:rsidR="00B62635" w:rsidRPr="00B62635" w:rsidRDefault="00B62635" w:rsidP="00B62635">
            <w:pPr>
              <w:spacing w:afterLines="0" w:line="240" w:lineRule="auto"/>
            </w:pPr>
            <w:r w:rsidRPr="00B62635">
              <w:t>57</w:t>
            </w:r>
          </w:p>
        </w:tc>
        <w:tc>
          <w:tcPr>
            <w:tcW w:w="1928" w:type="dxa"/>
            <w:shd w:val="clear" w:color="auto" w:fill="auto"/>
            <w:vAlign w:val="center"/>
          </w:tcPr>
          <w:p w:rsidR="00B62635" w:rsidRPr="00B62635" w:rsidRDefault="00B62635" w:rsidP="00B62635">
            <w:pPr>
              <w:spacing w:afterLines="0" w:line="240" w:lineRule="auto"/>
            </w:pPr>
            <w:r w:rsidRPr="00B62635">
              <w:t>7.5</w:t>
            </w:r>
          </w:p>
        </w:tc>
        <w:tc>
          <w:tcPr>
            <w:tcW w:w="1928" w:type="dxa"/>
            <w:vAlign w:val="center"/>
          </w:tcPr>
          <w:p w:rsidR="00B62635" w:rsidRPr="00B62635" w:rsidRDefault="00B62635" w:rsidP="00B62635">
            <w:pPr>
              <w:spacing w:afterLines="0" w:line="240" w:lineRule="auto"/>
            </w:pPr>
            <w:r w:rsidRPr="00B62635">
              <w:t>27</w:t>
            </w:r>
          </w:p>
        </w:tc>
        <w:tc>
          <w:tcPr>
            <w:tcW w:w="1928" w:type="dxa"/>
            <w:vAlign w:val="center"/>
          </w:tcPr>
          <w:p w:rsidR="00B62635" w:rsidRPr="00B62635" w:rsidRDefault="00B62635" w:rsidP="00B62635">
            <w:pPr>
              <w:spacing w:afterLines="0" w:line="240" w:lineRule="auto"/>
            </w:pPr>
            <w:r w:rsidRPr="00B62635">
              <w:t>3.6</w:t>
            </w:r>
          </w:p>
        </w:tc>
      </w:tr>
      <w:tr w:rsidR="00B62635" w:rsidRPr="00B62635" w:rsidTr="00B62635">
        <w:tc>
          <w:tcPr>
            <w:tcW w:w="1928" w:type="dxa"/>
            <w:vAlign w:val="center"/>
          </w:tcPr>
          <w:p w:rsidR="00B62635" w:rsidRPr="00B62635" w:rsidRDefault="00B62635" w:rsidP="00B62635">
            <w:pPr>
              <w:spacing w:afterLines="0" w:line="240" w:lineRule="auto"/>
            </w:pPr>
            <w:r w:rsidRPr="00B62635">
              <w:t>Q3 2013</w:t>
            </w:r>
          </w:p>
        </w:tc>
        <w:tc>
          <w:tcPr>
            <w:tcW w:w="1928" w:type="dxa"/>
            <w:shd w:val="clear" w:color="auto" w:fill="auto"/>
            <w:vAlign w:val="bottom"/>
          </w:tcPr>
          <w:p w:rsidR="00B62635" w:rsidRPr="00B62635" w:rsidRDefault="00B62635" w:rsidP="00B62635">
            <w:pPr>
              <w:spacing w:afterLines="0" w:line="240" w:lineRule="auto"/>
            </w:pPr>
            <w:r w:rsidRPr="00B62635">
              <w:t>55</w:t>
            </w:r>
          </w:p>
        </w:tc>
        <w:tc>
          <w:tcPr>
            <w:tcW w:w="1928" w:type="dxa"/>
            <w:shd w:val="clear" w:color="auto" w:fill="auto"/>
            <w:vAlign w:val="center"/>
          </w:tcPr>
          <w:p w:rsidR="00B62635" w:rsidRPr="00B62635" w:rsidRDefault="00B62635" w:rsidP="00B62635">
            <w:pPr>
              <w:spacing w:afterLines="0" w:line="240" w:lineRule="auto"/>
            </w:pPr>
            <w:r w:rsidRPr="00B62635">
              <w:t>6.9</w:t>
            </w:r>
          </w:p>
        </w:tc>
        <w:tc>
          <w:tcPr>
            <w:tcW w:w="1928" w:type="dxa"/>
            <w:vAlign w:val="center"/>
          </w:tcPr>
          <w:p w:rsidR="00B62635" w:rsidRPr="00B62635" w:rsidRDefault="00B62635" w:rsidP="00B62635">
            <w:pPr>
              <w:spacing w:afterLines="0" w:line="240" w:lineRule="auto"/>
            </w:pPr>
            <w:r w:rsidRPr="00B62635">
              <w:t>31</w:t>
            </w:r>
          </w:p>
        </w:tc>
        <w:tc>
          <w:tcPr>
            <w:tcW w:w="1928" w:type="dxa"/>
            <w:vAlign w:val="center"/>
          </w:tcPr>
          <w:p w:rsidR="00B62635" w:rsidRPr="00B62635" w:rsidRDefault="00B62635" w:rsidP="00B62635">
            <w:pPr>
              <w:spacing w:afterLines="0" w:line="240" w:lineRule="auto"/>
            </w:pPr>
            <w:r w:rsidRPr="00B62635">
              <w:t>3.9</w:t>
            </w:r>
          </w:p>
        </w:tc>
      </w:tr>
      <w:tr w:rsidR="00B62635" w:rsidRPr="00B62635" w:rsidTr="00B62635">
        <w:tc>
          <w:tcPr>
            <w:tcW w:w="1928" w:type="dxa"/>
            <w:vAlign w:val="center"/>
          </w:tcPr>
          <w:p w:rsidR="00B62635" w:rsidRPr="00B62635" w:rsidRDefault="00B62635" w:rsidP="00B62635">
            <w:pPr>
              <w:spacing w:afterLines="0" w:line="240" w:lineRule="auto"/>
            </w:pPr>
            <w:r w:rsidRPr="00B62635">
              <w:t>Q4 2013</w:t>
            </w:r>
          </w:p>
        </w:tc>
        <w:tc>
          <w:tcPr>
            <w:tcW w:w="1928" w:type="dxa"/>
            <w:shd w:val="clear" w:color="auto" w:fill="auto"/>
            <w:vAlign w:val="bottom"/>
          </w:tcPr>
          <w:p w:rsidR="00B62635" w:rsidRPr="00B62635" w:rsidRDefault="00B62635" w:rsidP="00B62635">
            <w:pPr>
              <w:spacing w:afterLines="0" w:line="240" w:lineRule="auto"/>
            </w:pPr>
            <w:r w:rsidRPr="00B62635">
              <w:t>42</w:t>
            </w:r>
          </w:p>
        </w:tc>
        <w:tc>
          <w:tcPr>
            <w:tcW w:w="1928" w:type="dxa"/>
            <w:shd w:val="clear" w:color="auto" w:fill="auto"/>
            <w:vAlign w:val="center"/>
          </w:tcPr>
          <w:p w:rsidR="00B62635" w:rsidRPr="00B62635" w:rsidRDefault="00B62635" w:rsidP="00B62635">
            <w:pPr>
              <w:spacing w:afterLines="0" w:line="240" w:lineRule="auto"/>
            </w:pPr>
            <w:r w:rsidRPr="00B62635">
              <w:t>5.4</w:t>
            </w:r>
          </w:p>
        </w:tc>
        <w:tc>
          <w:tcPr>
            <w:tcW w:w="1928" w:type="dxa"/>
            <w:vAlign w:val="center"/>
          </w:tcPr>
          <w:p w:rsidR="00B62635" w:rsidRPr="00B62635" w:rsidRDefault="00B62635" w:rsidP="00B62635">
            <w:pPr>
              <w:spacing w:afterLines="0" w:line="240" w:lineRule="auto"/>
            </w:pPr>
            <w:r w:rsidRPr="00B62635">
              <w:t>16</w:t>
            </w:r>
          </w:p>
        </w:tc>
        <w:tc>
          <w:tcPr>
            <w:tcW w:w="1928" w:type="dxa"/>
            <w:vAlign w:val="center"/>
          </w:tcPr>
          <w:p w:rsidR="00B62635" w:rsidRPr="00B62635" w:rsidRDefault="00B62635" w:rsidP="00B62635">
            <w:pPr>
              <w:spacing w:afterLines="0" w:line="240" w:lineRule="auto"/>
            </w:pPr>
            <w:r w:rsidRPr="00B62635">
              <w:t>2.1</w:t>
            </w:r>
          </w:p>
        </w:tc>
      </w:tr>
      <w:tr w:rsidR="00B62635" w:rsidRPr="00B62635" w:rsidTr="00B62635">
        <w:tc>
          <w:tcPr>
            <w:tcW w:w="1928" w:type="dxa"/>
            <w:vAlign w:val="center"/>
          </w:tcPr>
          <w:p w:rsidR="00B62635" w:rsidRPr="00B62635" w:rsidRDefault="00B62635" w:rsidP="00B62635">
            <w:pPr>
              <w:spacing w:afterLines="0" w:line="240" w:lineRule="auto"/>
            </w:pPr>
            <w:r w:rsidRPr="00B62635">
              <w:t>Q1 2014</w:t>
            </w:r>
          </w:p>
        </w:tc>
        <w:tc>
          <w:tcPr>
            <w:tcW w:w="1928" w:type="dxa"/>
            <w:shd w:val="clear" w:color="auto" w:fill="auto"/>
            <w:vAlign w:val="bottom"/>
          </w:tcPr>
          <w:p w:rsidR="00B62635" w:rsidRPr="00B62635" w:rsidRDefault="00B62635" w:rsidP="00B62635">
            <w:pPr>
              <w:spacing w:afterLines="0" w:line="240" w:lineRule="auto"/>
            </w:pPr>
            <w:r w:rsidRPr="00B62635">
              <w:t>47</w:t>
            </w:r>
          </w:p>
        </w:tc>
        <w:tc>
          <w:tcPr>
            <w:tcW w:w="1928" w:type="dxa"/>
            <w:shd w:val="clear" w:color="auto" w:fill="auto"/>
            <w:vAlign w:val="center"/>
          </w:tcPr>
          <w:p w:rsidR="00B62635" w:rsidRPr="00B62635" w:rsidRDefault="00B62635" w:rsidP="00B62635">
            <w:pPr>
              <w:spacing w:afterLines="0" w:line="240" w:lineRule="auto"/>
            </w:pPr>
            <w:r w:rsidRPr="00B62635">
              <w:t>6.3</w:t>
            </w:r>
          </w:p>
        </w:tc>
        <w:tc>
          <w:tcPr>
            <w:tcW w:w="1928" w:type="dxa"/>
            <w:vAlign w:val="center"/>
          </w:tcPr>
          <w:p w:rsidR="00B62635" w:rsidRPr="00B62635" w:rsidRDefault="00B62635" w:rsidP="00B62635">
            <w:pPr>
              <w:spacing w:afterLines="0" w:line="240" w:lineRule="auto"/>
            </w:pPr>
            <w:r w:rsidRPr="00B62635">
              <w:t>23</w:t>
            </w:r>
          </w:p>
        </w:tc>
        <w:tc>
          <w:tcPr>
            <w:tcW w:w="1928" w:type="dxa"/>
            <w:vAlign w:val="center"/>
          </w:tcPr>
          <w:p w:rsidR="00B62635" w:rsidRPr="00B62635" w:rsidRDefault="00B62635" w:rsidP="00B62635">
            <w:pPr>
              <w:spacing w:afterLines="0" w:line="240" w:lineRule="auto"/>
            </w:pPr>
            <w:r w:rsidRPr="00B62635">
              <w:t>3.1</w:t>
            </w:r>
          </w:p>
        </w:tc>
      </w:tr>
      <w:tr w:rsidR="00B62635" w:rsidRPr="00B62635" w:rsidTr="00B62635">
        <w:tc>
          <w:tcPr>
            <w:tcW w:w="1928" w:type="dxa"/>
            <w:vAlign w:val="center"/>
          </w:tcPr>
          <w:p w:rsidR="00B62635" w:rsidRPr="00B62635" w:rsidRDefault="00B62635" w:rsidP="00B62635">
            <w:pPr>
              <w:spacing w:afterLines="0" w:line="240" w:lineRule="auto"/>
            </w:pPr>
            <w:r w:rsidRPr="00B62635">
              <w:t>Q2 2014</w:t>
            </w:r>
          </w:p>
        </w:tc>
        <w:tc>
          <w:tcPr>
            <w:tcW w:w="1928" w:type="dxa"/>
            <w:shd w:val="clear" w:color="auto" w:fill="auto"/>
            <w:vAlign w:val="bottom"/>
          </w:tcPr>
          <w:p w:rsidR="00B62635" w:rsidRPr="00B62635" w:rsidRDefault="00B62635" w:rsidP="00B62635">
            <w:pPr>
              <w:spacing w:afterLines="0" w:line="240" w:lineRule="auto"/>
            </w:pPr>
            <w:r w:rsidRPr="00B62635">
              <w:t>27</w:t>
            </w:r>
          </w:p>
        </w:tc>
        <w:tc>
          <w:tcPr>
            <w:tcW w:w="1928" w:type="dxa"/>
            <w:shd w:val="clear" w:color="auto" w:fill="auto"/>
            <w:vAlign w:val="center"/>
          </w:tcPr>
          <w:p w:rsidR="00B62635" w:rsidRPr="00B62635" w:rsidRDefault="00B62635" w:rsidP="00B62635">
            <w:pPr>
              <w:spacing w:afterLines="0" w:line="240" w:lineRule="auto"/>
            </w:pPr>
            <w:r w:rsidRPr="00B62635">
              <w:t>3.5</w:t>
            </w:r>
          </w:p>
        </w:tc>
        <w:tc>
          <w:tcPr>
            <w:tcW w:w="1928" w:type="dxa"/>
            <w:vAlign w:val="center"/>
          </w:tcPr>
          <w:p w:rsidR="00B62635" w:rsidRPr="00B62635" w:rsidRDefault="00B62635" w:rsidP="00B62635">
            <w:pPr>
              <w:spacing w:afterLines="0" w:line="240" w:lineRule="auto"/>
            </w:pPr>
            <w:r w:rsidRPr="00B62635">
              <w:t>13</w:t>
            </w:r>
          </w:p>
        </w:tc>
        <w:tc>
          <w:tcPr>
            <w:tcW w:w="1928" w:type="dxa"/>
            <w:vAlign w:val="center"/>
          </w:tcPr>
          <w:p w:rsidR="00B62635" w:rsidRPr="00B62635" w:rsidRDefault="00B62635" w:rsidP="00B62635">
            <w:pPr>
              <w:spacing w:afterLines="0" w:line="240" w:lineRule="auto"/>
            </w:pPr>
            <w:r w:rsidRPr="00B62635">
              <w:t>1.7</w:t>
            </w:r>
          </w:p>
        </w:tc>
      </w:tr>
      <w:tr w:rsidR="00B62635" w:rsidRPr="00B62635" w:rsidTr="00B62635">
        <w:tc>
          <w:tcPr>
            <w:tcW w:w="1928" w:type="dxa"/>
            <w:vAlign w:val="center"/>
          </w:tcPr>
          <w:p w:rsidR="00B62635" w:rsidRPr="00B62635" w:rsidRDefault="00B62635" w:rsidP="00B62635">
            <w:pPr>
              <w:spacing w:afterLines="0" w:line="240" w:lineRule="auto"/>
            </w:pPr>
            <w:r w:rsidRPr="00B62635">
              <w:t>Q3 2014</w:t>
            </w:r>
          </w:p>
        </w:tc>
        <w:tc>
          <w:tcPr>
            <w:tcW w:w="1928" w:type="dxa"/>
            <w:shd w:val="clear" w:color="auto" w:fill="auto"/>
            <w:vAlign w:val="bottom"/>
          </w:tcPr>
          <w:p w:rsidR="00B62635" w:rsidRPr="00B62635" w:rsidRDefault="00B62635" w:rsidP="00B62635">
            <w:pPr>
              <w:spacing w:afterLines="0" w:line="240" w:lineRule="auto"/>
            </w:pPr>
            <w:r w:rsidRPr="00B62635">
              <w:t>27</w:t>
            </w:r>
          </w:p>
        </w:tc>
        <w:tc>
          <w:tcPr>
            <w:tcW w:w="1928" w:type="dxa"/>
            <w:shd w:val="clear" w:color="auto" w:fill="auto"/>
            <w:vAlign w:val="center"/>
          </w:tcPr>
          <w:p w:rsidR="00B62635" w:rsidRPr="00B62635" w:rsidRDefault="00B62635" w:rsidP="00B62635">
            <w:pPr>
              <w:spacing w:afterLines="0" w:line="240" w:lineRule="auto"/>
            </w:pPr>
            <w:r w:rsidRPr="00B62635">
              <w:t>3.4</w:t>
            </w:r>
          </w:p>
        </w:tc>
        <w:tc>
          <w:tcPr>
            <w:tcW w:w="1928" w:type="dxa"/>
            <w:vAlign w:val="center"/>
          </w:tcPr>
          <w:p w:rsidR="00B62635" w:rsidRPr="00B62635" w:rsidRDefault="00B62635" w:rsidP="00B62635">
            <w:pPr>
              <w:spacing w:afterLines="0" w:line="240" w:lineRule="auto"/>
            </w:pPr>
            <w:r w:rsidRPr="00B62635">
              <w:t>15</w:t>
            </w:r>
          </w:p>
        </w:tc>
        <w:tc>
          <w:tcPr>
            <w:tcW w:w="1928" w:type="dxa"/>
            <w:vAlign w:val="center"/>
          </w:tcPr>
          <w:p w:rsidR="00B62635" w:rsidRPr="00B62635" w:rsidRDefault="00B62635" w:rsidP="00B62635">
            <w:pPr>
              <w:spacing w:afterLines="0" w:line="240" w:lineRule="auto"/>
            </w:pPr>
            <w:r w:rsidRPr="00B62635">
              <w:t>1.9</w:t>
            </w:r>
          </w:p>
        </w:tc>
      </w:tr>
      <w:tr w:rsidR="00B62635" w:rsidRPr="00B62635" w:rsidTr="00B62635">
        <w:tc>
          <w:tcPr>
            <w:tcW w:w="1928" w:type="dxa"/>
            <w:vAlign w:val="center"/>
          </w:tcPr>
          <w:p w:rsidR="00B62635" w:rsidRPr="00B62635" w:rsidRDefault="00B62635" w:rsidP="00B62635">
            <w:pPr>
              <w:spacing w:afterLines="0" w:line="240" w:lineRule="auto"/>
            </w:pPr>
            <w:r w:rsidRPr="00B62635">
              <w:t>Q4 2014</w:t>
            </w:r>
          </w:p>
        </w:tc>
        <w:tc>
          <w:tcPr>
            <w:tcW w:w="1928" w:type="dxa"/>
            <w:shd w:val="clear" w:color="auto" w:fill="auto"/>
            <w:vAlign w:val="bottom"/>
          </w:tcPr>
          <w:p w:rsidR="00B62635" w:rsidRPr="00B62635" w:rsidRDefault="00B62635" w:rsidP="00B62635">
            <w:pPr>
              <w:spacing w:afterLines="0" w:line="240" w:lineRule="auto"/>
            </w:pPr>
            <w:r w:rsidRPr="00B62635">
              <w:t>38</w:t>
            </w:r>
          </w:p>
        </w:tc>
        <w:tc>
          <w:tcPr>
            <w:tcW w:w="1928" w:type="dxa"/>
            <w:shd w:val="clear" w:color="auto" w:fill="auto"/>
            <w:vAlign w:val="center"/>
          </w:tcPr>
          <w:p w:rsidR="00B62635" w:rsidRPr="00B62635" w:rsidRDefault="00B62635" w:rsidP="00B62635">
            <w:pPr>
              <w:spacing w:afterLines="0" w:line="240" w:lineRule="auto"/>
            </w:pPr>
            <w:r w:rsidRPr="00B62635">
              <w:t>4.8</w:t>
            </w:r>
          </w:p>
        </w:tc>
        <w:tc>
          <w:tcPr>
            <w:tcW w:w="1928" w:type="dxa"/>
            <w:vAlign w:val="center"/>
          </w:tcPr>
          <w:p w:rsidR="00B62635" w:rsidRPr="00B62635" w:rsidRDefault="00B62635" w:rsidP="00B62635">
            <w:pPr>
              <w:spacing w:afterLines="0" w:line="240" w:lineRule="auto"/>
            </w:pPr>
            <w:r w:rsidRPr="00B62635">
              <w:t>21</w:t>
            </w:r>
          </w:p>
        </w:tc>
        <w:tc>
          <w:tcPr>
            <w:tcW w:w="1928" w:type="dxa"/>
            <w:vAlign w:val="center"/>
          </w:tcPr>
          <w:p w:rsidR="00B62635" w:rsidRPr="00B62635" w:rsidRDefault="00B62635" w:rsidP="00B62635">
            <w:pPr>
              <w:spacing w:afterLines="0" w:line="240" w:lineRule="auto"/>
            </w:pPr>
            <w:r w:rsidRPr="00B62635">
              <w:t>2.7</w:t>
            </w:r>
          </w:p>
        </w:tc>
      </w:tr>
      <w:tr w:rsidR="00B62635" w:rsidRPr="00B62635" w:rsidTr="00B62635">
        <w:tc>
          <w:tcPr>
            <w:tcW w:w="1928" w:type="dxa"/>
            <w:vAlign w:val="center"/>
          </w:tcPr>
          <w:p w:rsidR="00B62635" w:rsidRPr="00B62635" w:rsidRDefault="00B62635" w:rsidP="00B62635">
            <w:pPr>
              <w:spacing w:afterLines="0" w:line="240" w:lineRule="auto"/>
            </w:pPr>
            <w:r w:rsidRPr="00B62635">
              <w:t>Q1 2015</w:t>
            </w:r>
          </w:p>
        </w:tc>
        <w:tc>
          <w:tcPr>
            <w:tcW w:w="1928" w:type="dxa"/>
            <w:shd w:val="clear" w:color="auto" w:fill="auto"/>
            <w:vAlign w:val="bottom"/>
          </w:tcPr>
          <w:p w:rsidR="00B62635" w:rsidRPr="00B62635" w:rsidRDefault="00B62635" w:rsidP="00B62635">
            <w:pPr>
              <w:spacing w:afterLines="0" w:line="240" w:lineRule="auto"/>
            </w:pPr>
            <w:r w:rsidRPr="00B62635">
              <w:t>36</w:t>
            </w:r>
          </w:p>
        </w:tc>
        <w:tc>
          <w:tcPr>
            <w:tcW w:w="1928" w:type="dxa"/>
            <w:shd w:val="clear" w:color="auto" w:fill="auto"/>
            <w:vAlign w:val="center"/>
          </w:tcPr>
          <w:p w:rsidR="00B62635" w:rsidRPr="00B62635" w:rsidRDefault="00B62635" w:rsidP="00B62635">
            <w:pPr>
              <w:spacing w:afterLines="0" w:line="240" w:lineRule="auto"/>
            </w:pPr>
            <w:r w:rsidRPr="00B62635">
              <w:t>4.7</w:t>
            </w:r>
          </w:p>
        </w:tc>
        <w:tc>
          <w:tcPr>
            <w:tcW w:w="1928" w:type="dxa"/>
            <w:vAlign w:val="center"/>
          </w:tcPr>
          <w:p w:rsidR="00B62635" w:rsidRPr="00B62635" w:rsidRDefault="00B62635" w:rsidP="00B62635">
            <w:pPr>
              <w:spacing w:afterLines="0" w:line="240" w:lineRule="auto"/>
            </w:pPr>
            <w:r w:rsidRPr="00B62635">
              <w:t>16</w:t>
            </w:r>
          </w:p>
        </w:tc>
        <w:tc>
          <w:tcPr>
            <w:tcW w:w="1928" w:type="dxa"/>
            <w:vAlign w:val="center"/>
          </w:tcPr>
          <w:p w:rsidR="00B62635" w:rsidRPr="00B62635" w:rsidRDefault="00B62635" w:rsidP="00B62635">
            <w:pPr>
              <w:spacing w:afterLines="0" w:line="240" w:lineRule="auto"/>
            </w:pPr>
            <w:r w:rsidRPr="00B62635">
              <w:t>2.1</w:t>
            </w:r>
          </w:p>
        </w:tc>
      </w:tr>
      <w:tr w:rsidR="00B62635" w:rsidRPr="00B62635" w:rsidTr="00B62635">
        <w:tc>
          <w:tcPr>
            <w:tcW w:w="1928" w:type="dxa"/>
            <w:vAlign w:val="center"/>
          </w:tcPr>
          <w:p w:rsidR="00B62635" w:rsidRPr="00B62635" w:rsidRDefault="00B62635" w:rsidP="00B62635">
            <w:pPr>
              <w:spacing w:afterLines="0" w:line="240" w:lineRule="auto"/>
            </w:pPr>
            <w:r w:rsidRPr="00B62635">
              <w:t>Q2 2015</w:t>
            </w:r>
          </w:p>
        </w:tc>
        <w:tc>
          <w:tcPr>
            <w:tcW w:w="1928" w:type="dxa"/>
            <w:shd w:val="clear" w:color="auto" w:fill="auto"/>
            <w:vAlign w:val="bottom"/>
          </w:tcPr>
          <w:p w:rsidR="00B62635" w:rsidRPr="00B62635" w:rsidRDefault="00B62635" w:rsidP="00B62635">
            <w:pPr>
              <w:spacing w:afterLines="0" w:line="240" w:lineRule="auto"/>
            </w:pPr>
            <w:r w:rsidRPr="00B62635">
              <w:t>37</w:t>
            </w:r>
          </w:p>
        </w:tc>
        <w:tc>
          <w:tcPr>
            <w:tcW w:w="1928" w:type="dxa"/>
            <w:shd w:val="clear" w:color="auto" w:fill="auto"/>
            <w:vAlign w:val="center"/>
          </w:tcPr>
          <w:p w:rsidR="00B62635" w:rsidRPr="00B62635" w:rsidRDefault="00B62635" w:rsidP="00B62635">
            <w:pPr>
              <w:spacing w:afterLines="0" w:line="240" w:lineRule="auto"/>
            </w:pPr>
            <w:r w:rsidRPr="00B62635">
              <w:t>4.6</w:t>
            </w:r>
          </w:p>
        </w:tc>
        <w:tc>
          <w:tcPr>
            <w:tcW w:w="1928" w:type="dxa"/>
            <w:vAlign w:val="center"/>
          </w:tcPr>
          <w:p w:rsidR="00B62635" w:rsidRPr="00B62635" w:rsidRDefault="00B62635" w:rsidP="00B62635">
            <w:pPr>
              <w:spacing w:afterLines="0" w:line="240" w:lineRule="auto"/>
            </w:pPr>
            <w:r w:rsidRPr="00B62635">
              <w:t>19</w:t>
            </w:r>
          </w:p>
        </w:tc>
        <w:tc>
          <w:tcPr>
            <w:tcW w:w="1928" w:type="dxa"/>
            <w:vAlign w:val="center"/>
          </w:tcPr>
          <w:p w:rsidR="00B62635" w:rsidRPr="00B62635" w:rsidRDefault="00B62635" w:rsidP="00B62635">
            <w:pPr>
              <w:spacing w:afterLines="0" w:line="240" w:lineRule="auto"/>
            </w:pPr>
            <w:r w:rsidRPr="00B62635">
              <w:t>2.3</w:t>
            </w:r>
          </w:p>
        </w:tc>
      </w:tr>
      <w:tr w:rsidR="00B62635" w:rsidRPr="00B62635" w:rsidTr="00B62635">
        <w:tc>
          <w:tcPr>
            <w:tcW w:w="1928" w:type="dxa"/>
            <w:vAlign w:val="center"/>
          </w:tcPr>
          <w:p w:rsidR="00B62635" w:rsidRPr="00B62635" w:rsidRDefault="00B62635" w:rsidP="00B62635">
            <w:pPr>
              <w:spacing w:afterLines="0" w:line="240" w:lineRule="auto"/>
            </w:pPr>
            <w:r w:rsidRPr="00B62635">
              <w:t>Q3 2015</w:t>
            </w:r>
          </w:p>
        </w:tc>
        <w:tc>
          <w:tcPr>
            <w:tcW w:w="1928" w:type="dxa"/>
            <w:shd w:val="clear" w:color="auto" w:fill="auto"/>
            <w:vAlign w:val="bottom"/>
          </w:tcPr>
          <w:p w:rsidR="00B62635" w:rsidRPr="00B62635" w:rsidRDefault="00B62635" w:rsidP="00B62635">
            <w:pPr>
              <w:spacing w:afterLines="0" w:line="240" w:lineRule="auto"/>
            </w:pPr>
            <w:r w:rsidRPr="00B62635">
              <w:t>43</w:t>
            </w:r>
          </w:p>
        </w:tc>
        <w:tc>
          <w:tcPr>
            <w:tcW w:w="1928" w:type="dxa"/>
            <w:shd w:val="clear" w:color="auto" w:fill="auto"/>
            <w:vAlign w:val="center"/>
          </w:tcPr>
          <w:p w:rsidR="00B62635" w:rsidRPr="00B62635" w:rsidRDefault="00B62635" w:rsidP="00B62635">
            <w:pPr>
              <w:spacing w:afterLines="0" w:line="240" w:lineRule="auto"/>
            </w:pPr>
            <w:r w:rsidRPr="00B62635">
              <w:t>5.2</w:t>
            </w:r>
          </w:p>
        </w:tc>
        <w:tc>
          <w:tcPr>
            <w:tcW w:w="1928" w:type="dxa"/>
            <w:vAlign w:val="center"/>
          </w:tcPr>
          <w:p w:rsidR="00B62635" w:rsidRPr="00B62635" w:rsidRDefault="00B62635" w:rsidP="00B62635">
            <w:pPr>
              <w:spacing w:afterLines="0" w:line="240" w:lineRule="auto"/>
            </w:pPr>
            <w:r w:rsidRPr="00B62635">
              <w:t>21</w:t>
            </w:r>
          </w:p>
        </w:tc>
        <w:tc>
          <w:tcPr>
            <w:tcW w:w="1928" w:type="dxa"/>
            <w:vAlign w:val="center"/>
          </w:tcPr>
          <w:p w:rsidR="00B62635" w:rsidRPr="00B62635" w:rsidRDefault="00B62635" w:rsidP="00B62635">
            <w:pPr>
              <w:spacing w:afterLines="0" w:line="240" w:lineRule="auto"/>
            </w:pPr>
            <w:r w:rsidRPr="00B62635">
              <w:t>2.6</w:t>
            </w:r>
          </w:p>
        </w:tc>
      </w:tr>
      <w:tr w:rsidR="00B62635" w:rsidRPr="00B62635" w:rsidTr="00B62635">
        <w:tc>
          <w:tcPr>
            <w:tcW w:w="1928" w:type="dxa"/>
            <w:vAlign w:val="center"/>
          </w:tcPr>
          <w:p w:rsidR="00B62635" w:rsidRPr="00B62635" w:rsidRDefault="00B62635" w:rsidP="00B62635">
            <w:pPr>
              <w:spacing w:afterLines="0" w:line="240" w:lineRule="auto"/>
            </w:pPr>
            <w:r w:rsidRPr="00B62635">
              <w:t>Q4 2015</w:t>
            </w:r>
          </w:p>
        </w:tc>
        <w:tc>
          <w:tcPr>
            <w:tcW w:w="1928" w:type="dxa"/>
            <w:shd w:val="clear" w:color="auto" w:fill="auto"/>
            <w:vAlign w:val="bottom"/>
          </w:tcPr>
          <w:p w:rsidR="00B62635" w:rsidRPr="00B62635" w:rsidRDefault="00B62635" w:rsidP="00B62635">
            <w:pPr>
              <w:spacing w:afterLines="0" w:line="240" w:lineRule="auto"/>
            </w:pPr>
            <w:r w:rsidRPr="00B62635">
              <w:t>43</w:t>
            </w:r>
          </w:p>
        </w:tc>
        <w:tc>
          <w:tcPr>
            <w:tcW w:w="1928" w:type="dxa"/>
            <w:shd w:val="clear" w:color="auto" w:fill="auto"/>
            <w:vAlign w:val="center"/>
          </w:tcPr>
          <w:p w:rsidR="00B62635" w:rsidRPr="00B62635" w:rsidRDefault="00B62635" w:rsidP="00B62635">
            <w:pPr>
              <w:spacing w:afterLines="0" w:line="240" w:lineRule="auto"/>
            </w:pPr>
            <w:r w:rsidRPr="00B62635">
              <w:t>5.3</w:t>
            </w:r>
          </w:p>
        </w:tc>
        <w:tc>
          <w:tcPr>
            <w:tcW w:w="1928" w:type="dxa"/>
            <w:vAlign w:val="center"/>
          </w:tcPr>
          <w:p w:rsidR="00B62635" w:rsidRPr="00B62635" w:rsidRDefault="00B62635" w:rsidP="00B62635">
            <w:pPr>
              <w:spacing w:afterLines="0" w:line="240" w:lineRule="auto"/>
            </w:pPr>
            <w:r w:rsidRPr="00B62635">
              <w:t>22</w:t>
            </w:r>
          </w:p>
        </w:tc>
        <w:tc>
          <w:tcPr>
            <w:tcW w:w="1928" w:type="dxa"/>
            <w:vAlign w:val="center"/>
          </w:tcPr>
          <w:p w:rsidR="00B62635" w:rsidRPr="00B62635" w:rsidRDefault="00B62635" w:rsidP="00B62635">
            <w:pPr>
              <w:spacing w:afterLines="0" w:line="240" w:lineRule="auto"/>
            </w:pPr>
            <w:r w:rsidRPr="00B62635">
              <w:t>2.7</w:t>
            </w:r>
          </w:p>
        </w:tc>
      </w:tr>
      <w:tr w:rsidR="00B62635" w:rsidRPr="00B62635" w:rsidTr="00B62635">
        <w:tc>
          <w:tcPr>
            <w:tcW w:w="1928" w:type="dxa"/>
            <w:vAlign w:val="center"/>
          </w:tcPr>
          <w:p w:rsidR="00B62635" w:rsidRPr="00B62635" w:rsidRDefault="00B62635" w:rsidP="00B62635">
            <w:pPr>
              <w:spacing w:afterLines="0" w:line="240" w:lineRule="auto"/>
            </w:pPr>
            <w:r w:rsidRPr="00B62635">
              <w:t>Q1 2016</w:t>
            </w:r>
          </w:p>
        </w:tc>
        <w:tc>
          <w:tcPr>
            <w:tcW w:w="1928" w:type="dxa"/>
            <w:shd w:val="clear" w:color="auto" w:fill="auto"/>
            <w:vAlign w:val="bottom"/>
          </w:tcPr>
          <w:p w:rsidR="00B62635" w:rsidRPr="00B62635" w:rsidRDefault="00B62635" w:rsidP="00B62635">
            <w:pPr>
              <w:spacing w:afterLines="0" w:line="240" w:lineRule="auto"/>
            </w:pPr>
            <w:r w:rsidRPr="00B62635">
              <w:t>35</w:t>
            </w:r>
          </w:p>
        </w:tc>
        <w:tc>
          <w:tcPr>
            <w:tcW w:w="1928" w:type="dxa"/>
            <w:shd w:val="clear" w:color="auto" w:fill="auto"/>
            <w:vAlign w:val="center"/>
          </w:tcPr>
          <w:p w:rsidR="00B62635" w:rsidRPr="00B62635" w:rsidRDefault="00B62635" w:rsidP="00B62635">
            <w:pPr>
              <w:spacing w:afterLines="0" w:line="240" w:lineRule="auto"/>
            </w:pPr>
            <w:r w:rsidRPr="00B62635">
              <w:t>4.5</w:t>
            </w:r>
          </w:p>
        </w:tc>
        <w:tc>
          <w:tcPr>
            <w:tcW w:w="1928" w:type="dxa"/>
            <w:vAlign w:val="center"/>
          </w:tcPr>
          <w:p w:rsidR="00B62635" w:rsidRPr="00B62635" w:rsidRDefault="00B62635" w:rsidP="00B62635">
            <w:pPr>
              <w:spacing w:afterLines="0" w:line="240" w:lineRule="auto"/>
            </w:pPr>
            <w:r w:rsidRPr="00B62635">
              <w:t>12</w:t>
            </w:r>
          </w:p>
        </w:tc>
        <w:tc>
          <w:tcPr>
            <w:tcW w:w="1928" w:type="dxa"/>
            <w:vAlign w:val="center"/>
          </w:tcPr>
          <w:p w:rsidR="00B62635" w:rsidRPr="00B62635" w:rsidRDefault="00B62635" w:rsidP="00B62635">
            <w:pPr>
              <w:spacing w:afterLines="0" w:line="240" w:lineRule="auto"/>
            </w:pPr>
            <w:r w:rsidRPr="00B62635">
              <w:t>1.5</w:t>
            </w:r>
          </w:p>
        </w:tc>
      </w:tr>
      <w:tr w:rsidR="008176F5" w:rsidRPr="00B62635" w:rsidTr="00B62635">
        <w:tc>
          <w:tcPr>
            <w:tcW w:w="1928" w:type="dxa"/>
            <w:vAlign w:val="center"/>
          </w:tcPr>
          <w:p w:rsidR="008176F5" w:rsidRPr="00B62635" w:rsidRDefault="008176F5" w:rsidP="00B62635">
            <w:pPr>
              <w:spacing w:afterLines="0" w:line="240" w:lineRule="auto"/>
            </w:pPr>
            <w:r>
              <w:t>Q2 2016</w:t>
            </w:r>
          </w:p>
        </w:tc>
        <w:tc>
          <w:tcPr>
            <w:tcW w:w="1928" w:type="dxa"/>
            <w:shd w:val="clear" w:color="auto" w:fill="auto"/>
            <w:vAlign w:val="bottom"/>
          </w:tcPr>
          <w:p w:rsidR="008176F5" w:rsidRPr="00B62635" w:rsidRDefault="005C24E5" w:rsidP="00B62635">
            <w:pPr>
              <w:spacing w:afterLines="0" w:line="240" w:lineRule="auto"/>
            </w:pPr>
            <w:r>
              <w:t>45</w:t>
            </w:r>
          </w:p>
        </w:tc>
        <w:tc>
          <w:tcPr>
            <w:tcW w:w="1928" w:type="dxa"/>
            <w:shd w:val="clear" w:color="auto" w:fill="auto"/>
            <w:vAlign w:val="center"/>
          </w:tcPr>
          <w:p w:rsidR="008176F5" w:rsidRPr="00B62635" w:rsidRDefault="005C24E5" w:rsidP="00B62635">
            <w:pPr>
              <w:spacing w:afterLines="0" w:line="240" w:lineRule="auto"/>
            </w:pPr>
            <w:r>
              <w:t>5.5</w:t>
            </w:r>
          </w:p>
        </w:tc>
        <w:tc>
          <w:tcPr>
            <w:tcW w:w="1928" w:type="dxa"/>
            <w:vAlign w:val="center"/>
          </w:tcPr>
          <w:p w:rsidR="008176F5" w:rsidRPr="00B62635" w:rsidRDefault="005C24E5" w:rsidP="00B62635">
            <w:pPr>
              <w:spacing w:afterLines="0" w:line="240" w:lineRule="auto"/>
            </w:pPr>
            <w:r>
              <w:t>17</w:t>
            </w:r>
          </w:p>
        </w:tc>
        <w:tc>
          <w:tcPr>
            <w:tcW w:w="1928" w:type="dxa"/>
            <w:vAlign w:val="center"/>
          </w:tcPr>
          <w:p w:rsidR="008176F5" w:rsidRPr="00B62635" w:rsidRDefault="005C24E5" w:rsidP="00B62635">
            <w:pPr>
              <w:spacing w:afterLines="0" w:line="240" w:lineRule="auto"/>
            </w:pPr>
            <w:r>
              <w:t>2.1</w:t>
            </w:r>
          </w:p>
        </w:tc>
      </w:tr>
    </w:tbl>
    <w:p w:rsidR="0035443D" w:rsidRDefault="0035443D" w:rsidP="00B62635">
      <w:pPr>
        <w:spacing w:after="336"/>
        <w:rPr>
          <w:rFonts w:eastAsia="Times New Roman" w:cs="Times New Roman"/>
          <w:bCs/>
        </w:rPr>
      </w:pPr>
      <w:bookmarkStart w:id="119" w:name="_Toc459796762"/>
    </w:p>
    <w:p w:rsidR="0035443D" w:rsidRDefault="0035443D" w:rsidP="0035443D">
      <w:pPr>
        <w:spacing w:after="336"/>
        <w:rPr>
          <w:rFonts w:eastAsia="Times New Roman" w:cs="Times New Roman"/>
          <w:bCs/>
        </w:rPr>
      </w:pPr>
      <w:r>
        <w:rPr>
          <w:rFonts w:eastAsia="Times New Roman" w:cs="Times New Roman"/>
          <w:bCs/>
        </w:rPr>
        <w:br w:type="page"/>
      </w:r>
    </w:p>
    <w:p w:rsidR="00B62635" w:rsidRPr="00B62635" w:rsidRDefault="00B62635" w:rsidP="00B62635">
      <w:pPr>
        <w:spacing w:after="336"/>
        <w:rPr>
          <w:rFonts w:eastAsia="Times New Roman" w:cs="Times New Roman"/>
          <w:bCs/>
        </w:rPr>
      </w:pPr>
      <w:r w:rsidRPr="00B62635">
        <w:rPr>
          <w:rFonts w:eastAsia="Times New Roman" w:cs="Times New Roman"/>
          <w:b/>
          <w:bCs/>
        </w:rPr>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556020">
        <w:rPr>
          <w:rFonts w:eastAsia="Times New Roman" w:cs="Times New Roman"/>
          <w:b/>
          <w:bCs/>
          <w:noProof/>
        </w:rPr>
        <w:t>8</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Hospital numbers and rates per10 000 patient days of hospital identified</w:t>
      </w:r>
      <w:r w:rsidRPr="00B62635">
        <w:rPr>
          <w:rFonts w:eastAsia="Times New Roman" w:cs="Times New Roman"/>
          <w:b/>
          <w:bCs/>
        </w:rPr>
        <w:t xml:space="preserve"> </w:t>
      </w:r>
      <w:r w:rsidRPr="00B62635">
        <w:rPr>
          <w:rFonts w:eastAsia="Times New Roman" w:cs="Times New Roman"/>
          <w:bCs/>
        </w:rPr>
        <w:t>CDI</w:t>
      </w:r>
      <w:bookmarkEnd w:id="119"/>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8 Hospital numbers and rates per10 000 patient days of hospital identified CDI"/>
      </w:tblPr>
      <w:tblGrid>
        <w:gridCol w:w="1106"/>
        <w:gridCol w:w="1078"/>
        <w:gridCol w:w="1079"/>
        <w:gridCol w:w="1078"/>
        <w:gridCol w:w="1079"/>
        <w:gridCol w:w="1078"/>
        <w:gridCol w:w="1079"/>
        <w:gridCol w:w="1078"/>
        <w:gridCol w:w="1079"/>
      </w:tblGrid>
      <w:tr w:rsidR="00B62635" w:rsidRPr="00B62635" w:rsidTr="00AD4ECF">
        <w:trPr>
          <w:trHeight w:val="625"/>
          <w:tblHeader/>
          <w:jc w:val="center"/>
        </w:trPr>
        <w:tc>
          <w:tcPr>
            <w:tcW w:w="1106" w:type="dxa"/>
            <w:vMerge w:val="restart"/>
          </w:tcPr>
          <w:p w:rsidR="00B62635" w:rsidRPr="00B62635" w:rsidRDefault="00B62635" w:rsidP="00B62635">
            <w:pPr>
              <w:spacing w:afterLines="0" w:line="240" w:lineRule="auto"/>
            </w:pPr>
            <w:r w:rsidRPr="00B62635">
              <w:rPr>
                <w:b/>
              </w:rPr>
              <w:t>Quarter</w:t>
            </w:r>
          </w:p>
        </w:tc>
        <w:tc>
          <w:tcPr>
            <w:tcW w:w="2157" w:type="dxa"/>
            <w:gridSpan w:val="2"/>
            <w:shd w:val="clear" w:color="auto" w:fill="auto"/>
          </w:tcPr>
          <w:p w:rsidR="00B62635" w:rsidRPr="00B62635" w:rsidRDefault="00B62635" w:rsidP="00B62635">
            <w:pPr>
              <w:spacing w:afterLines="0" w:line="240" w:lineRule="auto"/>
              <w:rPr>
                <w:b/>
              </w:rPr>
            </w:pPr>
            <w:r w:rsidRPr="00B62635">
              <w:rPr>
                <w:b/>
              </w:rPr>
              <w:t>Royal Hobart</w:t>
            </w:r>
          </w:p>
        </w:tc>
        <w:tc>
          <w:tcPr>
            <w:tcW w:w="2157" w:type="dxa"/>
            <w:gridSpan w:val="2"/>
            <w:shd w:val="clear" w:color="auto" w:fill="auto"/>
          </w:tcPr>
          <w:p w:rsidR="00B62635" w:rsidRPr="00B62635" w:rsidRDefault="00B62635" w:rsidP="00B62635">
            <w:pPr>
              <w:spacing w:afterLines="0" w:line="240" w:lineRule="auto"/>
              <w:rPr>
                <w:b/>
              </w:rPr>
            </w:pPr>
            <w:r w:rsidRPr="00B62635">
              <w:rPr>
                <w:b/>
              </w:rPr>
              <w:t>Launceston General</w:t>
            </w:r>
          </w:p>
        </w:tc>
        <w:tc>
          <w:tcPr>
            <w:tcW w:w="2157" w:type="dxa"/>
            <w:gridSpan w:val="2"/>
          </w:tcPr>
          <w:p w:rsidR="00B62635" w:rsidRPr="00B62635" w:rsidRDefault="00B62635" w:rsidP="00B62635">
            <w:pPr>
              <w:spacing w:afterLines="0" w:line="240" w:lineRule="auto"/>
              <w:rPr>
                <w:b/>
              </w:rPr>
            </w:pPr>
            <w:r w:rsidRPr="00B62635">
              <w:rPr>
                <w:b/>
              </w:rPr>
              <w:t>Mersey Community</w:t>
            </w:r>
          </w:p>
        </w:tc>
        <w:tc>
          <w:tcPr>
            <w:tcW w:w="2157" w:type="dxa"/>
            <w:gridSpan w:val="2"/>
            <w:shd w:val="clear" w:color="auto" w:fill="auto"/>
          </w:tcPr>
          <w:p w:rsidR="00B62635" w:rsidRPr="00B62635" w:rsidRDefault="00B62635" w:rsidP="00B62635">
            <w:pPr>
              <w:spacing w:afterLines="0" w:line="240" w:lineRule="auto"/>
              <w:rPr>
                <w:b/>
              </w:rPr>
            </w:pPr>
            <w:r w:rsidRPr="00B62635">
              <w:rPr>
                <w:b/>
              </w:rPr>
              <w:t xml:space="preserve">NW Regional </w:t>
            </w:r>
          </w:p>
        </w:tc>
      </w:tr>
      <w:tr w:rsidR="00B62635" w:rsidRPr="00B62635" w:rsidTr="00AD4ECF">
        <w:trPr>
          <w:tblHeader/>
          <w:jc w:val="center"/>
        </w:trPr>
        <w:tc>
          <w:tcPr>
            <w:tcW w:w="1106" w:type="dxa"/>
            <w:vMerge/>
          </w:tcPr>
          <w:p w:rsidR="00B62635" w:rsidRPr="00B62635" w:rsidRDefault="00B62635" w:rsidP="00B62635">
            <w:pPr>
              <w:spacing w:afterLines="0" w:line="240" w:lineRule="auto"/>
            </w:pPr>
          </w:p>
        </w:tc>
        <w:tc>
          <w:tcPr>
            <w:tcW w:w="1078" w:type="dxa"/>
            <w:shd w:val="clear" w:color="auto" w:fill="auto"/>
          </w:tcPr>
          <w:p w:rsidR="00B62635" w:rsidRPr="00B62635" w:rsidRDefault="00B62635" w:rsidP="00B62635">
            <w:pPr>
              <w:spacing w:afterLines="0" w:line="240" w:lineRule="auto"/>
              <w:rPr>
                <w:b/>
              </w:rPr>
            </w:pPr>
            <w:r w:rsidRPr="00B62635">
              <w:rPr>
                <w:b/>
              </w:rPr>
              <w:t xml:space="preserve">Total </w:t>
            </w:r>
          </w:p>
        </w:tc>
        <w:tc>
          <w:tcPr>
            <w:tcW w:w="1079" w:type="dxa"/>
            <w:shd w:val="clear" w:color="auto" w:fill="auto"/>
          </w:tcPr>
          <w:p w:rsidR="00B62635" w:rsidRPr="00B62635" w:rsidRDefault="00B62635" w:rsidP="00B62635">
            <w:pPr>
              <w:spacing w:afterLines="0" w:line="240" w:lineRule="auto"/>
              <w:rPr>
                <w:b/>
              </w:rPr>
            </w:pPr>
            <w:r w:rsidRPr="00B62635">
              <w:rPr>
                <w:b/>
              </w:rPr>
              <w:t>Rate</w:t>
            </w:r>
          </w:p>
        </w:tc>
        <w:tc>
          <w:tcPr>
            <w:tcW w:w="1078" w:type="dxa"/>
            <w:shd w:val="clear" w:color="auto" w:fill="auto"/>
          </w:tcPr>
          <w:p w:rsidR="00B62635" w:rsidRPr="00B62635" w:rsidRDefault="00B62635" w:rsidP="00B62635">
            <w:pPr>
              <w:spacing w:afterLines="0" w:line="240" w:lineRule="auto"/>
              <w:rPr>
                <w:b/>
              </w:rPr>
            </w:pPr>
            <w:r w:rsidRPr="00B62635">
              <w:rPr>
                <w:b/>
              </w:rPr>
              <w:t xml:space="preserve">Total </w:t>
            </w:r>
          </w:p>
        </w:tc>
        <w:tc>
          <w:tcPr>
            <w:tcW w:w="1079" w:type="dxa"/>
          </w:tcPr>
          <w:p w:rsidR="00B62635" w:rsidRPr="00B62635" w:rsidRDefault="00B62635" w:rsidP="00B62635">
            <w:pPr>
              <w:spacing w:afterLines="0" w:line="240" w:lineRule="auto"/>
              <w:rPr>
                <w:b/>
              </w:rPr>
            </w:pPr>
            <w:r w:rsidRPr="00B62635">
              <w:rPr>
                <w:b/>
              </w:rPr>
              <w:t>Rate</w:t>
            </w:r>
          </w:p>
        </w:tc>
        <w:tc>
          <w:tcPr>
            <w:tcW w:w="1078" w:type="dxa"/>
          </w:tcPr>
          <w:p w:rsidR="00B62635" w:rsidRPr="00B62635" w:rsidRDefault="00B62635" w:rsidP="00B62635">
            <w:pPr>
              <w:spacing w:afterLines="0" w:line="240" w:lineRule="auto"/>
              <w:rPr>
                <w:b/>
              </w:rPr>
            </w:pPr>
            <w:r w:rsidRPr="00B62635">
              <w:rPr>
                <w:b/>
              </w:rPr>
              <w:t xml:space="preserve">Total </w:t>
            </w:r>
          </w:p>
        </w:tc>
        <w:tc>
          <w:tcPr>
            <w:tcW w:w="1079" w:type="dxa"/>
            <w:shd w:val="clear" w:color="auto" w:fill="auto"/>
          </w:tcPr>
          <w:p w:rsidR="00B62635" w:rsidRPr="00B62635" w:rsidRDefault="00B62635" w:rsidP="00B62635">
            <w:pPr>
              <w:spacing w:afterLines="0" w:line="240" w:lineRule="auto"/>
              <w:rPr>
                <w:b/>
              </w:rPr>
            </w:pPr>
            <w:r w:rsidRPr="00B62635">
              <w:rPr>
                <w:b/>
              </w:rPr>
              <w:t>Rate</w:t>
            </w:r>
          </w:p>
        </w:tc>
        <w:tc>
          <w:tcPr>
            <w:tcW w:w="1078" w:type="dxa"/>
            <w:shd w:val="clear" w:color="auto" w:fill="auto"/>
          </w:tcPr>
          <w:p w:rsidR="00B62635" w:rsidRPr="00B62635" w:rsidRDefault="00B62635" w:rsidP="00B62635">
            <w:pPr>
              <w:spacing w:afterLines="0" w:line="240" w:lineRule="auto"/>
              <w:rPr>
                <w:b/>
              </w:rPr>
            </w:pPr>
            <w:r w:rsidRPr="00B62635">
              <w:rPr>
                <w:b/>
              </w:rPr>
              <w:t xml:space="preserve">Total </w:t>
            </w:r>
          </w:p>
        </w:tc>
        <w:tc>
          <w:tcPr>
            <w:tcW w:w="1079" w:type="dxa"/>
            <w:shd w:val="clear" w:color="auto" w:fill="auto"/>
          </w:tcPr>
          <w:p w:rsidR="00B62635" w:rsidRPr="00B62635" w:rsidRDefault="00B62635" w:rsidP="00B62635">
            <w:pPr>
              <w:spacing w:afterLines="0" w:line="240" w:lineRule="auto"/>
              <w:rPr>
                <w:b/>
              </w:rPr>
            </w:pPr>
            <w:r w:rsidRPr="00B62635">
              <w:rPr>
                <w:b/>
              </w:rPr>
              <w:t>Rate</w:t>
            </w:r>
          </w:p>
        </w:tc>
      </w:tr>
      <w:tr w:rsidR="00B62635" w:rsidRPr="00B62635" w:rsidTr="00B62635">
        <w:trPr>
          <w:jc w:val="center"/>
        </w:trPr>
        <w:tc>
          <w:tcPr>
            <w:tcW w:w="1106" w:type="dxa"/>
          </w:tcPr>
          <w:p w:rsidR="00B62635" w:rsidRPr="00B62635" w:rsidRDefault="00B62635" w:rsidP="00B62635">
            <w:pPr>
              <w:spacing w:afterLines="0" w:line="240" w:lineRule="auto"/>
            </w:pPr>
            <w:r w:rsidRPr="00B62635">
              <w:t>Q3 2010</w:t>
            </w:r>
          </w:p>
        </w:tc>
        <w:tc>
          <w:tcPr>
            <w:tcW w:w="1078" w:type="dxa"/>
            <w:shd w:val="clear" w:color="auto" w:fill="auto"/>
            <w:vAlign w:val="bottom"/>
          </w:tcPr>
          <w:p w:rsidR="00B62635" w:rsidRPr="00B62635" w:rsidRDefault="00B62635" w:rsidP="00B62635">
            <w:pPr>
              <w:spacing w:afterLines="0" w:line="240" w:lineRule="auto"/>
            </w:pPr>
            <w:r w:rsidRPr="00B62635">
              <w:t>25</w:t>
            </w:r>
          </w:p>
        </w:tc>
        <w:tc>
          <w:tcPr>
            <w:tcW w:w="1079" w:type="dxa"/>
            <w:shd w:val="clear" w:color="auto" w:fill="auto"/>
            <w:vAlign w:val="bottom"/>
          </w:tcPr>
          <w:p w:rsidR="00B62635" w:rsidRPr="00B62635" w:rsidRDefault="00B62635" w:rsidP="00B62635">
            <w:pPr>
              <w:spacing w:afterLines="0" w:line="240" w:lineRule="auto"/>
            </w:pPr>
            <w:r w:rsidRPr="00B62635">
              <w:t>6.7</w:t>
            </w:r>
          </w:p>
        </w:tc>
        <w:tc>
          <w:tcPr>
            <w:tcW w:w="1078" w:type="dxa"/>
            <w:shd w:val="clear" w:color="auto" w:fill="auto"/>
            <w:vAlign w:val="bottom"/>
          </w:tcPr>
          <w:p w:rsidR="00B62635" w:rsidRPr="00B62635" w:rsidRDefault="00B62635" w:rsidP="00B62635">
            <w:pPr>
              <w:spacing w:afterLines="0" w:line="240" w:lineRule="auto"/>
            </w:pPr>
            <w:r w:rsidRPr="00B62635">
              <w:t>5</w:t>
            </w:r>
          </w:p>
        </w:tc>
        <w:tc>
          <w:tcPr>
            <w:tcW w:w="1079" w:type="dxa"/>
            <w:shd w:val="clear" w:color="auto" w:fill="auto"/>
            <w:vAlign w:val="bottom"/>
          </w:tcPr>
          <w:p w:rsidR="00B62635" w:rsidRPr="00B62635" w:rsidRDefault="00B62635" w:rsidP="00B62635">
            <w:pPr>
              <w:spacing w:afterLines="0" w:line="240" w:lineRule="auto"/>
            </w:pPr>
            <w:r w:rsidRPr="00B62635">
              <w:t>1.9</w:t>
            </w:r>
          </w:p>
        </w:tc>
        <w:tc>
          <w:tcPr>
            <w:tcW w:w="1078" w:type="dxa"/>
            <w:shd w:val="clear" w:color="auto" w:fill="auto"/>
            <w:vAlign w:val="bottom"/>
          </w:tcPr>
          <w:p w:rsidR="00B62635" w:rsidRPr="00B62635" w:rsidRDefault="00B62635" w:rsidP="00B62635">
            <w:pPr>
              <w:spacing w:afterLines="0" w:line="240" w:lineRule="auto"/>
            </w:pPr>
            <w:r w:rsidRPr="00B62635">
              <w:t>3</w:t>
            </w:r>
          </w:p>
        </w:tc>
        <w:tc>
          <w:tcPr>
            <w:tcW w:w="1079" w:type="dxa"/>
            <w:shd w:val="clear" w:color="auto" w:fill="auto"/>
            <w:vAlign w:val="bottom"/>
          </w:tcPr>
          <w:p w:rsidR="00B62635" w:rsidRPr="00B62635" w:rsidRDefault="00B62635" w:rsidP="00B62635">
            <w:pPr>
              <w:spacing w:afterLines="0" w:line="240" w:lineRule="auto"/>
            </w:pPr>
            <w:r w:rsidRPr="00B62635">
              <w:t>5.1</w:t>
            </w:r>
          </w:p>
        </w:tc>
        <w:tc>
          <w:tcPr>
            <w:tcW w:w="1078" w:type="dxa"/>
            <w:shd w:val="clear" w:color="auto" w:fill="auto"/>
            <w:vAlign w:val="bottom"/>
          </w:tcPr>
          <w:p w:rsidR="00B62635" w:rsidRPr="00B62635" w:rsidRDefault="00B62635" w:rsidP="00B62635">
            <w:pPr>
              <w:spacing w:afterLines="0" w:line="240" w:lineRule="auto"/>
            </w:pPr>
            <w:r w:rsidRPr="00B62635">
              <w:t>1</w:t>
            </w:r>
          </w:p>
        </w:tc>
        <w:tc>
          <w:tcPr>
            <w:tcW w:w="1079" w:type="dxa"/>
            <w:shd w:val="clear" w:color="auto" w:fill="auto"/>
            <w:vAlign w:val="bottom"/>
          </w:tcPr>
          <w:p w:rsidR="00B62635" w:rsidRPr="00B62635" w:rsidRDefault="00B62635" w:rsidP="00B62635">
            <w:pPr>
              <w:spacing w:afterLines="0" w:line="240" w:lineRule="auto"/>
            </w:pPr>
            <w:r w:rsidRPr="00B62635">
              <w:t>1.1</w:t>
            </w:r>
          </w:p>
        </w:tc>
      </w:tr>
      <w:tr w:rsidR="00B62635" w:rsidRPr="00B62635" w:rsidTr="00B62635">
        <w:trPr>
          <w:jc w:val="center"/>
        </w:trPr>
        <w:tc>
          <w:tcPr>
            <w:tcW w:w="1106" w:type="dxa"/>
          </w:tcPr>
          <w:p w:rsidR="00B62635" w:rsidRPr="00B62635" w:rsidRDefault="00B62635" w:rsidP="00B62635">
            <w:pPr>
              <w:spacing w:afterLines="0" w:line="240" w:lineRule="auto"/>
            </w:pPr>
            <w:r w:rsidRPr="00B62635">
              <w:t>Q4 2010</w:t>
            </w:r>
          </w:p>
        </w:tc>
        <w:tc>
          <w:tcPr>
            <w:tcW w:w="1078" w:type="dxa"/>
            <w:shd w:val="clear" w:color="auto" w:fill="auto"/>
            <w:vAlign w:val="bottom"/>
          </w:tcPr>
          <w:p w:rsidR="00B62635" w:rsidRPr="00B62635" w:rsidRDefault="00B62635" w:rsidP="00B62635">
            <w:pPr>
              <w:spacing w:afterLines="0" w:line="240" w:lineRule="auto"/>
            </w:pPr>
            <w:r w:rsidRPr="00B62635">
              <w:t>25</w:t>
            </w:r>
          </w:p>
        </w:tc>
        <w:tc>
          <w:tcPr>
            <w:tcW w:w="1079" w:type="dxa"/>
            <w:shd w:val="clear" w:color="auto" w:fill="auto"/>
            <w:vAlign w:val="bottom"/>
          </w:tcPr>
          <w:p w:rsidR="00B62635" w:rsidRPr="00B62635" w:rsidRDefault="00B62635" w:rsidP="00B62635">
            <w:pPr>
              <w:spacing w:afterLines="0" w:line="240" w:lineRule="auto"/>
            </w:pPr>
            <w:r w:rsidRPr="00B62635">
              <w:t>6.6</w:t>
            </w:r>
          </w:p>
        </w:tc>
        <w:tc>
          <w:tcPr>
            <w:tcW w:w="1078" w:type="dxa"/>
            <w:shd w:val="clear" w:color="auto" w:fill="auto"/>
            <w:vAlign w:val="bottom"/>
          </w:tcPr>
          <w:p w:rsidR="00B62635" w:rsidRPr="00B62635" w:rsidRDefault="00B62635" w:rsidP="00B62635">
            <w:pPr>
              <w:spacing w:afterLines="0" w:line="240" w:lineRule="auto"/>
            </w:pPr>
            <w:r w:rsidRPr="00B62635">
              <w:t>4</w:t>
            </w:r>
          </w:p>
        </w:tc>
        <w:tc>
          <w:tcPr>
            <w:tcW w:w="1079" w:type="dxa"/>
            <w:shd w:val="clear" w:color="auto" w:fill="auto"/>
            <w:vAlign w:val="bottom"/>
          </w:tcPr>
          <w:p w:rsidR="00B62635" w:rsidRPr="00B62635" w:rsidRDefault="00B62635" w:rsidP="00B62635">
            <w:pPr>
              <w:spacing w:afterLines="0" w:line="240" w:lineRule="auto"/>
            </w:pPr>
            <w:r w:rsidRPr="00B62635">
              <w:t>1.5</w:t>
            </w:r>
          </w:p>
        </w:tc>
        <w:tc>
          <w:tcPr>
            <w:tcW w:w="1078" w:type="dxa"/>
            <w:shd w:val="clear" w:color="auto" w:fill="auto"/>
            <w:vAlign w:val="bottom"/>
          </w:tcPr>
          <w:p w:rsidR="00B62635" w:rsidRPr="00B62635" w:rsidRDefault="00B62635" w:rsidP="00B62635">
            <w:pPr>
              <w:spacing w:afterLines="0" w:line="240" w:lineRule="auto"/>
            </w:pPr>
            <w:r w:rsidRPr="00B62635">
              <w:t>3</w:t>
            </w:r>
          </w:p>
        </w:tc>
        <w:tc>
          <w:tcPr>
            <w:tcW w:w="1079" w:type="dxa"/>
            <w:shd w:val="clear" w:color="auto" w:fill="auto"/>
            <w:vAlign w:val="bottom"/>
          </w:tcPr>
          <w:p w:rsidR="00B62635" w:rsidRPr="00B62635" w:rsidRDefault="00B62635" w:rsidP="00B62635">
            <w:pPr>
              <w:spacing w:afterLines="0" w:line="240" w:lineRule="auto"/>
            </w:pPr>
            <w:r w:rsidRPr="00B62635">
              <w:t>4.9</w:t>
            </w:r>
          </w:p>
        </w:tc>
        <w:tc>
          <w:tcPr>
            <w:tcW w:w="1078" w:type="dxa"/>
            <w:shd w:val="clear" w:color="auto" w:fill="auto"/>
            <w:vAlign w:val="bottom"/>
          </w:tcPr>
          <w:p w:rsidR="00B62635" w:rsidRPr="00B62635" w:rsidRDefault="00B62635" w:rsidP="00B62635">
            <w:pPr>
              <w:spacing w:afterLines="0" w:line="240" w:lineRule="auto"/>
            </w:pPr>
            <w:r w:rsidRPr="00B62635">
              <w:t>3</w:t>
            </w:r>
          </w:p>
        </w:tc>
        <w:tc>
          <w:tcPr>
            <w:tcW w:w="1079" w:type="dxa"/>
            <w:shd w:val="clear" w:color="auto" w:fill="auto"/>
            <w:vAlign w:val="bottom"/>
          </w:tcPr>
          <w:p w:rsidR="00B62635" w:rsidRPr="00B62635" w:rsidRDefault="00B62635" w:rsidP="00B62635">
            <w:pPr>
              <w:spacing w:afterLines="0" w:line="240" w:lineRule="auto"/>
            </w:pPr>
            <w:r w:rsidRPr="00B62635">
              <w:t>3.1</w:t>
            </w:r>
          </w:p>
        </w:tc>
      </w:tr>
      <w:tr w:rsidR="00B62635" w:rsidRPr="00B62635" w:rsidTr="00B62635">
        <w:trPr>
          <w:jc w:val="center"/>
        </w:trPr>
        <w:tc>
          <w:tcPr>
            <w:tcW w:w="1106" w:type="dxa"/>
          </w:tcPr>
          <w:p w:rsidR="00B62635" w:rsidRPr="00B62635" w:rsidRDefault="00B62635" w:rsidP="00B62635">
            <w:pPr>
              <w:spacing w:afterLines="0" w:line="240" w:lineRule="auto"/>
            </w:pPr>
            <w:r w:rsidRPr="00B62635">
              <w:t>Q1 2011</w:t>
            </w:r>
          </w:p>
        </w:tc>
        <w:tc>
          <w:tcPr>
            <w:tcW w:w="1078" w:type="dxa"/>
            <w:shd w:val="clear" w:color="auto" w:fill="auto"/>
            <w:vAlign w:val="bottom"/>
          </w:tcPr>
          <w:p w:rsidR="00B62635" w:rsidRPr="00B62635" w:rsidRDefault="00B62635" w:rsidP="00B62635">
            <w:pPr>
              <w:spacing w:afterLines="0" w:line="240" w:lineRule="auto"/>
            </w:pPr>
            <w:r w:rsidRPr="00B62635">
              <w:t>25</w:t>
            </w:r>
          </w:p>
        </w:tc>
        <w:tc>
          <w:tcPr>
            <w:tcW w:w="1079" w:type="dxa"/>
            <w:shd w:val="clear" w:color="auto" w:fill="auto"/>
            <w:vAlign w:val="bottom"/>
          </w:tcPr>
          <w:p w:rsidR="00B62635" w:rsidRPr="00B62635" w:rsidRDefault="00B62635" w:rsidP="00B62635">
            <w:pPr>
              <w:spacing w:afterLines="0" w:line="240" w:lineRule="auto"/>
            </w:pPr>
            <w:r w:rsidRPr="00B62635">
              <w:t>6.9</w:t>
            </w:r>
          </w:p>
        </w:tc>
        <w:tc>
          <w:tcPr>
            <w:tcW w:w="1078" w:type="dxa"/>
            <w:shd w:val="clear" w:color="auto" w:fill="auto"/>
            <w:vAlign w:val="bottom"/>
          </w:tcPr>
          <w:p w:rsidR="00B62635" w:rsidRPr="00B62635" w:rsidRDefault="00B62635" w:rsidP="00B62635">
            <w:pPr>
              <w:spacing w:afterLines="0" w:line="240" w:lineRule="auto"/>
            </w:pPr>
            <w:r w:rsidRPr="00B62635">
              <w:t>7</w:t>
            </w:r>
          </w:p>
        </w:tc>
        <w:tc>
          <w:tcPr>
            <w:tcW w:w="1079" w:type="dxa"/>
            <w:shd w:val="clear" w:color="auto" w:fill="auto"/>
            <w:vAlign w:val="bottom"/>
          </w:tcPr>
          <w:p w:rsidR="00B62635" w:rsidRPr="00B62635" w:rsidRDefault="00B62635" w:rsidP="00B62635">
            <w:pPr>
              <w:spacing w:afterLines="0" w:line="240" w:lineRule="auto"/>
            </w:pPr>
            <w:r w:rsidRPr="00B62635">
              <w:t>2.8</w:t>
            </w:r>
          </w:p>
        </w:tc>
        <w:tc>
          <w:tcPr>
            <w:tcW w:w="1078" w:type="dxa"/>
            <w:shd w:val="clear" w:color="auto" w:fill="auto"/>
            <w:vAlign w:val="bottom"/>
          </w:tcPr>
          <w:p w:rsidR="00B62635" w:rsidRPr="00B62635" w:rsidRDefault="00B62635" w:rsidP="00B62635">
            <w:pPr>
              <w:spacing w:afterLines="0" w:line="240" w:lineRule="auto"/>
            </w:pPr>
            <w:r w:rsidRPr="00B62635">
              <w:t>2</w:t>
            </w:r>
          </w:p>
        </w:tc>
        <w:tc>
          <w:tcPr>
            <w:tcW w:w="1079" w:type="dxa"/>
            <w:shd w:val="clear" w:color="auto" w:fill="auto"/>
            <w:vAlign w:val="bottom"/>
          </w:tcPr>
          <w:p w:rsidR="00B62635" w:rsidRPr="00B62635" w:rsidRDefault="00B62635" w:rsidP="00B62635">
            <w:pPr>
              <w:spacing w:afterLines="0" w:line="240" w:lineRule="auto"/>
            </w:pPr>
            <w:r w:rsidRPr="00B62635">
              <w:t>3.3</w:t>
            </w:r>
          </w:p>
        </w:tc>
        <w:tc>
          <w:tcPr>
            <w:tcW w:w="1078" w:type="dxa"/>
            <w:shd w:val="clear" w:color="auto" w:fill="auto"/>
            <w:vAlign w:val="bottom"/>
          </w:tcPr>
          <w:p w:rsidR="00B62635" w:rsidRPr="00B62635" w:rsidRDefault="00B62635" w:rsidP="00B62635">
            <w:pPr>
              <w:spacing w:afterLines="0" w:line="240" w:lineRule="auto"/>
            </w:pPr>
            <w:r w:rsidRPr="00B62635">
              <w:t>2</w:t>
            </w:r>
          </w:p>
        </w:tc>
        <w:tc>
          <w:tcPr>
            <w:tcW w:w="1079" w:type="dxa"/>
            <w:shd w:val="clear" w:color="auto" w:fill="auto"/>
            <w:vAlign w:val="bottom"/>
          </w:tcPr>
          <w:p w:rsidR="00B62635" w:rsidRPr="00B62635" w:rsidRDefault="00B62635" w:rsidP="00B62635">
            <w:pPr>
              <w:spacing w:afterLines="0" w:line="240" w:lineRule="auto"/>
            </w:pPr>
            <w:r w:rsidRPr="00B62635">
              <w:t>2.4</w:t>
            </w:r>
          </w:p>
        </w:tc>
      </w:tr>
      <w:tr w:rsidR="00B62635" w:rsidRPr="00B62635" w:rsidTr="00B62635">
        <w:trPr>
          <w:jc w:val="center"/>
        </w:trPr>
        <w:tc>
          <w:tcPr>
            <w:tcW w:w="1106" w:type="dxa"/>
          </w:tcPr>
          <w:p w:rsidR="00B62635" w:rsidRPr="00B62635" w:rsidRDefault="00B62635" w:rsidP="00B62635">
            <w:pPr>
              <w:spacing w:afterLines="0" w:line="240" w:lineRule="auto"/>
            </w:pPr>
            <w:r w:rsidRPr="00B62635">
              <w:t>Q2 2011</w:t>
            </w:r>
          </w:p>
        </w:tc>
        <w:tc>
          <w:tcPr>
            <w:tcW w:w="1078" w:type="dxa"/>
            <w:shd w:val="clear" w:color="auto" w:fill="auto"/>
            <w:vAlign w:val="bottom"/>
          </w:tcPr>
          <w:p w:rsidR="00B62635" w:rsidRPr="00B62635" w:rsidRDefault="00B62635" w:rsidP="00B62635">
            <w:pPr>
              <w:spacing w:afterLines="0" w:line="240" w:lineRule="auto"/>
            </w:pPr>
            <w:r w:rsidRPr="00B62635">
              <w:t>25</w:t>
            </w:r>
          </w:p>
        </w:tc>
        <w:tc>
          <w:tcPr>
            <w:tcW w:w="1079" w:type="dxa"/>
            <w:shd w:val="clear" w:color="auto" w:fill="auto"/>
            <w:vAlign w:val="bottom"/>
          </w:tcPr>
          <w:p w:rsidR="00B62635" w:rsidRPr="00B62635" w:rsidRDefault="00B62635" w:rsidP="00B62635">
            <w:pPr>
              <w:spacing w:afterLines="0" w:line="240" w:lineRule="auto"/>
            </w:pPr>
            <w:r w:rsidRPr="00B62635">
              <w:t>6.5</w:t>
            </w:r>
          </w:p>
        </w:tc>
        <w:tc>
          <w:tcPr>
            <w:tcW w:w="1078" w:type="dxa"/>
            <w:shd w:val="clear" w:color="auto" w:fill="auto"/>
            <w:vAlign w:val="bottom"/>
          </w:tcPr>
          <w:p w:rsidR="00B62635" w:rsidRPr="00B62635" w:rsidRDefault="00B62635" w:rsidP="00B62635">
            <w:pPr>
              <w:spacing w:afterLines="0" w:line="240" w:lineRule="auto"/>
            </w:pPr>
            <w:r w:rsidRPr="00B62635">
              <w:t>5</w:t>
            </w:r>
          </w:p>
        </w:tc>
        <w:tc>
          <w:tcPr>
            <w:tcW w:w="1079" w:type="dxa"/>
            <w:shd w:val="clear" w:color="auto" w:fill="auto"/>
            <w:vAlign w:val="bottom"/>
          </w:tcPr>
          <w:p w:rsidR="00B62635" w:rsidRPr="00B62635" w:rsidRDefault="00B62635" w:rsidP="00B62635">
            <w:pPr>
              <w:spacing w:afterLines="0" w:line="240" w:lineRule="auto"/>
            </w:pPr>
            <w:r w:rsidRPr="00B62635">
              <w:t>1.8</w:t>
            </w:r>
          </w:p>
        </w:tc>
        <w:tc>
          <w:tcPr>
            <w:tcW w:w="1078" w:type="dxa"/>
            <w:shd w:val="clear" w:color="auto" w:fill="auto"/>
            <w:vAlign w:val="bottom"/>
          </w:tcPr>
          <w:p w:rsidR="00B62635" w:rsidRPr="00B62635" w:rsidRDefault="00B62635" w:rsidP="00B62635">
            <w:pPr>
              <w:spacing w:afterLines="0" w:line="240" w:lineRule="auto"/>
            </w:pPr>
            <w:r w:rsidRPr="00B62635">
              <w:t>3</w:t>
            </w:r>
          </w:p>
        </w:tc>
        <w:tc>
          <w:tcPr>
            <w:tcW w:w="1079" w:type="dxa"/>
            <w:shd w:val="clear" w:color="auto" w:fill="auto"/>
            <w:vAlign w:val="bottom"/>
          </w:tcPr>
          <w:p w:rsidR="00B62635" w:rsidRPr="00B62635" w:rsidRDefault="00B62635" w:rsidP="00B62635">
            <w:pPr>
              <w:spacing w:afterLines="0" w:line="240" w:lineRule="auto"/>
            </w:pPr>
            <w:r w:rsidRPr="00B62635">
              <w:t>4.9</w:t>
            </w:r>
          </w:p>
        </w:tc>
        <w:tc>
          <w:tcPr>
            <w:tcW w:w="1078" w:type="dxa"/>
            <w:shd w:val="clear" w:color="auto" w:fill="auto"/>
            <w:vAlign w:val="bottom"/>
          </w:tcPr>
          <w:p w:rsidR="00B62635" w:rsidRPr="00B62635" w:rsidRDefault="00B62635" w:rsidP="00B62635">
            <w:pPr>
              <w:spacing w:afterLines="0" w:line="240" w:lineRule="auto"/>
            </w:pPr>
            <w:r w:rsidRPr="00B62635">
              <w:t>2</w:t>
            </w:r>
          </w:p>
        </w:tc>
        <w:tc>
          <w:tcPr>
            <w:tcW w:w="1079" w:type="dxa"/>
            <w:shd w:val="clear" w:color="auto" w:fill="auto"/>
            <w:vAlign w:val="bottom"/>
          </w:tcPr>
          <w:p w:rsidR="00B62635" w:rsidRPr="00B62635" w:rsidRDefault="00B62635" w:rsidP="00B62635">
            <w:pPr>
              <w:spacing w:afterLines="0" w:line="240" w:lineRule="auto"/>
            </w:pPr>
            <w:r w:rsidRPr="00B62635">
              <w:t>2.2</w:t>
            </w:r>
          </w:p>
        </w:tc>
      </w:tr>
      <w:tr w:rsidR="00B62635" w:rsidRPr="00B62635" w:rsidTr="00B62635">
        <w:trPr>
          <w:jc w:val="center"/>
        </w:trPr>
        <w:tc>
          <w:tcPr>
            <w:tcW w:w="1106" w:type="dxa"/>
          </w:tcPr>
          <w:p w:rsidR="00B62635" w:rsidRPr="00B62635" w:rsidRDefault="00B62635" w:rsidP="00B62635">
            <w:pPr>
              <w:spacing w:afterLines="0" w:line="240" w:lineRule="auto"/>
            </w:pPr>
            <w:r w:rsidRPr="00B62635">
              <w:t>Q3 2011</w:t>
            </w:r>
          </w:p>
        </w:tc>
        <w:tc>
          <w:tcPr>
            <w:tcW w:w="1078" w:type="dxa"/>
            <w:shd w:val="clear" w:color="auto" w:fill="auto"/>
            <w:vAlign w:val="bottom"/>
          </w:tcPr>
          <w:p w:rsidR="00B62635" w:rsidRPr="00B62635" w:rsidRDefault="00B62635" w:rsidP="00B62635">
            <w:pPr>
              <w:spacing w:afterLines="0" w:line="240" w:lineRule="auto"/>
            </w:pPr>
            <w:r w:rsidRPr="00B62635">
              <w:t>24</w:t>
            </w:r>
          </w:p>
        </w:tc>
        <w:tc>
          <w:tcPr>
            <w:tcW w:w="1079" w:type="dxa"/>
            <w:shd w:val="clear" w:color="auto" w:fill="auto"/>
            <w:vAlign w:val="bottom"/>
          </w:tcPr>
          <w:p w:rsidR="00B62635" w:rsidRPr="00B62635" w:rsidRDefault="00B62635" w:rsidP="00B62635">
            <w:pPr>
              <w:spacing w:afterLines="0" w:line="240" w:lineRule="auto"/>
            </w:pPr>
            <w:r w:rsidRPr="00B62635">
              <w:t>6.5</w:t>
            </w:r>
          </w:p>
        </w:tc>
        <w:tc>
          <w:tcPr>
            <w:tcW w:w="1078" w:type="dxa"/>
            <w:shd w:val="clear" w:color="auto" w:fill="auto"/>
            <w:vAlign w:val="bottom"/>
          </w:tcPr>
          <w:p w:rsidR="00B62635" w:rsidRPr="00B62635" w:rsidRDefault="00B62635" w:rsidP="00B62635">
            <w:pPr>
              <w:spacing w:afterLines="0" w:line="240" w:lineRule="auto"/>
            </w:pPr>
            <w:r w:rsidRPr="00B62635">
              <w:t>10</w:t>
            </w:r>
          </w:p>
        </w:tc>
        <w:tc>
          <w:tcPr>
            <w:tcW w:w="1079" w:type="dxa"/>
            <w:shd w:val="clear" w:color="auto" w:fill="auto"/>
            <w:vAlign w:val="bottom"/>
          </w:tcPr>
          <w:p w:rsidR="00B62635" w:rsidRPr="00B62635" w:rsidRDefault="00B62635" w:rsidP="00B62635">
            <w:pPr>
              <w:spacing w:afterLines="0" w:line="240" w:lineRule="auto"/>
            </w:pPr>
            <w:r w:rsidRPr="00B62635">
              <w:t>3.6</w:t>
            </w:r>
          </w:p>
        </w:tc>
        <w:tc>
          <w:tcPr>
            <w:tcW w:w="1078" w:type="dxa"/>
            <w:shd w:val="clear" w:color="auto" w:fill="auto"/>
            <w:vAlign w:val="bottom"/>
          </w:tcPr>
          <w:p w:rsidR="00B62635" w:rsidRPr="00B62635" w:rsidRDefault="00B62635" w:rsidP="00B62635">
            <w:pPr>
              <w:spacing w:afterLines="0" w:line="240" w:lineRule="auto"/>
            </w:pPr>
            <w:r w:rsidRPr="00B62635">
              <w:t>6</w:t>
            </w:r>
          </w:p>
        </w:tc>
        <w:tc>
          <w:tcPr>
            <w:tcW w:w="1079" w:type="dxa"/>
            <w:shd w:val="clear" w:color="auto" w:fill="auto"/>
            <w:vAlign w:val="bottom"/>
          </w:tcPr>
          <w:p w:rsidR="00B62635" w:rsidRPr="00B62635" w:rsidRDefault="00B62635" w:rsidP="00B62635">
            <w:pPr>
              <w:spacing w:afterLines="0" w:line="240" w:lineRule="auto"/>
            </w:pPr>
            <w:r w:rsidRPr="00B62635">
              <w:t>10.8</w:t>
            </w:r>
          </w:p>
        </w:tc>
        <w:tc>
          <w:tcPr>
            <w:tcW w:w="1078" w:type="dxa"/>
            <w:shd w:val="clear" w:color="auto" w:fill="auto"/>
            <w:vAlign w:val="bottom"/>
          </w:tcPr>
          <w:p w:rsidR="00B62635" w:rsidRPr="00B62635" w:rsidRDefault="00B62635" w:rsidP="00B62635">
            <w:pPr>
              <w:spacing w:afterLines="0" w:line="240" w:lineRule="auto"/>
            </w:pPr>
            <w:r w:rsidRPr="00B62635">
              <w:t>3</w:t>
            </w:r>
          </w:p>
        </w:tc>
        <w:tc>
          <w:tcPr>
            <w:tcW w:w="1079" w:type="dxa"/>
            <w:shd w:val="clear" w:color="auto" w:fill="auto"/>
            <w:vAlign w:val="bottom"/>
          </w:tcPr>
          <w:p w:rsidR="00B62635" w:rsidRPr="00B62635" w:rsidRDefault="00B62635" w:rsidP="00B62635">
            <w:pPr>
              <w:spacing w:afterLines="0" w:line="240" w:lineRule="auto"/>
            </w:pPr>
            <w:r w:rsidRPr="00B62635">
              <w:t>3.2</w:t>
            </w:r>
          </w:p>
        </w:tc>
      </w:tr>
      <w:tr w:rsidR="00B62635" w:rsidRPr="00B62635" w:rsidTr="00B62635">
        <w:trPr>
          <w:jc w:val="center"/>
        </w:trPr>
        <w:tc>
          <w:tcPr>
            <w:tcW w:w="1106" w:type="dxa"/>
          </w:tcPr>
          <w:p w:rsidR="00B62635" w:rsidRPr="00B62635" w:rsidRDefault="00B62635" w:rsidP="00B62635">
            <w:pPr>
              <w:spacing w:afterLines="0" w:line="240" w:lineRule="auto"/>
            </w:pPr>
            <w:r w:rsidRPr="00B62635">
              <w:t>Q4 2011</w:t>
            </w:r>
          </w:p>
        </w:tc>
        <w:tc>
          <w:tcPr>
            <w:tcW w:w="1078" w:type="dxa"/>
            <w:shd w:val="clear" w:color="auto" w:fill="auto"/>
            <w:vAlign w:val="bottom"/>
          </w:tcPr>
          <w:p w:rsidR="00B62635" w:rsidRPr="00B62635" w:rsidRDefault="00B62635" w:rsidP="00B62635">
            <w:pPr>
              <w:spacing w:afterLines="0" w:line="240" w:lineRule="auto"/>
            </w:pPr>
            <w:r w:rsidRPr="00B62635">
              <w:t>34</w:t>
            </w:r>
          </w:p>
        </w:tc>
        <w:tc>
          <w:tcPr>
            <w:tcW w:w="1079" w:type="dxa"/>
            <w:shd w:val="clear" w:color="auto" w:fill="auto"/>
            <w:vAlign w:val="bottom"/>
          </w:tcPr>
          <w:p w:rsidR="00B62635" w:rsidRPr="00B62635" w:rsidRDefault="00B62635" w:rsidP="00B62635">
            <w:pPr>
              <w:spacing w:afterLines="0" w:line="240" w:lineRule="auto"/>
            </w:pPr>
            <w:r w:rsidRPr="00B62635">
              <w:t>9.8</w:t>
            </w:r>
          </w:p>
        </w:tc>
        <w:tc>
          <w:tcPr>
            <w:tcW w:w="1078" w:type="dxa"/>
            <w:shd w:val="clear" w:color="auto" w:fill="auto"/>
            <w:vAlign w:val="bottom"/>
          </w:tcPr>
          <w:p w:rsidR="00B62635" w:rsidRPr="00B62635" w:rsidRDefault="00B62635" w:rsidP="00B62635">
            <w:pPr>
              <w:spacing w:afterLines="0" w:line="240" w:lineRule="auto"/>
            </w:pPr>
            <w:r w:rsidRPr="00B62635">
              <w:t>18</w:t>
            </w:r>
          </w:p>
        </w:tc>
        <w:tc>
          <w:tcPr>
            <w:tcW w:w="1079" w:type="dxa"/>
            <w:shd w:val="clear" w:color="auto" w:fill="auto"/>
            <w:vAlign w:val="bottom"/>
          </w:tcPr>
          <w:p w:rsidR="00B62635" w:rsidRPr="00B62635" w:rsidRDefault="00B62635" w:rsidP="00B62635">
            <w:pPr>
              <w:spacing w:afterLines="0" w:line="240" w:lineRule="auto"/>
            </w:pPr>
            <w:r w:rsidRPr="00B62635">
              <w:t>7.0</w:t>
            </w:r>
          </w:p>
        </w:tc>
        <w:tc>
          <w:tcPr>
            <w:tcW w:w="1078" w:type="dxa"/>
            <w:shd w:val="clear" w:color="auto" w:fill="auto"/>
            <w:vAlign w:val="bottom"/>
          </w:tcPr>
          <w:p w:rsidR="00B62635" w:rsidRPr="00B62635" w:rsidRDefault="00B62635" w:rsidP="00B62635">
            <w:pPr>
              <w:spacing w:afterLines="0" w:line="240" w:lineRule="auto"/>
            </w:pPr>
            <w:r w:rsidRPr="00B62635">
              <w:t>6</w:t>
            </w:r>
          </w:p>
        </w:tc>
        <w:tc>
          <w:tcPr>
            <w:tcW w:w="1079" w:type="dxa"/>
            <w:shd w:val="clear" w:color="auto" w:fill="auto"/>
            <w:vAlign w:val="bottom"/>
          </w:tcPr>
          <w:p w:rsidR="00B62635" w:rsidRPr="00B62635" w:rsidRDefault="00B62635" w:rsidP="00B62635">
            <w:pPr>
              <w:spacing w:afterLines="0" w:line="240" w:lineRule="auto"/>
            </w:pPr>
            <w:r w:rsidRPr="00B62635">
              <w:t>11.5</w:t>
            </w:r>
          </w:p>
        </w:tc>
        <w:tc>
          <w:tcPr>
            <w:tcW w:w="1078" w:type="dxa"/>
            <w:shd w:val="clear" w:color="auto" w:fill="auto"/>
            <w:vAlign w:val="bottom"/>
          </w:tcPr>
          <w:p w:rsidR="00B62635" w:rsidRPr="00B62635" w:rsidRDefault="00B62635" w:rsidP="00B62635">
            <w:pPr>
              <w:spacing w:afterLines="0" w:line="240" w:lineRule="auto"/>
            </w:pPr>
            <w:r w:rsidRPr="00B62635">
              <w:t>8</w:t>
            </w:r>
          </w:p>
        </w:tc>
        <w:tc>
          <w:tcPr>
            <w:tcW w:w="1079" w:type="dxa"/>
            <w:shd w:val="clear" w:color="auto" w:fill="auto"/>
            <w:vAlign w:val="bottom"/>
          </w:tcPr>
          <w:p w:rsidR="00B62635" w:rsidRPr="00B62635" w:rsidRDefault="00B62635" w:rsidP="00B62635">
            <w:pPr>
              <w:spacing w:afterLines="0" w:line="240" w:lineRule="auto"/>
            </w:pPr>
            <w:r w:rsidRPr="00B62635">
              <w:t>9.4</w:t>
            </w:r>
          </w:p>
        </w:tc>
      </w:tr>
      <w:tr w:rsidR="00B62635" w:rsidRPr="00B62635" w:rsidTr="00B62635">
        <w:trPr>
          <w:jc w:val="center"/>
        </w:trPr>
        <w:tc>
          <w:tcPr>
            <w:tcW w:w="1106" w:type="dxa"/>
          </w:tcPr>
          <w:p w:rsidR="00B62635" w:rsidRPr="00B62635" w:rsidRDefault="00B62635" w:rsidP="00B62635">
            <w:pPr>
              <w:spacing w:afterLines="0" w:line="240" w:lineRule="auto"/>
            </w:pPr>
            <w:r w:rsidRPr="00B62635">
              <w:t>Q1 2012</w:t>
            </w:r>
          </w:p>
        </w:tc>
        <w:tc>
          <w:tcPr>
            <w:tcW w:w="1078" w:type="dxa"/>
            <w:shd w:val="clear" w:color="auto" w:fill="auto"/>
            <w:vAlign w:val="bottom"/>
          </w:tcPr>
          <w:p w:rsidR="00B62635" w:rsidRPr="00B62635" w:rsidRDefault="00B62635" w:rsidP="00B62635">
            <w:pPr>
              <w:spacing w:afterLines="0" w:line="240" w:lineRule="auto"/>
            </w:pPr>
            <w:r w:rsidRPr="00B62635">
              <w:t>32</w:t>
            </w:r>
          </w:p>
        </w:tc>
        <w:tc>
          <w:tcPr>
            <w:tcW w:w="1079" w:type="dxa"/>
            <w:shd w:val="clear" w:color="auto" w:fill="auto"/>
            <w:vAlign w:val="bottom"/>
          </w:tcPr>
          <w:p w:rsidR="00B62635" w:rsidRPr="00B62635" w:rsidRDefault="00B62635" w:rsidP="00B62635">
            <w:pPr>
              <w:spacing w:afterLines="0" w:line="240" w:lineRule="auto"/>
            </w:pPr>
            <w:r w:rsidRPr="00B62635">
              <w:t>9.4</w:t>
            </w:r>
          </w:p>
        </w:tc>
        <w:tc>
          <w:tcPr>
            <w:tcW w:w="1078" w:type="dxa"/>
            <w:shd w:val="clear" w:color="auto" w:fill="auto"/>
            <w:vAlign w:val="bottom"/>
          </w:tcPr>
          <w:p w:rsidR="00B62635" w:rsidRPr="00B62635" w:rsidRDefault="00B62635" w:rsidP="00B62635">
            <w:pPr>
              <w:spacing w:afterLines="0" w:line="240" w:lineRule="auto"/>
            </w:pPr>
            <w:r w:rsidRPr="00B62635">
              <w:t>13</w:t>
            </w:r>
          </w:p>
        </w:tc>
        <w:tc>
          <w:tcPr>
            <w:tcW w:w="1079" w:type="dxa"/>
            <w:shd w:val="clear" w:color="auto" w:fill="auto"/>
            <w:vAlign w:val="bottom"/>
          </w:tcPr>
          <w:p w:rsidR="00B62635" w:rsidRPr="00B62635" w:rsidRDefault="00B62635" w:rsidP="00B62635">
            <w:pPr>
              <w:spacing w:afterLines="0" w:line="240" w:lineRule="auto"/>
            </w:pPr>
            <w:r w:rsidRPr="00B62635">
              <w:t>5.5</w:t>
            </w:r>
          </w:p>
        </w:tc>
        <w:tc>
          <w:tcPr>
            <w:tcW w:w="1078" w:type="dxa"/>
            <w:shd w:val="clear" w:color="auto" w:fill="auto"/>
            <w:vAlign w:val="bottom"/>
          </w:tcPr>
          <w:p w:rsidR="00B62635" w:rsidRPr="00B62635" w:rsidRDefault="00B62635" w:rsidP="00B62635">
            <w:pPr>
              <w:spacing w:afterLines="0" w:line="240" w:lineRule="auto"/>
            </w:pPr>
            <w:r w:rsidRPr="00B62635">
              <w:t>2</w:t>
            </w:r>
          </w:p>
        </w:tc>
        <w:tc>
          <w:tcPr>
            <w:tcW w:w="1079" w:type="dxa"/>
            <w:shd w:val="clear" w:color="auto" w:fill="auto"/>
            <w:vAlign w:val="bottom"/>
          </w:tcPr>
          <w:p w:rsidR="00B62635" w:rsidRPr="00B62635" w:rsidRDefault="00B62635" w:rsidP="00B62635">
            <w:pPr>
              <w:spacing w:afterLines="0" w:line="240" w:lineRule="auto"/>
            </w:pPr>
            <w:r w:rsidRPr="00B62635">
              <w:t>4.0</w:t>
            </w:r>
          </w:p>
        </w:tc>
        <w:tc>
          <w:tcPr>
            <w:tcW w:w="1078" w:type="dxa"/>
            <w:shd w:val="clear" w:color="auto" w:fill="auto"/>
            <w:vAlign w:val="bottom"/>
          </w:tcPr>
          <w:p w:rsidR="00B62635" w:rsidRPr="00B62635" w:rsidRDefault="00B62635" w:rsidP="00B62635">
            <w:pPr>
              <w:spacing w:afterLines="0" w:line="240" w:lineRule="auto"/>
            </w:pPr>
            <w:r w:rsidRPr="00B62635">
              <w:t>3</w:t>
            </w:r>
          </w:p>
        </w:tc>
        <w:tc>
          <w:tcPr>
            <w:tcW w:w="1079" w:type="dxa"/>
            <w:shd w:val="clear" w:color="auto" w:fill="auto"/>
            <w:vAlign w:val="bottom"/>
          </w:tcPr>
          <w:p w:rsidR="00B62635" w:rsidRPr="00B62635" w:rsidRDefault="00B62635" w:rsidP="00B62635">
            <w:pPr>
              <w:spacing w:afterLines="0" w:line="240" w:lineRule="auto"/>
            </w:pPr>
            <w:r w:rsidRPr="00B62635">
              <w:t>3.9</w:t>
            </w:r>
          </w:p>
        </w:tc>
      </w:tr>
      <w:tr w:rsidR="00B62635" w:rsidRPr="00B62635" w:rsidTr="00B62635">
        <w:trPr>
          <w:jc w:val="center"/>
        </w:trPr>
        <w:tc>
          <w:tcPr>
            <w:tcW w:w="1106" w:type="dxa"/>
          </w:tcPr>
          <w:p w:rsidR="00B62635" w:rsidRPr="00B62635" w:rsidRDefault="00B62635" w:rsidP="00B62635">
            <w:pPr>
              <w:spacing w:afterLines="0" w:line="240" w:lineRule="auto"/>
            </w:pPr>
            <w:r w:rsidRPr="00B62635">
              <w:t>Q2 2012</w:t>
            </w:r>
          </w:p>
        </w:tc>
        <w:tc>
          <w:tcPr>
            <w:tcW w:w="1078" w:type="dxa"/>
            <w:shd w:val="clear" w:color="auto" w:fill="auto"/>
            <w:vAlign w:val="bottom"/>
          </w:tcPr>
          <w:p w:rsidR="00B62635" w:rsidRPr="00B62635" w:rsidRDefault="00B62635" w:rsidP="00B62635">
            <w:pPr>
              <w:spacing w:afterLines="0" w:line="240" w:lineRule="auto"/>
            </w:pPr>
            <w:r w:rsidRPr="00B62635">
              <w:t>23</w:t>
            </w:r>
          </w:p>
        </w:tc>
        <w:tc>
          <w:tcPr>
            <w:tcW w:w="1079" w:type="dxa"/>
            <w:shd w:val="clear" w:color="auto" w:fill="auto"/>
            <w:vAlign w:val="bottom"/>
          </w:tcPr>
          <w:p w:rsidR="00B62635" w:rsidRPr="00B62635" w:rsidRDefault="00B62635" w:rsidP="00B62635">
            <w:pPr>
              <w:spacing w:afterLines="0" w:line="240" w:lineRule="auto"/>
            </w:pPr>
            <w:r w:rsidRPr="00B62635">
              <w:t>6.7</w:t>
            </w:r>
          </w:p>
        </w:tc>
        <w:tc>
          <w:tcPr>
            <w:tcW w:w="1078" w:type="dxa"/>
            <w:shd w:val="clear" w:color="auto" w:fill="auto"/>
            <w:vAlign w:val="bottom"/>
          </w:tcPr>
          <w:p w:rsidR="00B62635" w:rsidRPr="00B62635" w:rsidRDefault="00B62635" w:rsidP="00B62635">
            <w:pPr>
              <w:spacing w:afterLines="0" w:line="240" w:lineRule="auto"/>
            </w:pPr>
            <w:r w:rsidRPr="00B62635">
              <w:t>12</w:t>
            </w:r>
          </w:p>
        </w:tc>
        <w:tc>
          <w:tcPr>
            <w:tcW w:w="1079" w:type="dxa"/>
            <w:shd w:val="clear" w:color="auto" w:fill="auto"/>
            <w:vAlign w:val="bottom"/>
          </w:tcPr>
          <w:p w:rsidR="00B62635" w:rsidRPr="00B62635" w:rsidRDefault="00B62635" w:rsidP="00B62635">
            <w:pPr>
              <w:spacing w:afterLines="0" w:line="240" w:lineRule="auto"/>
            </w:pPr>
            <w:r w:rsidRPr="00B62635">
              <w:t>5.0</w:t>
            </w:r>
          </w:p>
        </w:tc>
        <w:tc>
          <w:tcPr>
            <w:tcW w:w="1078" w:type="dxa"/>
            <w:shd w:val="clear" w:color="auto" w:fill="auto"/>
            <w:vAlign w:val="bottom"/>
          </w:tcPr>
          <w:p w:rsidR="00B62635" w:rsidRPr="00B62635" w:rsidRDefault="00B62635" w:rsidP="00B62635">
            <w:pPr>
              <w:spacing w:afterLines="0" w:line="240" w:lineRule="auto"/>
            </w:pPr>
            <w:r w:rsidRPr="00B62635">
              <w:t>4</w:t>
            </w:r>
          </w:p>
        </w:tc>
        <w:tc>
          <w:tcPr>
            <w:tcW w:w="1079" w:type="dxa"/>
            <w:shd w:val="clear" w:color="auto" w:fill="auto"/>
            <w:vAlign w:val="bottom"/>
          </w:tcPr>
          <w:p w:rsidR="00B62635" w:rsidRPr="00B62635" w:rsidRDefault="00B62635" w:rsidP="00B62635">
            <w:pPr>
              <w:spacing w:afterLines="0" w:line="240" w:lineRule="auto"/>
            </w:pPr>
            <w:r w:rsidRPr="00B62635">
              <w:t>7.3</w:t>
            </w:r>
          </w:p>
        </w:tc>
        <w:tc>
          <w:tcPr>
            <w:tcW w:w="1078" w:type="dxa"/>
            <w:shd w:val="clear" w:color="auto" w:fill="auto"/>
            <w:vAlign w:val="bottom"/>
          </w:tcPr>
          <w:p w:rsidR="00B62635" w:rsidRPr="00B62635" w:rsidRDefault="00B62635" w:rsidP="00B62635">
            <w:pPr>
              <w:spacing w:afterLines="0" w:line="240" w:lineRule="auto"/>
            </w:pPr>
            <w:r w:rsidRPr="00B62635">
              <w:t>4</w:t>
            </w:r>
          </w:p>
        </w:tc>
        <w:tc>
          <w:tcPr>
            <w:tcW w:w="1079" w:type="dxa"/>
            <w:shd w:val="clear" w:color="auto" w:fill="auto"/>
            <w:vAlign w:val="bottom"/>
          </w:tcPr>
          <w:p w:rsidR="00B62635" w:rsidRPr="00B62635" w:rsidRDefault="00B62635" w:rsidP="00B62635">
            <w:pPr>
              <w:spacing w:afterLines="0" w:line="240" w:lineRule="auto"/>
            </w:pPr>
            <w:r w:rsidRPr="00B62635">
              <w:t>5.2</w:t>
            </w:r>
          </w:p>
        </w:tc>
      </w:tr>
      <w:tr w:rsidR="00B62635" w:rsidRPr="00B62635" w:rsidTr="00B62635">
        <w:trPr>
          <w:jc w:val="center"/>
        </w:trPr>
        <w:tc>
          <w:tcPr>
            <w:tcW w:w="1106" w:type="dxa"/>
          </w:tcPr>
          <w:p w:rsidR="00B62635" w:rsidRPr="00B62635" w:rsidRDefault="00B62635" w:rsidP="00B62635">
            <w:pPr>
              <w:spacing w:afterLines="0" w:line="240" w:lineRule="auto"/>
            </w:pPr>
            <w:r w:rsidRPr="00B62635">
              <w:t>Q3 2012</w:t>
            </w:r>
          </w:p>
        </w:tc>
        <w:tc>
          <w:tcPr>
            <w:tcW w:w="1078" w:type="dxa"/>
            <w:shd w:val="clear" w:color="auto" w:fill="auto"/>
            <w:vAlign w:val="bottom"/>
          </w:tcPr>
          <w:p w:rsidR="00B62635" w:rsidRPr="00B62635" w:rsidRDefault="00B62635" w:rsidP="00B62635">
            <w:pPr>
              <w:spacing w:afterLines="0" w:line="240" w:lineRule="auto"/>
            </w:pPr>
            <w:r w:rsidRPr="00B62635">
              <w:t>24</w:t>
            </w:r>
          </w:p>
        </w:tc>
        <w:tc>
          <w:tcPr>
            <w:tcW w:w="1079" w:type="dxa"/>
            <w:shd w:val="clear" w:color="auto" w:fill="auto"/>
            <w:vAlign w:val="bottom"/>
          </w:tcPr>
          <w:p w:rsidR="00B62635" w:rsidRPr="00B62635" w:rsidRDefault="00B62635" w:rsidP="00B62635">
            <w:pPr>
              <w:spacing w:afterLines="0" w:line="240" w:lineRule="auto"/>
            </w:pPr>
            <w:r w:rsidRPr="00B62635">
              <w:t>6.6</w:t>
            </w:r>
          </w:p>
        </w:tc>
        <w:tc>
          <w:tcPr>
            <w:tcW w:w="1078" w:type="dxa"/>
            <w:shd w:val="clear" w:color="auto" w:fill="auto"/>
            <w:vAlign w:val="bottom"/>
          </w:tcPr>
          <w:p w:rsidR="00B62635" w:rsidRPr="00B62635" w:rsidRDefault="00B62635" w:rsidP="00B62635">
            <w:pPr>
              <w:spacing w:afterLines="0" w:line="240" w:lineRule="auto"/>
            </w:pPr>
            <w:r w:rsidRPr="00B62635">
              <w:t>6</w:t>
            </w:r>
          </w:p>
        </w:tc>
        <w:tc>
          <w:tcPr>
            <w:tcW w:w="1079" w:type="dxa"/>
            <w:shd w:val="clear" w:color="auto" w:fill="auto"/>
            <w:vAlign w:val="bottom"/>
          </w:tcPr>
          <w:p w:rsidR="00B62635" w:rsidRPr="00B62635" w:rsidRDefault="00B62635" w:rsidP="00B62635">
            <w:pPr>
              <w:spacing w:afterLines="0" w:line="240" w:lineRule="auto"/>
            </w:pPr>
            <w:r w:rsidRPr="00B62635">
              <w:t>2.4</w:t>
            </w:r>
          </w:p>
        </w:tc>
        <w:tc>
          <w:tcPr>
            <w:tcW w:w="1078" w:type="dxa"/>
            <w:shd w:val="clear" w:color="auto" w:fill="auto"/>
            <w:vAlign w:val="bottom"/>
          </w:tcPr>
          <w:p w:rsidR="00B62635" w:rsidRPr="00B62635" w:rsidRDefault="00B62635" w:rsidP="00B62635">
            <w:pPr>
              <w:spacing w:afterLines="0" w:line="240" w:lineRule="auto"/>
            </w:pPr>
            <w:r w:rsidRPr="00B62635">
              <w:t>3</w:t>
            </w:r>
          </w:p>
        </w:tc>
        <w:tc>
          <w:tcPr>
            <w:tcW w:w="1079" w:type="dxa"/>
            <w:shd w:val="clear" w:color="auto" w:fill="auto"/>
            <w:vAlign w:val="bottom"/>
          </w:tcPr>
          <w:p w:rsidR="00B62635" w:rsidRPr="00B62635" w:rsidRDefault="00B62635" w:rsidP="00B62635">
            <w:pPr>
              <w:spacing w:afterLines="0" w:line="240" w:lineRule="auto"/>
            </w:pPr>
            <w:r w:rsidRPr="00B62635">
              <w:t>5.1</w:t>
            </w:r>
          </w:p>
        </w:tc>
        <w:tc>
          <w:tcPr>
            <w:tcW w:w="1078" w:type="dxa"/>
            <w:shd w:val="clear" w:color="auto" w:fill="auto"/>
            <w:vAlign w:val="bottom"/>
          </w:tcPr>
          <w:p w:rsidR="00B62635" w:rsidRPr="00B62635" w:rsidRDefault="00B62635" w:rsidP="00B62635">
            <w:pPr>
              <w:spacing w:afterLines="0" w:line="240" w:lineRule="auto"/>
            </w:pPr>
            <w:r w:rsidRPr="00B62635">
              <w:t>6</w:t>
            </w:r>
          </w:p>
        </w:tc>
        <w:tc>
          <w:tcPr>
            <w:tcW w:w="1079" w:type="dxa"/>
            <w:shd w:val="clear" w:color="auto" w:fill="auto"/>
            <w:vAlign w:val="bottom"/>
          </w:tcPr>
          <w:p w:rsidR="00B62635" w:rsidRPr="00B62635" w:rsidRDefault="00B62635" w:rsidP="00B62635">
            <w:pPr>
              <w:spacing w:afterLines="0" w:line="240" w:lineRule="auto"/>
            </w:pPr>
            <w:r w:rsidRPr="00B62635">
              <w:t>7.3</w:t>
            </w:r>
          </w:p>
        </w:tc>
      </w:tr>
      <w:tr w:rsidR="00B62635" w:rsidRPr="00B62635" w:rsidTr="00B62635">
        <w:trPr>
          <w:jc w:val="center"/>
        </w:trPr>
        <w:tc>
          <w:tcPr>
            <w:tcW w:w="1106" w:type="dxa"/>
          </w:tcPr>
          <w:p w:rsidR="00B62635" w:rsidRPr="00B62635" w:rsidRDefault="00B62635" w:rsidP="00B62635">
            <w:pPr>
              <w:spacing w:afterLines="0" w:line="240" w:lineRule="auto"/>
            </w:pPr>
            <w:r w:rsidRPr="00B62635">
              <w:t>Q4 2012</w:t>
            </w:r>
          </w:p>
        </w:tc>
        <w:tc>
          <w:tcPr>
            <w:tcW w:w="1078" w:type="dxa"/>
            <w:shd w:val="clear" w:color="auto" w:fill="auto"/>
            <w:vAlign w:val="bottom"/>
          </w:tcPr>
          <w:p w:rsidR="00B62635" w:rsidRPr="00B62635" w:rsidRDefault="00B62635" w:rsidP="00B62635">
            <w:pPr>
              <w:spacing w:afterLines="0" w:line="240" w:lineRule="auto"/>
            </w:pPr>
            <w:r w:rsidRPr="00B62635">
              <w:t>24</w:t>
            </w:r>
          </w:p>
        </w:tc>
        <w:tc>
          <w:tcPr>
            <w:tcW w:w="1079" w:type="dxa"/>
            <w:shd w:val="clear" w:color="auto" w:fill="auto"/>
            <w:vAlign w:val="bottom"/>
          </w:tcPr>
          <w:p w:rsidR="00B62635" w:rsidRPr="00B62635" w:rsidRDefault="00B62635" w:rsidP="00B62635">
            <w:pPr>
              <w:spacing w:afterLines="0" w:line="240" w:lineRule="auto"/>
            </w:pPr>
            <w:r w:rsidRPr="00B62635">
              <w:t>6.9</w:t>
            </w:r>
          </w:p>
        </w:tc>
        <w:tc>
          <w:tcPr>
            <w:tcW w:w="1078" w:type="dxa"/>
            <w:shd w:val="clear" w:color="auto" w:fill="auto"/>
            <w:vAlign w:val="bottom"/>
          </w:tcPr>
          <w:p w:rsidR="00B62635" w:rsidRPr="00B62635" w:rsidRDefault="00B62635" w:rsidP="00B62635">
            <w:pPr>
              <w:spacing w:afterLines="0" w:line="240" w:lineRule="auto"/>
            </w:pPr>
            <w:r w:rsidRPr="00B62635">
              <w:t>7</w:t>
            </w:r>
          </w:p>
        </w:tc>
        <w:tc>
          <w:tcPr>
            <w:tcW w:w="1079" w:type="dxa"/>
            <w:shd w:val="clear" w:color="auto" w:fill="auto"/>
            <w:vAlign w:val="bottom"/>
          </w:tcPr>
          <w:p w:rsidR="00B62635" w:rsidRPr="00B62635" w:rsidRDefault="00B62635" w:rsidP="00B62635">
            <w:pPr>
              <w:spacing w:afterLines="0" w:line="240" w:lineRule="auto"/>
            </w:pPr>
            <w:r w:rsidRPr="00B62635">
              <w:t>2.8</w:t>
            </w:r>
          </w:p>
        </w:tc>
        <w:tc>
          <w:tcPr>
            <w:tcW w:w="1078" w:type="dxa"/>
            <w:shd w:val="clear" w:color="auto" w:fill="auto"/>
            <w:vAlign w:val="bottom"/>
          </w:tcPr>
          <w:p w:rsidR="00B62635" w:rsidRPr="00B62635" w:rsidRDefault="00B62635" w:rsidP="00B62635">
            <w:pPr>
              <w:spacing w:afterLines="0" w:line="240" w:lineRule="auto"/>
            </w:pPr>
            <w:r w:rsidRPr="00B62635">
              <w:t>4</w:t>
            </w:r>
          </w:p>
        </w:tc>
        <w:tc>
          <w:tcPr>
            <w:tcW w:w="1079" w:type="dxa"/>
            <w:shd w:val="clear" w:color="auto" w:fill="auto"/>
            <w:vAlign w:val="bottom"/>
          </w:tcPr>
          <w:p w:rsidR="00B62635" w:rsidRPr="00B62635" w:rsidRDefault="00B62635" w:rsidP="00B62635">
            <w:pPr>
              <w:spacing w:afterLines="0" w:line="240" w:lineRule="auto"/>
            </w:pPr>
            <w:r w:rsidRPr="00B62635">
              <w:t>7.9</w:t>
            </w:r>
          </w:p>
        </w:tc>
        <w:tc>
          <w:tcPr>
            <w:tcW w:w="1078" w:type="dxa"/>
            <w:shd w:val="clear" w:color="auto" w:fill="auto"/>
            <w:vAlign w:val="bottom"/>
          </w:tcPr>
          <w:p w:rsidR="00B62635" w:rsidRPr="00B62635" w:rsidRDefault="00B62635" w:rsidP="00B62635">
            <w:pPr>
              <w:spacing w:afterLines="0" w:line="240" w:lineRule="auto"/>
            </w:pPr>
            <w:r w:rsidRPr="00B62635">
              <w:t>10</w:t>
            </w:r>
          </w:p>
        </w:tc>
        <w:tc>
          <w:tcPr>
            <w:tcW w:w="1079" w:type="dxa"/>
            <w:shd w:val="clear" w:color="auto" w:fill="auto"/>
            <w:vAlign w:val="bottom"/>
          </w:tcPr>
          <w:p w:rsidR="00B62635" w:rsidRPr="00B62635" w:rsidRDefault="00B62635" w:rsidP="00B62635">
            <w:pPr>
              <w:spacing w:afterLines="0" w:line="240" w:lineRule="auto"/>
            </w:pPr>
            <w:r w:rsidRPr="00B62635">
              <w:t>12.3</w:t>
            </w:r>
          </w:p>
        </w:tc>
      </w:tr>
      <w:tr w:rsidR="00B62635" w:rsidRPr="00B62635" w:rsidTr="00B62635">
        <w:trPr>
          <w:jc w:val="center"/>
        </w:trPr>
        <w:tc>
          <w:tcPr>
            <w:tcW w:w="1106" w:type="dxa"/>
          </w:tcPr>
          <w:p w:rsidR="00B62635" w:rsidRPr="00B62635" w:rsidRDefault="00B62635" w:rsidP="00B62635">
            <w:pPr>
              <w:spacing w:afterLines="0" w:line="240" w:lineRule="auto"/>
            </w:pPr>
            <w:r w:rsidRPr="00B62635">
              <w:t>Q1 2013</w:t>
            </w:r>
          </w:p>
        </w:tc>
        <w:tc>
          <w:tcPr>
            <w:tcW w:w="1078" w:type="dxa"/>
            <w:shd w:val="clear" w:color="auto" w:fill="auto"/>
            <w:vAlign w:val="bottom"/>
          </w:tcPr>
          <w:p w:rsidR="00B62635" w:rsidRPr="00B62635" w:rsidRDefault="00B62635" w:rsidP="00B62635">
            <w:pPr>
              <w:spacing w:afterLines="0" w:line="240" w:lineRule="auto"/>
            </w:pPr>
            <w:r w:rsidRPr="00B62635">
              <w:t>31</w:t>
            </w:r>
          </w:p>
        </w:tc>
        <w:tc>
          <w:tcPr>
            <w:tcW w:w="1079" w:type="dxa"/>
            <w:shd w:val="clear" w:color="auto" w:fill="auto"/>
            <w:vAlign w:val="bottom"/>
          </w:tcPr>
          <w:p w:rsidR="00B62635" w:rsidRPr="00B62635" w:rsidRDefault="00B62635" w:rsidP="00B62635">
            <w:pPr>
              <w:spacing w:afterLines="0" w:line="240" w:lineRule="auto"/>
            </w:pPr>
            <w:r w:rsidRPr="00B62635">
              <w:t>9.4</w:t>
            </w:r>
          </w:p>
        </w:tc>
        <w:tc>
          <w:tcPr>
            <w:tcW w:w="1078" w:type="dxa"/>
            <w:shd w:val="clear" w:color="auto" w:fill="auto"/>
            <w:vAlign w:val="bottom"/>
          </w:tcPr>
          <w:p w:rsidR="00B62635" w:rsidRPr="00B62635" w:rsidRDefault="00B62635" w:rsidP="00B62635">
            <w:pPr>
              <w:spacing w:afterLines="0" w:line="240" w:lineRule="auto"/>
            </w:pPr>
            <w:r w:rsidRPr="00B62635">
              <w:t>8</w:t>
            </w:r>
          </w:p>
        </w:tc>
        <w:tc>
          <w:tcPr>
            <w:tcW w:w="1079" w:type="dxa"/>
            <w:shd w:val="clear" w:color="auto" w:fill="auto"/>
            <w:vAlign w:val="bottom"/>
          </w:tcPr>
          <w:p w:rsidR="00B62635" w:rsidRPr="00B62635" w:rsidRDefault="00B62635" w:rsidP="00B62635">
            <w:pPr>
              <w:spacing w:afterLines="0" w:line="240" w:lineRule="auto"/>
            </w:pPr>
            <w:r w:rsidRPr="00B62635">
              <w:t>3.3</w:t>
            </w:r>
          </w:p>
        </w:tc>
        <w:tc>
          <w:tcPr>
            <w:tcW w:w="1078" w:type="dxa"/>
            <w:shd w:val="clear" w:color="auto" w:fill="auto"/>
            <w:vAlign w:val="bottom"/>
          </w:tcPr>
          <w:p w:rsidR="00B62635" w:rsidRPr="00B62635" w:rsidRDefault="00B62635" w:rsidP="00B62635">
            <w:pPr>
              <w:spacing w:afterLines="0" w:line="240" w:lineRule="auto"/>
            </w:pPr>
            <w:r w:rsidRPr="00B62635">
              <w:t>4</w:t>
            </w:r>
          </w:p>
        </w:tc>
        <w:tc>
          <w:tcPr>
            <w:tcW w:w="1079" w:type="dxa"/>
            <w:shd w:val="clear" w:color="auto" w:fill="auto"/>
            <w:vAlign w:val="bottom"/>
          </w:tcPr>
          <w:p w:rsidR="00B62635" w:rsidRPr="00B62635" w:rsidRDefault="00B62635" w:rsidP="00B62635">
            <w:pPr>
              <w:spacing w:afterLines="0" w:line="240" w:lineRule="auto"/>
            </w:pPr>
            <w:r w:rsidRPr="00B62635">
              <w:t>7.7</w:t>
            </w:r>
          </w:p>
        </w:tc>
        <w:tc>
          <w:tcPr>
            <w:tcW w:w="1078" w:type="dxa"/>
            <w:shd w:val="clear" w:color="auto" w:fill="auto"/>
            <w:vAlign w:val="bottom"/>
          </w:tcPr>
          <w:p w:rsidR="00B62635" w:rsidRPr="00B62635" w:rsidRDefault="00B62635" w:rsidP="00B62635">
            <w:pPr>
              <w:spacing w:afterLines="0" w:line="240" w:lineRule="auto"/>
            </w:pPr>
            <w:r w:rsidRPr="00B62635">
              <w:t>7</w:t>
            </w:r>
          </w:p>
        </w:tc>
        <w:tc>
          <w:tcPr>
            <w:tcW w:w="1079" w:type="dxa"/>
            <w:shd w:val="clear" w:color="auto" w:fill="auto"/>
            <w:vAlign w:val="bottom"/>
          </w:tcPr>
          <w:p w:rsidR="00B62635" w:rsidRPr="00B62635" w:rsidRDefault="00B62635" w:rsidP="00B62635">
            <w:pPr>
              <w:spacing w:afterLines="0" w:line="240" w:lineRule="auto"/>
            </w:pPr>
            <w:r w:rsidRPr="00B62635">
              <w:t>8.6</w:t>
            </w:r>
          </w:p>
        </w:tc>
      </w:tr>
      <w:tr w:rsidR="00B62635" w:rsidRPr="00B62635" w:rsidTr="00B62635">
        <w:trPr>
          <w:jc w:val="center"/>
        </w:trPr>
        <w:tc>
          <w:tcPr>
            <w:tcW w:w="1106" w:type="dxa"/>
          </w:tcPr>
          <w:p w:rsidR="00B62635" w:rsidRPr="00B62635" w:rsidRDefault="00B62635" w:rsidP="00B62635">
            <w:pPr>
              <w:spacing w:afterLines="0" w:line="240" w:lineRule="auto"/>
            </w:pPr>
            <w:r w:rsidRPr="00B62635">
              <w:t>Q2 2013</w:t>
            </w:r>
          </w:p>
        </w:tc>
        <w:tc>
          <w:tcPr>
            <w:tcW w:w="1078" w:type="dxa"/>
            <w:shd w:val="clear" w:color="auto" w:fill="auto"/>
            <w:vAlign w:val="bottom"/>
          </w:tcPr>
          <w:p w:rsidR="00B62635" w:rsidRPr="00B62635" w:rsidRDefault="00B62635" w:rsidP="00B62635">
            <w:pPr>
              <w:spacing w:afterLines="0" w:line="240" w:lineRule="auto"/>
            </w:pPr>
            <w:r w:rsidRPr="00B62635">
              <w:t>32</w:t>
            </w:r>
          </w:p>
        </w:tc>
        <w:tc>
          <w:tcPr>
            <w:tcW w:w="1079" w:type="dxa"/>
            <w:shd w:val="clear" w:color="auto" w:fill="auto"/>
            <w:vAlign w:val="bottom"/>
          </w:tcPr>
          <w:p w:rsidR="00B62635" w:rsidRPr="00B62635" w:rsidRDefault="00B62635" w:rsidP="00B62635">
            <w:pPr>
              <w:spacing w:afterLines="0" w:line="240" w:lineRule="auto"/>
            </w:pPr>
            <w:r w:rsidRPr="00B62635">
              <w:t>8.7</w:t>
            </w:r>
          </w:p>
        </w:tc>
        <w:tc>
          <w:tcPr>
            <w:tcW w:w="1078" w:type="dxa"/>
            <w:shd w:val="clear" w:color="auto" w:fill="auto"/>
            <w:vAlign w:val="bottom"/>
          </w:tcPr>
          <w:p w:rsidR="00B62635" w:rsidRPr="00B62635" w:rsidRDefault="00B62635" w:rsidP="00B62635">
            <w:pPr>
              <w:spacing w:afterLines="0" w:line="240" w:lineRule="auto"/>
            </w:pPr>
            <w:r w:rsidRPr="00B62635">
              <w:t>9</w:t>
            </w:r>
          </w:p>
        </w:tc>
        <w:tc>
          <w:tcPr>
            <w:tcW w:w="1079" w:type="dxa"/>
            <w:shd w:val="clear" w:color="auto" w:fill="auto"/>
            <w:vAlign w:val="bottom"/>
          </w:tcPr>
          <w:p w:rsidR="00B62635" w:rsidRPr="00B62635" w:rsidRDefault="00B62635" w:rsidP="00B62635">
            <w:pPr>
              <w:spacing w:afterLines="0" w:line="240" w:lineRule="auto"/>
            </w:pPr>
            <w:r w:rsidRPr="00B62635">
              <w:t>3.4</w:t>
            </w:r>
          </w:p>
        </w:tc>
        <w:tc>
          <w:tcPr>
            <w:tcW w:w="1078" w:type="dxa"/>
            <w:shd w:val="clear" w:color="auto" w:fill="auto"/>
            <w:vAlign w:val="bottom"/>
          </w:tcPr>
          <w:p w:rsidR="00B62635" w:rsidRPr="00B62635" w:rsidRDefault="00B62635" w:rsidP="00B62635">
            <w:pPr>
              <w:spacing w:afterLines="0" w:line="240" w:lineRule="auto"/>
            </w:pPr>
            <w:r w:rsidRPr="00B62635">
              <w:t>5</w:t>
            </w:r>
          </w:p>
        </w:tc>
        <w:tc>
          <w:tcPr>
            <w:tcW w:w="1079" w:type="dxa"/>
            <w:shd w:val="clear" w:color="auto" w:fill="auto"/>
            <w:vAlign w:val="bottom"/>
          </w:tcPr>
          <w:p w:rsidR="00B62635" w:rsidRPr="00B62635" w:rsidRDefault="00B62635" w:rsidP="00B62635">
            <w:pPr>
              <w:spacing w:afterLines="0" w:line="240" w:lineRule="auto"/>
            </w:pPr>
            <w:r w:rsidRPr="00B62635">
              <w:t>9.8</w:t>
            </w:r>
          </w:p>
        </w:tc>
        <w:tc>
          <w:tcPr>
            <w:tcW w:w="1078" w:type="dxa"/>
            <w:shd w:val="clear" w:color="auto" w:fill="auto"/>
            <w:vAlign w:val="bottom"/>
          </w:tcPr>
          <w:p w:rsidR="00B62635" w:rsidRPr="00B62635" w:rsidRDefault="00B62635" w:rsidP="00B62635">
            <w:pPr>
              <w:spacing w:afterLines="0" w:line="240" w:lineRule="auto"/>
            </w:pPr>
            <w:r w:rsidRPr="00B62635">
              <w:t>11</w:t>
            </w:r>
          </w:p>
        </w:tc>
        <w:tc>
          <w:tcPr>
            <w:tcW w:w="1079" w:type="dxa"/>
            <w:shd w:val="clear" w:color="auto" w:fill="auto"/>
            <w:vAlign w:val="bottom"/>
          </w:tcPr>
          <w:p w:rsidR="00B62635" w:rsidRPr="00B62635" w:rsidRDefault="00B62635" w:rsidP="00B62635">
            <w:pPr>
              <w:spacing w:afterLines="0" w:line="240" w:lineRule="auto"/>
            </w:pPr>
            <w:r w:rsidRPr="00B62635">
              <w:t>13.2</w:t>
            </w:r>
          </w:p>
        </w:tc>
      </w:tr>
      <w:tr w:rsidR="00B62635" w:rsidRPr="00B62635" w:rsidTr="00B62635">
        <w:trPr>
          <w:jc w:val="center"/>
        </w:trPr>
        <w:tc>
          <w:tcPr>
            <w:tcW w:w="1106" w:type="dxa"/>
          </w:tcPr>
          <w:p w:rsidR="00B62635" w:rsidRPr="00B62635" w:rsidRDefault="00B62635" w:rsidP="00B62635">
            <w:pPr>
              <w:spacing w:afterLines="0" w:line="240" w:lineRule="auto"/>
            </w:pPr>
            <w:r w:rsidRPr="00B62635">
              <w:t>Q3 2013</w:t>
            </w:r>
          </w:p>
        </w:tc>
        <w:tc>
          <w:tcPr>
            <w:tcW w:w="1078" w:type="dxa"/>
            <w:shd w:val="clear" w:color="auto" w:fill="auto"/>
            <w:vAlign w:val="bottom"/>
          </w:tcPr>
          <w:p w:rsidR="00B62635" w:rsidRPr="00B62635" w:rsidRDefault="00B62635" w:rsidP="00B62635">
            <w:pPr>
              <w:spacing w:afterLines="0" w:line="240" w:lineRule="auto"/>
            </w:pPr>
            <w:r w:rsidRPr="00B62635">
              <w:t>34</w:t>
            </w:r>
          </w:p>
        </w:tc>
        <w:tc>
          <w:tcPr>
            <w:tcW w:w="1079" w:type="dxa"/>
            <w:shd w:val="clear" w:color="auto" w:fill="auto"/>
            <w:vAlign w:val="bottom"/>
          </w:tcPr>
          <w:p w:rsidR="00B62635" w:rsidRPr="00B62635" w:rsidRDefault="00B62635" w:rsidP="00B62635">
            <w:pPr>
              <w:spacing w:afterLines="0" w:line="240" w:lineRule="auto"/>
            </w:pPr>
            <w:r w:rsidRPr="00B62635">
              <w:t>9.1</w:t>
            </w:r>
          </w:p>
        </w:tc>
        <w:tc>
          <w:tcPr>
            <w:tcW w:w="1078" w:type="dxa"/>
            <w:shd w:val="clear" w:color="auto" w:fill="auto"/>
            <w:vAlign w:val="bottom"/>
          </w:tcPr>
          <w:p w:rsidR="00B62635" w:rsidRPr="00B62635" w:rsidRDefault="00B62635" w:rsidP="00B62635">
            <w:pPr>
              <w:spacing w:afterLines="0" w:line="240" w:lineRule="auto"/>
            </w:pPr>
            <w:r w:rsidRPr="00B62635">
              <w:t>6</w:t>
            </w:r>
          </w:p>
        </w:tc>
        <w:tc>
          <w:tcPr>
            <w:tcW w:w="1079" w:type="dxa"/>
            <w:shd w:val="clear" w:color="auto" w:fill="auto"/>
            <w:vAlign w:val="bottom"/>
          </w:tcPr>
          <w:p w:rsidR="00B62635" w:rsidRPr="00B62635" w:rsidRDefault="00B62635" w:rsidP="00B62635">
            <w:pPr>
              <w:spacing w:afterLines="0" w:line="240" w:lineRule="auto"/>
            </w:pPr>
            <w:r w:rsidRPr="00B62635">
              <w:t>2.1</w:t>
            </w:r>
          </w:p>
        </w:tc>
        <w:tc>
          <w:tcPr>
            <w:tcW w:w="1078" w:type="dxa"/>
            <w:shd w:val="clear" w:color="auto" w:fill="auto"/>
            <w:vAlign w:val="bottom"/>
          </w:tcPr>
          <w:p w:rsidR="00B62635" w:rsidRPr="00B62635" w:rsidRDefault="00B62635" w:rsidP="00B62635">
            <w:pPr>
              <w:spacing w:afterLines="0" w:line="240" w:lineRule="auto"/>
            </w:pPr>
            <w:r w:rsidRPr="00B62635">
              <w:t>4</w:t>
            </w:r>
          </w:p>
        </w:tc>
        <w:tc>
          <w:tcPr>
            <w:tcW w:w="1079" w:type="dxa"/>
            <w:shd w:val="clear" w:color="auto" w:fill="auto"/>
            <w:vAlign w:val="bottom"/>
          </w:tcPr>
          <w:p w:rsidR="00B62635" w:rsidRPr="00B62635" w:rsidRDefault="00B62635" w:rsidP="00B62635">
            <w:pPr>
              <w:spacing w:afterLines="0" w:line="240" w:lineRule="auto"/>
            </w:pPr>
            <w:r w:rsidRPr="00B62635">
              <w:t>7.0</w:t>
            </w:r>
          </w:p>
        </w:tc>
        <w:tc>
          <w:tcPr>
            <w:tcW w:w="1078" w:type="dxa"/>
            <w:shd w:val="clear" w:color="auto" w:fill="auto"/>
            <w:vAlign w:val="bottom"/>
          </w:tcPr>
          <w:p w:rsidR="00B62635" w:rsidRPr="00B62635" w:rsidRDefault="00B62635" w:rsidP="00B62635">
            <w:pPr>
              <w:spacing w:afterLines="0" w:line="240" w:lineRule="auto"/>
            </w:pPr>
            <w:r w:rsidRPr="00B62635">
              <w:t>11</w:t>
            </w:r>
          </w:p>
        </w:tc>
        <w:tc>
          <w:tcPr>
            <w:tcW w:w="1079" w:type="dxa"/>
            <w:shd w:val="clear" w:color="auto" w:fill="auto"/>
            <w:vAlign w:val="bottom"/>
          </w:tcPr>
          <w:p w:rsidR="00B62635" w:rsidRPr="00B62635" w:rsidRDefault="00B62635" w:rsidP="00B62635">
            <w:pPr>
              <w:spacing w:afterLines="0" w:line="240" w:lineRule="auto"/>
            </w:pPr>
            <w:r w:rsidRPr="00B62635">
              <w:t>12.5</w:t>
            </w:r>
          </w:p>
        </w:tc>
      </w:tr>
      <w:tr w:rsidR="00B62635" w:rsidRPr="00B62635" w:rsidTr="00B62635">
        <w:trPr>
          <w:jc w:val="center"/>
        </w:trPr>
        <w:tc>
          <w:tcPr>
            <w:tcW w:w="1106" w:type="dxa"/>
          </w:tcPr>
          <w:p w:rsidR="00B62635" w:rsidRPr="00B62635" w:rsidRDefault="00B62635" w:rsidP="00B62635">
            <w:pPr>
              <w:spacing w:afterLines="0" w:line="240" w:lineRule="auto"/>
            </w:pPr>
            <w:r w:rsidRPr="00B62635">
              <w:t>Q4 2013</w:t>
            </w:r>
          </w:p>
        </w:tc>
        <w:tc>
          <w:tcPr>
            <w:tcW w:w="1078" w:type="dxa"/>
            <w:shd w:val="clear" w:color="auto" w:fill="auto"/>
            <w:vAlign w:val="bottom"/>
          </w:tcPr>
          <w:p w:rsidR="00B62635" w:rsidRPr="00B62635" w:rsidRDefault="00B62635" w:rsidP="00B62635">
            <w:pPr>
              <w:spacing w:afterLines="0" w:line="240" w:lineRule="auto"/>
            </w:pPr>
            <w:r w:rsidRPr="00B62635">
              <w:t>25</w:t>
            </w:r>
          </w:p>
        </w:tc>
        <w:tc>
          <w:tcPr>
            <w:tcW w:w="1079" w:type="dxa"/>
            <w:shd w:val="clear" w:color="auto" w:fill="auto"/>
            <w:vAlign w:val="bottom"/>
          </w:tcPr>
          <w:p w:rsidR="00B62635" w:rsidRPr="00B62635" w:rsidRDefault="00B62635" w:rsidP="00B62635">
            <w:pPr>
              <w:spacing w:afterLines="0" w:line="240" w:lineRule="auto"/>
            </w:pPr>
            <w:r w:rsidRPr="00B62635">
              <w:t>6.8</w:t>
            </w:r>
          </w:p>
        </w:tc>
        <w:tc>
          <w:tcPr>
            <w:tcW w:w="1078" w:type="dxa"/>
            <w:shd w:val="clear" w:color="auto" w:fill="auto"/>
            <w:vAlign w:val="bottom"/>
          </w:tcPr>
          <w:p w:rsidR="00B62635" w:rsidRPr="00B62635" w:rsidRDefault="00B62635" w:rsidP="00B62635">
            <w:pPr>
              <w:spacing w:afterLines="0" w:line="240" w:lineRule="auto"/>
            </w:pPr>
            <w:r w:rsidRPr="00B62635">
              <w:t>7</w:t>
            </w:r>
          </w:p>
        </w:tc>
        <w:tc>
          <w:tcPr>
            <w:tcW w:w="1079" w:type="dxa"/>
            <w:shd w:val="clear" w:color="auto" w:fill="auto"/>
            <w:vAlign w:val="bottom"/>
          </w:tcPr>
          <w:p w:rsidR="00B62635" w:rsidRPr="00B62635" w:rsidRDefault="00B62635" w:rsidP="00B62635">
            <w:pPr>
              <w:spacing w:afterLines="0" w:line="240" w:lineRule="auto"/>
            </w:pPr>
            <w:r w:rsidRPr="00B62635">
              <w:t>2.6</w:t>
            </w:r>
          </w:p>
        </w:tc>
        <w:tc>
          <w:tcPr>
            <w:tcW w:w="1078" w:type="dxa"/>
            <w:shd w:val="clear" w:color="auto" w:fill="auto"/>
            <w:vAlign w:val="bottom"/>
          </w:tcPr>
          <w:p w:rsidR="00B62635" w:rsidRPr="00B62635" w:rsidRDefault="00B62635" w:rsidP="00B62635">
            <w:pPr>
              <w:spacing w:afterLines="0" w:line="240" w:lineRule="auto"/>
            </w:pPr>
            <w:r w:rsidRPr="00B62635">
              <w:t>4</w:t>
            </w:r>
          </w:p>
        </w:tc>
        <w:tc>
          <w:tcPr>
            <w:tcW w:w="1079" w:type="dxa"/>
            <w:shd w:val="clear" w:color="auto" w:fill="auto"/>
            <w:vAlign w:val="bottom"/>
          </w:tcPr>
          <w:p w:rsidR="00B62635" w:rsidRPr="00B62635" w:rsidRDefault="00B62635" w:rsidP="00B62635">
            <w:pPr>
              <w:spacing w:afterLines="0" w:line="240" w:lineRule="auto"/>
            </w:pPr>
            <w:r w:rsidRPr="00B62635">
              <w:t>7.3</w:t>
            </w:r>
          </w:p>
        </w:tc>
        <w:tc>
          <w:tcPr>
            <w:tcW w:w="1078" w:type="dxa"/>
            <w:shd w:val="clear" w:color="auto" w:fill="auto"/>
            <w:vAlign w:val="bottom"/>
          </w:tcPr>
          <w:p w:rsidR="00B62635" w:rsidRPr="00B62635" w:rsidRDefault="00B62635" w:rsidP="00B62635">
            <w:pPr>
              <w:spacing w:afterLines="0" w:line="240" w:lineRule="auto"/>
            </w:pPr>
            <w:r w:rsidRPr="00B62635">
              <w:t>6</w:t>
            </w:r>
          </w:p>
        </w:tc>
        <w:tc>
          <w:tcPr>
            <w:tcW w:w="1079" w:type="dxa"/>
            <w:shd w:val="clear" w:color="auto" w:fill="auto"/>
            <w:vAlign w:val="bottom"/>
          </w:tcPr>
          <w:p w:rsidR="00B62635" w:rsidRPr="00B62635" w:rsidRDefault="00B62635" w:rsidP="00B62635">
            <w:pPr>
              <w:spacing w:afterLines="0" w:line="240" w:lineRule="auto"/>
            </w:pPr>
            <w:r w:rsidRPr="00B62635">
              <w:t>7.3</w:t>
            </w:r>
          </w:p>
        </w:tc>
      </w:tr>
      <w:tr w:rsidR="00B62635" w:rsidRPr="00B62635" w:rsidTr="00B62635">
        <w:trPr>
          <w:jc w:val="center"/>
        </w:trPr>
        <w:tc>
          <w:tcPr>
            <w:tcW w:w="1106" w:type="dxa"/>
          </w:tcPr>
          <w:p w:rsidR="00B62635" w:rsidRPr="00B62635" w:rsidRDefault="00B62635" w:rsidP="00B62635">
            <w:pPr>
              <w:spacing w:afterLines="0" w:line="240" w:lineRule="auto"/>
            </w:pPr>
            <w:r w:rsidRPr="00B62635">
              <w:t>Q1 2014</w:t>
            </w:r>
          </w:p>
        </w:tc>
        <w:tc>
          <w:tcPr>
            <w:tcW w:w="1078" w:type="dxa"/>
            <w:shd w:val="clear" w:color="auto" w:fill="auto"/>
            <w:vAlign w:val="bottom"/>
          </w:tcPr>
          <w:p w:rsidR="00B62635" w:rsidRPr="00B62635" w:rsidRDefault="00B62635" w:rsidP="00B62635">
            <w:pPr>
              <w:spacing w:afterLines="0" w:line="240" w:lineRule="auto"/>
            </w:pPr>
            <w:r w:rsidRPr="00B62635">
              <w:t>22</w:t>
            </w:r>
          </w:p>
        </w:tc>
        <w:tc>
          <w:tcPr>
            <w:tcW w:w="1079" w:type="dxa"/>
            <w:shd w:val="clear" w:color="auto" w:fill="auto"/>
            <w:vAlign w:val="bottom"/>
          </w:tcPr>
          <w:p w:rsidR="00B62635" w:rsidRPr="00B62635" w:rsidRDefault="00B62635" w:rsidP="00B62635">
            <w:pPr>
              <w:spacing w:afterLines="0" w:line="240" w:lineRule="auto"/>
            </w:pPr>
            <w:r w:rsidRPr="00B62635">
              <w:t>6.4</w:t>
            </w:r>
          </w:p>
        </w:tc>
        <w:tc>
          <w:tcPr>
            <w:tcW w:w="1078" w:type="dxa"/>
            <w:shd w:val="clear" w:color="auto" w:fill="auto"/>
            <w:vAlign w:val="bottom"/>
          </w:tcPr>
          <w:p w:rsidR="00B62635" w:rsidRPr="00B62635" w:rsidRDefault="00B62635" w:rsidP="00B62635">
            <w:pPr>
              <w:spacing w:afterLines="0" w:line="240" w:lineRule="auto"/>
            </w:pPr>
            <w:r w:rsidRPr="00B62635">
              <w:t>8</w:t>
            </w:r>
          </w:p>
        </w:tc>
        <w:tc>
          <w:tcPr>
            <w:tcW w:w="1079" w:type="dxa"/>
            <w:shd w:val="clear" w:color="auto" w:fill="auto"/>
            <w:vAlign w:val="bottom"/>
          </w:tcPr>
          <w:p w:rsidR="00B62635" w:rsidRPr="00B62635" w:rsidRDefault="00B62635" w:rsidP="00B62635">
            <w:pPr>
              <w:spacing w:afterLines="0" w:line="240" w:lineRule="auto"/>
            </w:pPr>
            <w:r w:rsidRPr="00B62635">
              <w:t>2.9</w:t>
            </w:r>
          </w:p>
        </w:tc>
        <w:tc>
          <w:tcPr>
            <w:tcW w:w="1078" w:type="dxa"/>
            <w:shd w:val="clear" w:color="auto" w:fill="auto"/>
            <w:vAlign w:val="bottom"/>
          </w:tcPr>
          <w:p w:rsidR="00B62635" w:rsidRPr="00B62635" w:rsidRDefault="00B62635" w:rsidP="00B62635">
            <w:pPr>
              <w:spacing w:afterLines="0" w:line="240" w:lineRule="auto"/>
            </w:pPr>
            <w:r w:rsidRPr="00B62635">
              <w:t>6</w:t>
            </w:r>
          </w:p>
        </w:tc>
        <w:tc>
          <w:tcPr>
            <w:tcW w:w="1079" w:type="dxa"/>
            <w:shd w:val="clear" w:color="auto" w:fill="auto"/>
            <w:vAlign w:val="bottom"/>
          </w:tcPr>
          <w:p w:rsidR="00B62635" w:rsidRPr="00B62635" w:rsidRDefault="00B62635" w:rsidP="00B62635">
            <w:pPr>
              <w:spacing w:afterLines="0" w:line="240" w:lineRule="auto"/>
            </w:pPr>
            <w:r w:rsidRPr="00B62635">
              <w:t>12.5</w:t>
            </w:r>
          </w:p>
        </w:tc>
        <w:tc>
          <w:tcPr>
            <w:tcW w:w="1078" w:type="dxa"/>
            <w:shd w:val="clear" w:color="auto" w:fill="auto"/>
            <w:vAlign w:val="bottom"/>
          </w:tcPr>
          <w:p w:rsidR="00B62635" w:rsidRPr="00B62635" w:rsidRDefault="00B62635" w:rsidP="00B62635">
            <w:pPr>
              <w:spacing w:afterLines="0" w:line="240" w:lineRule="auto"/>
            </w:pPr>
            <w:r w:rsidRPr="00B62635">
              <w:t>11</w:t>
            </w:r>
          </w:p>
        </w:tc>
        <w:tc>
          <w:tcPr>
            <w:tcW w:w="1079" w:type="dxa"/>
            <w:shd w:val="clear" w:color="auto" w:fill="auto"/>
            <w:vAlign w:val="bottom"/>
          </w:tcPr>
          <w:p w:rsidR="00B62635" w:rsidRPr="00B62635" w:rsidRDefault="00B62635" w:rsidP="00B62635">
            <w:pPr>
              <w:spacing w:afterLines="0" w:line="240" w:lineRule="auto"/>
            </w:pPr>
            <w:r w:rsidRPr="00B62635">
              <w:t>13.2</w:t>
            </w:r>
          </w:p>
        </w:tc>
      </w:tr>
      <w:tr w:rsidR="00B62635" w:rsidRPr="00B62635" w:rsidTr="00B62635">
        <w:trPr>
          <w:jc w:val="center"/>
        </w:trPr>
        <w:tc>
          <w:tcPr>
            <w:tcW w:w="1106" w:type="dxa"/>
          </w:tcPr>
          <w:p w:rsidR="00B62635" w:rsidRPr="00B62635" w:rsidRDefault="00B62635" w:rsidP="00B62635">
            <w:pPr>
              <w:spacing w:afterLines="0" w:line="240" w:lineRule="auto"/>
            </w:pPr>
            <w:r w:rsidRPr="00B62635">
              <w:t>Q2 2014</w:t>
            </w:r>
          </w:p>
        </w:tc>
        <w:tc>
          <w:tcPr>
            <w:tcW w:w="1078" w:type="dxa"/>
            <w:shd w:val="clear" w:color="auto" w:fill="auto"/>
            <w:vAlign w:val="bottom"/>
          </w:tcPr>
          <w:p w:rsidR="00B62635" w:rsidRPr="00B62635" w:rsidRDefault="00B62635" w:rsidP="00B62635">
            <w:pPr>
              <w:spacing w:afterLines="0" w:line="240" w:lineRule="auto"/>
            </w:pPr>
            <w:r w:rsidRPr="00B62635">
              <w:t>11</w:t>
            </w:r>
          </w:p>
        </w:tc>
        <w:tc>
          <w:tcPr>
            <w:tcW w:w="1079" w:type="dxa"/>
            <w:shd w:val="clear" w:color="auto" w:fill="auto"/>
            <w:vAlign w:val="bottom"/>
          </w:tcPr>
          <w:p w:rsidR="00B62635" w:rsidRPr="00B62635" w:rsidRDefault="00B62635" w:rsidP="00B62635">
            <w:pPr>
              <w:spacing w:afterLines="0" w:line="240" w:lineRule="auto"/>
            </w:pPr>
            <w:r w:rsidRPr="00B62635">
              <w:t>3.2</w:t>
            </w:r>
          </w:p>
        </w:tc>
        <w:tc>
          <w:tcPr>
            <w:tcW w:w="1078" w:type="dxa"/>
            <w:shd w:val="clear" w:color="auto" w:fill="auto"/>
            <w:vAlign w:val="bottom"/>
          </w:tcPr>
          <w:p w:rsidR="00B62635" w:rsidRPr="00B62635" w:rsidRDefault="00B62635" w:rsidP="00B62635">
            <w:pPr>
              <w:spacing w:afterLines="0" w:line="240" w:lineRule="auto"/>
            </w:pPr>
            <w:r w:rsidRPr="00B62635">
              <w:t>6</w:t>
            </w:r>
          </w:p>
        </w:tc>
        <w:tc>
          <w:tcPr>
            <w:tcW w:w="1079" w:type="dxa"/>
            <w:shd w:val="clear" w:color="auto" w:fill="auto"/>
            <w:vAlign w:val="bottom"/>
          </w:tcPr>
          <w:p w:rsidR="00B62635" w:rsidRPr="00B62635" w:rsidRDefault="00B62635" w:rsidP="00B62635">
            <w:pPr>
              <w:spacing w:afterLines="0" w:line="240" w:lineRule="auto"/>
            </w:pPr>
            <w:r w:rsidRPr="00B62635">
              <w:t>2.1</w:t>
            </w:r>
          </w:p>
        </w:tc>
        <w:tc>
          <w:tcPr>
            <w:tcW w:w="1078" w:type="dxa"/>
            <w:shd w:val="clear" w:color="auto" w:fill="auto"/>
            <w:vAlign w:val="bottom"/>
          </w:tcPr>
          <w:p w:rsidR="00B62635" w:rsidRPr="00B62635" w:rsidRDefault="00B62635" w:rsidP="00B62635">
            <w:pPr>
              <w:spacing w:afterLines="0" w:line="240" w:lineRule="auto"/>
            </w:pPr>
            <w:r w:rsidRPr="00B62635">
              <w:t>4</w:t>
            </w:r>
          </w:p>
        </w:tc>
        <w:tc>
          <w:tcPr>
            <w:tcW w:w="1079" w:type="dxa"/>
            <w:shd w:val="clear" w:color="auto" w:fill="auto"/>
            <w:vAlign w:val="bottom"/>
          </w:tcPr>
          <w:p w:rsidR="00B62635" w:rsidRPr="00B62635" w:rsidRDefault="00B62635" w:rsidP="00B62635">
            <w:pPr>
              <w:spacing w:afterLines="0" w:line="240" w:lineRule="auto"/>
            </w:pPr>
            <w:r w:rsidRPr="00B62635">
              <w:t>7.3</w:t>
            </w:r>
          </w:p>
        </w:tc>
        <w:tc>
          <w:tcPr>
            <w:tcW w:w="1078" w:type="dxa"/>
            <w:shd w:val="clear" w:color="auto" w:fill="auto"/>
            <w:vAlign w:val="bottom"/>
          </w:tcPr>
          <w:p w:rsidR="00B62635" w:rsidRPr="00B62635" w:rsidRDefault="00B62635" w:rsidP="00B62635">
            <w:pPr>
              <w:spacing w:afterLines="0" w:line="240" w:lineRule="auto"/>
            </w:pPr>
            <w:r w:rsidRPr="00B62635">
              <w:t>6</w:t>
            </w:r>
          </w:p>
        </w:tc>
        <w:tc>
          <w:tcPr>
            <w:tcW w:w="1079" w:type="dxa"/>
            <w:shd w:val="clear" w:color="auto" w:fill="auto"/>
            <w:vAlign w:val="bottom"/>
          </w:tcPr>
          <w:p w:rsidR="00B62635" w:rsidRPr="00B62635" w:rsidRDefault="00B62635" w:rsidP="00B62635">
            <w:pPr>
              <w:spacing w:afterLines="0" w:line="240" w:lineRule="auto"/>
            </w:pPr>
            <w:r w:rsidRPr="00B62635">
              <w:t>6.1</w:t>
            </w:r>
          </w:p>
        </w:tc>
      </w:tr>
      <w:tr w:rsidR="00B62635" w:rsidRPr="00B62635" w:rsidTr="00B62635">
        <w:trPr>
          <w:jc w:val="center"/>
        </w:trPr>
        <w:tc>
          <w:tcPr>
            <w:tcW w:w="1106" w:type="dxa"/>
          </w:tcPr>
          <w:p w:rsidR="00B62635" w:rsidRPr="00B62635" w:rsidRDefault="00B62635" w:rsidP="00B62635">
            <w:pPr>
              <w:spacing w:afterLines="0" w:line="240" w:lineRule="auto"/>
            </w:pPr>
            <w:r w:rsidRPr="00B62635">
              <w:t>Q3 2014</w:t>
            </w:r>
          </w:p>
        </w:tc>
        <w:tc>
          <w:tcPr>
            <w:tcW w:w="1078" w:type="dxa"/>
            <w:shd w:val="clear" w:color="auto" w:fill="auto"/>
            <w:vAlign w:val="bottom"/>
          </w:tcPr>
          <w:p w:rsidR="00B62635" w:rsidRPr="00B62635" w:rsidRDefault="00B62635" w:rsidP="00B62635">
            <w:pPr>
              <w:spacing w:afterLines="0" w:line="240" w:lineRule="auto"/>
            </w:pPr>
            <w:r w:rsidRPr="00B62635">
              <w:t>16</w:t>
            </w:r>
          </w:p>
        </w:tc>
        <w:tc>
          <w:tcPr>
            <w:tcW w:w="1079" w:type="dxa"/>
            <w:shd w:val="clear" w:color="auto" w:fill="auto"/>
            <w:vAlign w:val="bottom"/>
          </w:tcPr>
          <w:p w:rsidR="00B62635" w:rsidRPr="00B62635" w:rsidRDefault="00B62635" w:rsidP="00B62635">
            <w:pPr>
              <w:spacing w:afterLines="0" w:line="240" w:lineRule="auto"/>
            </w:pPr>
            <w:r w:rsidRPr="00B62635">
              <w:t>4.5</w:t>
            </w:r>
          </w:p>
        </w:tc>
        <w:tc>
          <w:tcPr>
            <w:tcW w:w="1078" w:type="dxa"/>
            <w:shd w:val="clear" w:color="auto" w:fill="auto"/>
            <w:vAlign w:val="bottom"/>
          </w:tcPr>
          <w:p w:rsidR="00B62635" w:rsidRPr="00B62635" w:rsidRDefault="00B62635" w:rsidP="00B62635">
            <w:pPr>
              <w:spacing w:afterLines="0" w:line="240" w:lineRule="auto"/>
            </w:pPr>
            <w:r w:rsidRPr="00B62635">
              <w:t>5</w:t>
            </w:r>
          </w:p>
        </w:tc>
        <w:tc>
          <w:tcPr>
            <w:tcW w:w="1079" w:type="dxa"/>
            <w:shd w:val="clear" w:color="auto" w:fill="auto"/>
            <w:vAlign w:val="bottom"/>
          </w:tcPr>
          <w:p w:rsidR="00B62635" w:rsidRPr="00B62635" w:rsidRDefault="00B62635" w:rsidP="00B62635">
            <w:pPr>
              <w:spacing w:afterLines="0" w:line="240" w:lineRule="auto"/>
            </w:pPr>
            <w:r w:rsidRPr="00B62635">
              <w:t>1.7</w:t>
            </w:r>
          </w:p>
        </w:tc>
        <w:tc>
          <w:tcPr>
            <w:tcW w:w="1078" w:type="dxa"/>
            <w:shd w:val="clear" w:color="auto" w:fill="auto"/>
            <w:vAlign w:val="bottom"/>
          </w:tcPr>
          <w:p w:rsidR="00B62635" w:rsidRPr="00B62635" w:rsidRDefault="00B62635" w:rsidP="00B62635">
            <w:pPr>
              <w:spacing w:afterLines="0" w:line="240" w:lineRule="auto"/>
            </w:pPr>
            <w:r w:rsidRPr="00B62635">
              <w:t>2</w:t>
            </w:r>
          </w:p>
        </w:tc>
        <w:tc>
          <w:tcPr>
            <w:tcW w:w="1079" w:type="dxa"/>
            <w:shd w:val="clear" w:color="auto" w:fill="auto"/>
            <w:vAlign w:val="bottom"/>
          </w:tcPr>
          <w:p w:rsidR="00B62635" w:rsidRPr="00B62635" w:rsidRDefault="00B62635" w:rsidP="00B62635">
            <w:pPr>
              <w:spacing w:afterLines="0" w:line="240" w:lineRule="auto"/>
            </w:pPr>
            <w:r w:rsidRPr="00B62635">
              <w:t>3.4</w:t>
            </w:r>
          </w:p>
        </w:tc>
        <w:tc>
          <w:tcPr>
            <w:tcW w:w="1078" w:type="dxa"/>
            <w:shd w:val="clear" w:color="auto" w:fill="auto"/>
            <w:vAlign w:val="bottom"/>
          </w:tcPr>
          <w:p w:rsidR="00B62635" w:rsidRPr="00B62635" w:rsidRDefault="00B62635" w:rsidP="00B62635">
            <w:pPr>
              <w:spacing w:afterLines="0" w:line="240" w:lineRule="auto"/>
            </w:pPr>
            <w:r w:rsidRPr="00B62635">
              <w:t>4</w:t>
            </w:r>
          </w:p>
        </w:tc>
        <w:tc>
          <w:tcPr>
            <w:tcW w:w="1079" w:type="dxa"/>
            <w:shd w:val="clear" w:color="auto" w:fill="auto"/>
            <w:vAlign w:val="bottom"/>
          </w:tcPr>
          <w:p w:rsidR="00B62635" w:rsidRPr="00B62635" w:rsidRDefault="00B62635" w:rsidP="00B62635">
            <w:pPr>
              <w:spacing w:afterLines="0" w:line="240" w:lineRule="auto"/>
            </w:pPr>
            <w:r w:rsidRPr="00B62635">
              <w:t>4.1</w:t>
            </w:r>
          </w:p>
        </w:tc>
      </w:tr>
      <w:tr w:rsidR="00B62635" w:rsidRPr="00B62635" w:rsidTr="00B62635">
        <w:trPr>
          <w:jc w:val="center"/>
        </w:trPr>
        <w:tc>
          <w:tcPr>
            <w:tcW w:w="1106" w:type="dxa"/>
          </w:tcPr>
          <w:p w:rsidR="00B62635" w:rsidRPr="00B62635" w:rsidRDefault="00B62635" w:rsidP="00B62635">
            <w:pPr>
              <w:spacing w:afterLines="0" w:line="240" w:lineRule="auto"/>
            </w:pPr>
            <w:r w:rsidRPr="00B62635">
              <w:t>Q4 2014</w:t>
            </w:r>
          </w:p>
        </w:tc>
        <w:tc>
          <w:tcPr>
            <w:tcW w:w="1078" w:type="dxa"/>
            <w:shd w:val="clear" w:color="auto" w:fill="auto"/>
            <w:vAlign w:val="bottom"/>
          </w:tcPr>
          <w:p w:rsidR="00B62635" w:rsidRPr="00B62635" w:rsidRDefault="00B62635" w:rsidP="00B62635">
            <w:pPr>
              <w:spacing w:afterLines="0" w:line="240" w:lineRule="auto"/>
            </w:pPr>
            <w:r w:rsidRPr="00B62635">
              <w:t>24</w:t>
            </w:r>
          </w:p>
        </w:tc>
        <w:tc>
          <w:tcPr>
            <w:tcW w:w="1079" w:type="dxa"/>
            <w:shd w:val="clear" w:color="auto" w:fill="auto"/>
            <w:vAlign w:val="bottom"/>
          </w:tcPr>
          <w:p w:rsidR="00B62635" w:rsidRPr="00B62635" w:rsidRDefault="00B62635" w:rsidP="00B62635">
            <w:pPr>
              <w:spacing w:afterLines="0" w:line="240" w:lineRule="auto"/>
            </w:pPr>
            <w:r w:rsidRPr="00B62635">
              <w:t>6.9</w:t>
            </w:r>
          </w:p>
        </w:tc>
        <w:tc>
          <w:tcPr>
            <w:tcW w:w="1078" w:type="dxa"/>
            <w:shd w:val="clear" w:color="auto" w:fill="auto"/>
            <w:vAlign w:val="bottom"/>
          </w:tcPr>
          <w:p w:rsidR="00B62635" w:rsidRPr="00B62635" w:rsidRDefault="00B62635" w:rsidP="00B62635">
            <w:pPr>
              <w:spacing w:afterLines="0" w:line="240" w:lineRule="auto"/>
            </w:pPr>
            <w:r w:rsidRPr="00B62635">
              <w:t>4</w:t>
            </w:r>
          </w:p>
        </w:tc>
        <w:tc>
          <w:tcPr>
            <w:tcW w:w="1079" w:type="dxa"/>
            <w:shd w:val="clear" w:color="auto" w:fill="auto"/>
            <w:vAlign w:val="bottom"/>
          </w:tcPr>
          <w:p w:rsidR="00B62635" w:rsidRPr="00B62635" w:rsidRDefault="00B62635" w:rsidP="00B62635">
            <w:pPr>
              <w:spacing w:afterLines="0" w:line="240" w:lineRule="auto"/>
            </w:pPr>
            <w:r w:rsidRPr="00B62635">
              <w:t>1.4</w:t>
            </w:r>
          </w:p>
        </w:tc>
        <w:tc>
          <w:tcPr>
            <w:tcW w:w="1078" w:type="dxa"/>
            <w:shd w:val="clear" w:color="auto" w:fill="auto"/>
            <w:vAlign w:val="bottom"/>
          </w:tcPr>
          <w:p w:rsidR="00B62635" w:rsidRPr="00B62635" w:rsidRDefault="00B62635" w:rsidP="00B62635">
            <w:pPr>
              <w:spacing w:afterLines="0" w:line="240" w:lineRule="auto"/>
            </w:pPr>
            <w:r w:rsidRPr="00B62635">
              <w:t>4</w:t>
            </w:r>
          </w:p>
        </w:tc>
        <w:tc>
          <w:tcPr>
            <w:tcW w:w="1079" w:type="dxa"/>
            <w:shd w:val="clear" w:color="auto" w:fill="auto"/>
            <w:vAlign w:val="bottom"/>
          </w:tcPr>
          <w:p w:rsidR="00B62635" w:rsidRPr="00B62635" w:rsidRDefault="00B62635" w:rsidP="00B62635">
            <w:pPr>
              <w:spacing w:afterLines="0" w:line="240" w:lineRule="auto"/>
            </w:pPr>
            <w:r w:rsidRPr="00B62635">
              <w:t>7.1</w:t>
            </w:r>
          </w:p>
        </w:tc>
        <w:tc>
          <w:tcPr>
            <w:tcW w:w="1078" w:type="dxa"/>
            <w:shd w:val="clear" w:color="auto" w:fill="auto"/>
            <w:vAlign w:val="bottom"/>
          </w:tcPr>
          <w:p w:rsidR="00B62635" w:rsidRPr="00B62635" w:rsidRDefault="00B62635" w:rsidP="00B62635">
            <w:pPr>
              <w:spacing w:afterLines="0" w:line="240" w:lineRule="auto"/>
            </w:pPr>
            <w:r w:rsidRPr="00B62635">
              <w:t>6</w:t>
            </w:r>
          </w:p>
        </w:tc>
        <w:tc>
          <w:tcPr>
            <w:tcW w:w="1079" w:type="dxa"/>
            <w:shd w:val="clear" w:color="auto" w:fill="auto"/>
            <w:vAlign w:val="bottom"/>
          </w:tcPr>
          <w:p w:rsidR="00B62635" w:rsidRPr="00B62635" w:rsidRDefault="00B62635" w:rsidP="00B62635">
            <w:pPr>
              <w:spacing w:afterLines="0" w:line="240" w:lineRule="auto"/>
            </w:pPr>
            <w:r w:rsidRPr="00B62635">
              <w:t>5.9</w:t>
            </w:r>
          </w:p>
        </w:tc>
      </w:tr>
      <w:tr w:rsidR="00B62635" w:rsidRPr="00B62635" w:rsidTr="00B62635">
        <w:trPr>
          <w:jc w:val="center"/>
        </w:trPr>
        <w:tc>
          <w:tcPr>
            <w:tcW w:w="1106" w:type="dxa"/>
          </w:tcPr>
          <w:p w:rsidR="00B62635" w:rsidRPr="00B62635" w:rsidRDefault="00B62635" w:rsidP="00B62635">
            <w:pPr>
              <w:spacing w:afterLines="0" w:line="240" w:lineRule="auto"/>
            </w:pPr>
            <w:r w:rsidRPr="00B62635">
              <w:t>Q1 2015</w:t>
            </w:r>
          </w:p>
        </w:tc>
        <w:tc>
          <w:tcPr>
            <w:tcW w:w="1078" w:type="dxa"/>
            <w:shd w:val="clear" w:color="auto" w:fill="auto"/>
            <w:vAlign w:val="bottom"/>
          </w:tcPr>
          <w:p w:rsidR="00B62635" w:rsidRPr="00B62635" w:rsidRDefault="00B62635" w:rsidP="00B62635">
            <w:pPr>
              <w:spacing w:afterLines="0" w:line="240" w:lineRule="auto"/>
            </w:pPr>
            <w:r w:rsidRPr="00B62635">
              <w:t>24</w:t>
            </w:r>
          </w:p>
        </w:tc>
        <w:tc>
          <w:tcPr>
            <w:tcW w:w="1079" w:type="dxa"/>
            <w:shd w:val="clear" w:color="auto" w:fill="auto"/>
            <w:vAlign w:val="bottom"/>
          </w:tcPr>
          <w:p w:rsidR="00B62635" w:rsidRPr="00B62635" w:rsidRDefault="00B62635" w:rsidP="00B62635">
            <w:pPr>
              <w:spacing w:afterLines="0" w:line="240" w:lineRule="auto"/>
            </w:pPr>
            <w:r w:rsidRPr="00B62635">
              <w:t>7.4</w:t>
            </w:r>
          </w:p>
        </w:tc>
        <w:tc>
          <w:tcPr>
            <w:tcW w:w="1078" w:type="dxa"/>
            <w:shd w:val="clear" w:color="auto" w:fill="auto"/>
            <w:vAlign w:val="bottom"/>
          </w:tcPr>
          <w:p w:rsidR="00B62635" w:rsidRPr="00B62635" w:rsidRDefault="00B62635" w:rsidP="00B62635">
            <w:pPr>
              <w:spacing w:afterLines="0" w:line="240" w:lineRule="auto"/>
            </w:pPr>
            <w:r w:rsidRPr="00B62635">
              <w:t>5</w:t>
            </w:r>
          </w:p>
        </w:tc>
        <w:tc>
          <w:tcPr>
            <w:tcW w:w="1079" w:type="dxa"/>
            <w:shd w:val="clear" w:color="auto" w:fill="auto"/>
            <w:vAlign w:val="bottom"/>
          </w:tcPr>
          <w:p w:rsidR="00B62635" w:rsidRPr="00B62635" w:rsidRDefault="00B62635" w:rsidP="00B62635">
            <w:pPr>
              <w:spacing w:afterLines="0" w:line="240" w:lineRule="auto"/>
            </w:pPr>
            <w:r w:rsidRPr="00B62635">
              <w:t>1.7</w:t>
            </w:r>
          </w:p>
        </w:tc>
        <w:tc>
          <w:tcPr>
            <w:tcW w:w="1078" w:type="dxa"/>
            <w:shd w:val="clear" w:color="auto" w:fill="auto"/>
            <w:vAlign w:val="bottom"/>
          </w:tcPr>
          <w:p w:rsidR="00B62635" w:rsidRPr="00B62635" w:rsidRDefault="00B62635" w:rsidP="00B62635">
            <w:pPr>
              <w:spacing w:afterLines="0" w:line="240" w:lineRule="auto"/>
            </w:pPr>
            <w:r w:rsidRPr="00B62635">
              <w:t>2</w:t>
            </w:r>
          </w:p>
        </w:tc>
        <w:tc>
          <w:tcPr>
            <w:tcW w:w="1079" w:type="dxa"/>
            <w:shd w:val="clear" w:color="auto" w:fill="auto"/>
            <w:vAlign w:val="bottom"/>
          </w:tcPr>
          <w:p w:rsidR="00B62635" w:rsidRPr="00B62635" w:rsidRDefault="00B62635" w:rsidP="00B62635">
            <w:pPr>
              <w:spacing w:afterLines="0" w:line="240" w:lineRule="auto"/>
            </w:pPr>
            <w:r w:rsidRPr="00B62635">
              <w:t>3.6</w:t>
            </w:r>
          </w:p>
        </w:tc>
        <w:tc>
          <w:tcPr>
            <w:tcW w:w="1078" w:type="dxa"/>
            <w:shd w:val="clear" w:color="auto" w:fill="auto"/>
            <w:vAlign w:val="bottom"/>
          </w:tcPr>
          <w:p w:rsidR="00B62635" w:rsidRPr="00B62635" w:rsidRDefault="00B62635" w:rsidP="00B62635">
            <w:pPr>
              <w:spacing w:afterLines="0" w:line="240" w:lineRule="auto"/>
            </w:pPr>
            <w:r w:rsidRPr="00B62635">
              <w:t>5</w:t>
            </w:r>
          </w:p>
        </w:tc>
        <w:tc>
          <w:tcPr>
            <w:tcW w:w="1079" w:type="dxa"/>
            <w:shd w:val="clear" w:color="auto" w:fill="auto"/>
            <w:vAlign w:val="bottom"/>
          </w:tcPr>
          <w:p w:rsidR="00B62635" w:rsidRPr="00B62635" w:rsidRDefault="00B62635" w:rsidP="00B62635">
            <w:pPr>
              <w:spacing w:afterLines="0" w:line="240" w:lineRule="auto"/>
            </w:pPr>
            <w:r w:rsidRPr="00B62635">
              <w:t>5.3</w:t>
            </w:r>
          </w:p>
        </w:tc>
      </w:tr>
      <w:tr w:rsidR="00B62635" w:rsidRPr="00B62635" w:rsidTr="00B62635">
        <w:trPr>
          <w:jc w:val="center"/>
        </w:trPr>
        <w:tc>
          <w:tcPr>
            <w:tcW w:w="1106" w:type="dxa"/>
          </w:tcPr>
          <w:p w:rsidR="00B62635" w:rsidRPr="00B62635" w:rsidRDefault="00B62635" w:rsidP="00B62635">
            <w:pPr>
              <w:spacing w:afterLines="0" w:line="240" w:lineRule="auto"/>
            </w:pPr>
            <w:r w:rsidRPr="00B62635">
              <w:t>Q2 2015</w:t>
            </w:r>
          </w:p>
        </w:tc>
        <w:tc>
          <w:tcPr>
            <w:tcW w:w="1078" w:type="dxa"/>
            <w:shd w:val="clear" w:color="auto" w:fill="auto"/>
            <w:vAlign w:val="bottom"/>
          </w:tcPr>
          <w:p w:rsidR="00B62635" w:rsidRPr="00B62635" w:rsidRDefault="00B62635" w:rsidP="00B62635">
            <w:pPr>
              <w:spacing w:afterLines="0" w:line="240" w:lineRule="auto"/>
            </w:pPr>
            <w:r w:rsidRPr="00B62635">
              <w:t>27</w:t>
            </w:r>
          </w:p>
        </w:tc>
        <w:tc>
          <w:tcPr>
            <w:tcW w:w="1079" w:type="dxa"/>
            <w:shd w:val="clear" w:color="auto" w:fill="auto"/>
            <w:vAlign w:val="bottom"/>
          </w:tcPr>
          <w:p w:rsidR="00B62635" w:rsidRPr="00B62635" w:rsidRDefault="00B62635" w:rsidP="00B62635">
            <w:pPr>
              <w:spacing w:afterLines="0" w:line="240" w:lineRule="auto"/>
            </w:pPr>
            <w:r w:rsidRPr="00B62635">
              <w:t>7.5</w:t>
            </w:r>
          </w:p>
        </w:tc>
        <w:tc>
          <w:tcPr>
            <w:tcW w:w="1078" w:type="dxa"/>
            <w:shd w:val="clear" w:color="auto" w:fill="auto"/>
            <w:vAlign w:val="bottom"/>
          </w:tcPr>
          <w:p w:rsidR="00B62635" w:rsidRPr="00B62635" w:rsidRDefault="00B62635" w:rsidP="00B62635">
            <w:pPr>
              <w:spacing w:afterLines="0" w:line="240" w:lineRule="auto"/>
            </w:pPr>
            <w:r w:rsidRPr="00B62635">
              <w:t>6</w:t>
            </w:r>
          </w:p>
        </w:tc>
        <w:tc>
          <w:tcPr>
            <w:tcW w:w="1079" w:type="dxa"/>
            <w:shd w:val="clear" w:color="auto" w:fill="auto"/>
            <w:vAlign w:val="bottom"/>
          </w:tcPr>
          <w:p w:rsidR="00B62635" w:rsidRPr="00B62635" w:rsidRDefault="00B62635" w:rsidP="00B62635">
            <w:pPr>
              <w:spacing w:afterLines="0" w:line="240" w:lineRule="auto"/>
            </w:pPr>
            <w:r w:rsidRPr="00B62635">
              <w:t>2.0</w:t>
            </w:r>
          </w:p>
        </w:tc>
        <w:tc>
          <w:tcPr>
            <w:tcW w:w="1078" w:type="dxa"/>
            <w:shd w:val="clear" w:color="auto" w:fill="auto"/>
            <w:vAlign w:val="bottom"/>
          </w:tcPr>
          <w:p w:rsidR="00B62635" w:rsidRPr="00B62635" w:rsidRDefault="00B62635" w:rsidP="00B62635">
            <w:pPr>
              <w:spacing w:afterLines="0" w:line="240" w:lineRule="auto"/>
            </w:pPr>
            <w:r w:rsidRPr="00B62635">
              <w:t>1</w:t>
            </w:r>
          </w:p>
        </w:tc>
        <w:tc>
          <w:tcPr>
            <w:tcW w:w="1079" w:type="dxa"/>
            <w:shd w:val="clear" w:color="auto" w:fill="auto"/>
            <w:vAlign w:val="bottom"/>
          </w:tcPr>
          <w:p w:rsidR="00B62635" w:rsidRPr="00B62635" w:rsidRDefault="00B62635" w:rsidP="00B62635">
            <w:pPr>
              <w:spacing w:afterLines="0" w:line="240" w:lineRule="auto"/>
            </w:pPr>
            <w:r w:rsidRPr="00B62635">
              <w:t>1.8</w:t>
            </w:r>
          </w:p>
        </w:tc>
        <w:tc>
          <w:tcPr>
            <w:tcW w:w="1078" w:type="dxa"/>
            <w:shd w:val="clear" w:color="auto" w:fill="auto"/>
            <w:vAlign w:val="bottom"/>
          </w:tcPr>
          <w:p w:rsidR="00B62635" w:rsidRPr="00B62635" w:rsidRDefault="00B62635" w:rsidP="00B62635">
            <w:pPr>
              <w:spacing w:afterLines="0" w:line="240" w:lineRule="auto"/>
            </w:pPr>
            <w:r w:rsidRPr="00B62635">
              <w:t>3</w:t>
            </w:r>
          </w:p>
        </w:tc>
        <w:tc>
          <w:tcPr>
            <w:tcW w:w="1079" w:type="dxa"/>
            <w:shd w:val="clear" w:color="auto" w:fill="auto"/>
            <w:vAlign w:val="bottom"/>
          </w:tcPr>
          <w:p w:rsidR="00B62635" w:rsidRPr="00B62635" w:rsidRDefault="00B62635" w:rsidP="00B62635">
            <w:pPr>
              <w:spacing w:afterLines="0" w:line="240" w:lineRule="auto"/>
            </w:pPr>
            <w:r w:rsidRPr="00B62635">
              <w:t>3.0</w:t>
            </w:r>
          </w:p>
        </w:tc>
      </w:tr>
      <w:tr w:rsidR="00B62635" w:rsidRPr="00B62635" w:rsidTr="00B62635">
        <w:trPr>
          <w:jc w:val="center"/>
        </w:trPr>
        <w:tc>
          <w:tcPr>
            <w:tcW w:w="1106" w:type="dxa"/>
          </w:tcPr>
          <w:p w:rsidR="00B62635" w:rsidRPr="00B62635" w:rsidRDefault="00B62635" w:rsidP="00B62635">
            <w:pPr>
              <w:spacing w:afterLines="0" w:line="240" w:lineRule="auto"/>
            </w:pPr>
            <w:r w:rsidRPr="00B62635">
              <w:t>Q3 2015</w:t>
            </w:r>
          </w:p>
        </w:tc>
        <w:tc>
          <w:tcPr>
            <w:tcW w:w="1078" w:type="dxa"/>
            <w:shd w:val="clear" w:color="auto" w:fill="auto"/>
            <w:vAlign w:val="bottom"/>
          </w:tcPr>
          <w:p w:rsidR="00B62635" w:rsidRPr="00B62635" w:rsidRDefault="00B62635" w:rsidP="00B62635">
            <w:pPr>
              <w:spacing w:afterLines="0" w:line="240" w:lineRule="auto"/>
            </w:pPr>
            <w:r w:rsidRPr="00B62635">
              <w:t>29</w:t>
            </w:r>
          </w:p>
        </w:tc>
        <w:tc>
          <w:tcPr>
            <w:tcW w:w="1079" w:type="dxa"/>
            <w:shd w:val="clear" w:color="auto" w:fill="auto"/>
            <w:vAlign w:val="bottom"/>
          </w:tcPr>
          <w:p w:rsidR="00B62635" w:rsidRPr="00B62635" w:rsidRDefault="00B62635" w:rsidP="00B62635">
            <w:pPr>
              <w:spacing w:afterLines="0" w:line="240" w:lineRule="auto"/>
            </w:pPr>
            <w:r w:rsidRPr="00B62635">
              <w:t>8.2</w:t>
            </w:r>
          </w:p>
        </w:tc>
        <w:tc>
          <w:tcPr>
            <w:tcW w:w="1078" w:type="dxa"/>
            <w:shd w:val="clear" w:color="auto" w:fill="auto"/>
            <w:vAlign w:val="bottom"/>
          </w:tcPr>
          <w:p w:rsidR="00B62635" w:rsidRPr="00B62635" w:rsidRDefault="00B62635" w:rsidP="00B62635">
            <w:pPr>
              <w:spacing w:afterLines="0" w:line="240" w:lineRule="auto"/>
            </w:pPr>
            <w:r w:rsidRPr="00B62635">
              <w:t>3</w:t>
            </w:r>
          </w:p>
        </w:tc>
        <w:tc>
          <w:tcPr>
            <w:tcW w:w="1079" w:type="dxa"/>
            <w:shd w:val="clear" w:color="auto" w:fill="auto"/>
            <w:vAlign w:val="bottom"/>
          </w:tcPr>
          <w:p w:rsidR="00B62635" w:rsidRPr="00B62635" w:rsidRDefault="00B62635" w:rsidP="00B62635">
            <w:pPr>
              <w:spacing w:afterLines="0" w:line="240" w:lineRule="auto"/>
            </w:pPr>
            <w:r w:rsidRPr="00B62635">
              <w:t>1.0</w:t>
            </w:r>
          </w:p>
        </w:tc>
        <w:tc>
          <w:tcPr>
            <w:tcW w:w="1078" w:type="dxa"/>
            <w:shd w:val="clear" w:color="auto" w:fill="auto"/>
            <w:vAlign w:val="bottom"/>
          </w:tcPr>
          <w:p w:rsidR="00B62635" w:rsidRPr="00B62635" w:rsidRDefault="00B62635" w:rsidP="00B62635">
            <w:pPr>
              <w:spacing w:afterLines="0" w:line="240" w:lineRule="auto"/>
            </w:pPr>
            <w:r w:rsidRPr="00B62635">
              <w:t>4</w:t>
            </w:r>
          </w:p>
        </w:tc>
        <w:tc>
          <w:tcPr>
            <w:tcW w:w="1079" w:type="dxa"/>
            <w:shd w:val="clear" w:color="auto" w:fill="auto"/>
            <w:vAlign w:val="bottom"/>
          </w:tcPr>
          <w:p w:rsidR="00B62635" w:rsidRPr="00B62635" w:rsidRDefault="00B62635" w:rsidP="00B62635">
            <w:pPr>
              <w:spacing w:afterLines="0" w:line="240" w:lineRule="auto"/>
            </w:pPr>
            <w:r w:rsidRPr="00B62635">
              <w:t>6.5</w:t>
            </w:r>
          </w:p>
        </w:tc>
        <w:tc>
          <w:tcPr>
            <w:tcW w:w="1078" w:type="dxa"/>
            <w:shd w:val="clear" w:color="auto" w:fill="auto"/>
            <w:vAlign w:val="bottom"/>
          </w:tcPr>
          <w:p w:rsidR="00B62635" w:rsidRPr="00B62635" w:rsidRDefault="00B62635" w:rsidP="00B62635">
            <w:pPr>
              <w:spacing w:afterLines="0" w:line="240" w:lineRule="auto"/>
            </w:pPr>
            <w:r w:rsidRPr="00B62635">
              <w:t>7</w:t>
            </w:r>
          </w:p>
        </w:tc>
        <w:tc>
          <w:tcPr>
            <w:tcW w:w="1079" w:type="dxa"/>
            <w:shd w:val="clear" w:color="auto" w:fill="auto"/>
            <w:vAlign w:val="bottom"/>
          </w:tcPr>
          <w:p w:rsidR="00B62635" w:rsidRPr="00B62635" w:rsidRDefault="00B62635" w:rsidP="00B62635">
            <w:pPr>
              <w:spacing w:afterLines="0" w:line="240" w:lineRule="auto"/>
            </w:pPr>
            <w:r w:rsidRPr="00B62635">
              <w:t>7.0</w:t>
            </w:r>
          </w:p>
        </w:tc>
      </w:tr>
      <w:tr w:rsidR="00B62635" w:rsidRPr="00B62635" w:rsidTr="00B62635">
        <w:trPr>
          <w:jc w:val="center"/>
        </w:trPr>
        <w:tc>
          <w:tcPr>
            <w:tcW w:w="1106" w:type="dxa"/>
          </w:tcPr>
          <w:p w:rsidR="00B62635" w:rsidRPr="00B62635" w:rsidRDefault="00B62635" w:rsidP="00B62635">
            <w:pPr>
              <w:spacing w:afterLines="0" w:line="240" w:lineRule="auto"/>
            </w:pPr>
            <w:r w:rsidRPr="00B62635">
              <w:t>Q4 2015</w:t>
            </w:r>
          </w:p>
        </w:tc>
        <w:tc>
          <w:tcPr>
            <w:tcW w:w="1078" w:type="dxa"/>
            <w:shd w:val="clear" w:color="auto" w:fill="auto"/>
            <w:vAlign w:val="bottom"/>
          </w:tcPr>
          <w:p w:rsidR="00B62635" w:rsidRPr="00B62635" w:rsidRDefault="00B62635" w:rsidP="00B62635">
            <w:pPr>
              <w:spacing w:afterLines="0" w:line="240" w:lineRule="auto"/>
            </w:pPr>
            <w:r w:rsidRPr="00B62635">
              <w:t>30</w:t>
            </w:r>
          </w:p>
        </w:tc>
        <w:tc>
          <w:tcPr>
            <w:tcW w:w="1079" w:type="dxa"/>
            <w:shd w:val="clear" w:color="auto" w:fill="auto"/>
            <w:vAlign w:val="bottom"/>
          </w:tcPr>
          <w:p w:rsidR="00B62635" w:rsidRPr="00B62635" w:rsidRDefault="00B62635" w:rsidP="00B62635">
            <w:pPr>
              <w:spacing w:afterLines="0" w:line="240" w:lineRule="auto"/>
            </w:pPr>
            <w:r w:rsidRPr="00B62635">
              <w:t>8.5</w:t>
            </w:r>
          </w:p>
        </w:tc>
        <w:tc>
          <w:tcPr>
            <w:tcW w:w="1078" w:type="dxa"/>
            <w:shd w:val="clear" w:color="auto" w:fill="auto"/>
            <w:vAlign w:val="bottom"/>
          </w:tcPr>
          <w:p w:rsidR="00B62635" w:rsidRPr="00B62635" w:rsidRDefault="00B62635" w:rsidP="00B62635">
            <w:pPr>
              <w:spacing w:afterLines="0" w:line="240" w:lineRule="auto"/>
            </w:pPr>
            <w:r w:rsidRPr="00B62635">
              <w:t>2</w:t>
            </w:r>
          </w:p>
        </w:tc>
        <w:tc>
          <w:tcPr>
            <w:tcW w:w="1079" w:type="dxa"/>
            <w:shd w:val="clear" w:color="auto" w:fill="auto"/>
            <w:vAlign w:val="bottom"/>
          </w:tcPr>
          <w:p w:rsidR="00B62635" w:rsidRPr="00B62635" w:rsidRDefault="00B62635" w:rsidP="00B62635">
            <w:pPr>
              <w:spacing w:afterLines="0" w:line="240" w:lineRule="auto"/>
            </w:pPr>
            <w:r w:rsidRPr="00B62635">
              <w:t>0.7</w:t>
            </w:r>
          </w:p>
        </w:tc>
        <w:tc>
          <w:tcPr>
            <w:tcW w:w="1078" w:type="dxa"/>
            <w:shd w:val="clear" w:color="auto" w:fill="auto"/>
            <w:vAlign w:val="bottom"/>
          </w:tcPr>
          <w:p w:rsidR="00B62635" w:rsidRPr="00B62635" w:rsidRDefault="00B62635" w:rsidP="00B62635">
            <w:pPr>
              <w:spacing w:afterLines="0" w:line="240" w:lineRule="auto"/>
            </w:pPr>
            <w:r w:rsidRPr="00B62635">
              <w:t>1</w:t>
            </w:r>
          </w:p>
        </w:tc>
        <w:tc>
          <w:tcPr>
            <w:tcW w:w="1079" w:type="dxa"/>
            <w:shd w:val="clear" w:color="auto" w:fill="auto"/>
            <w:vAlign w:val="bottom"/>
          </w:tcPr>
          <w:p w:rsidR="00B62635" w:rsidRPr="00B62635" w:rsidRDefault="00B62635" w:rsidP="00B62635">
            <w:pPr>
              <w:spacing w:afterLines="0" w:line="240" w:lineRule="auto"/>
            </w:pPr>
            <w:r w:rsidRPr="00B62635">
              <w:t>1.8</w:t>
            </w:r>
          </w:p>
        </w:tc>
        <w:tc>
          <w:tcPr>
            <w:tcW w:w="1078" w:type="dxa"/>
            <w:shd w:val="clear" w:color="auto" w:fill="auto"/>
            <w:vAlign w:val="bottom"/>
          </w:tcPr>
          <w:p w:rsidR="00B62635" w:rsidRPr="00B62635" w:rsidRDefault="00B62635" w:rsidP="00B62635">
            <w:pPr>
              <w:spacing w:afterLines="0" w:line="240" w:lineRule="auto"/>
            </w:pPr>
            <w:r w:rsidRPr="00B62635">
              <w:t>10</w:t>
            </w:r>
          </w:p>
        </w:tc>
        <w:tc>
          <w:tcPr>
            <w:tcW w:w="1079" w:type="dxa"/>
            <w:shd w:val="clear" w:color="auto" w:fill="auto"/>
            <w:vAlign w:val="bottom"/>
          </w:tcPr>
          <w:p w:rsidR="00B62635" w:rsidRPr="00B62635" w:rsidRDefault="00B62635" w:rsidP="00B62635">
            <w:pPr>
              <w:spacing w:afterLines="0" w:line="240" w:lineRule="auto"/>
            </w:pPr>
            <w:r w:rsidRPr="00B62635">
              <w:t>10.6</w:t>
            </w:r>
          </w:p>
        </w:tc>
      </w:tr>
      <w:tr w:rsidR="00B62635" w:rsidRPr="00B62635" w:rsidTr="00B62635">
        <w:trPr>
          <w:jc w:val="center"/>
        </w:trPr>
        <w:tc>
          <w:tcPr>
            <w:tcW w:w="1106" w:type="dxa"/>
          </w:tcPr>
          <w:p w:rsidR="00B62635" w:rsidRPr="00B62635" w:rsidRDefault="00B62635" w:rsidP="00B62635">
            <w:pPr>
              <w:spacing w:afterLines="0" w:line="240" w:lineRule="auto"/>
            </w:pPr>
            <w:r w:rsidRPr="00B62635">
              <w:t>Q1 2016</w:t>
            </w:r>
          </w:p>
        </w:tc>
        <w:tc>
          <w:tcPr>
            <w:tcW w:w="1078" w:type="dxa"/>
            <w:shd w:val="clear" w:color="auto" w:fill="auto"/>
            <w:vAlign w:val="bottom"/>
          </w:tcPr>
          <w:p w:rsidR="00B62635" w:rsidRPr="00B62635" w:rsidRDefault="00B62635" w:rsidP="00B62635">
            <w:pPr>
              <w:spacing w:afterLines="0" w:line="240" w:lineRule="auto"/>
            </w:pPr>
            <w:r w:rsidRPr="00B62635">
              <w:t>23</w:t>
            </w:r>
          </w:p>
        </w:tc>
        <w:tc>
          <w:tcPr>
            <w:tcW w:w="1079" w:type="dxa"/>
            <w:shd w:val="clear" w:color="auto" w:fill="auto"/>
            <w:vAlign w:val="bottom"/>
          </w:tcPr>
          <w:p w:rsidR="00B62635" w:rsidRPr="00B62635" w:rsidRDefault="00B62635" w:rsidP="00B62635">
            <w:pPr>
              <w:spacing w:afterLines="0" w:line="240" w:lineRule="auto"/>
            </w:pPr>
            <w:r w:rsidRPr="00B62635">
              <w:t>6.9</w:t>
            </w:r>
          </w:p>
        </w:tc>
        <w:tc>
          <w:tcPr>
            <w:tcW w:w="1078" w:type="dxa"/>
            <w:shd w:val="clear" w:color="auto" w:fill="auto"/>
            <w:vAlign w:val="bottom"/>
          </w:tcPr>
          <w:p w:rsidR="00B62635" w:rsidRPr="00B62635" w:rsidRDefault="00B62635" w:rsidP="00B62635">
            <w:pPr>
              <w:spacing w:afterLines="0" w:line="240" w:lineRule="auto"/>
            </w:pPr>
            <w:r w:rsidRPr="00B62635">
              <w:t>5</w:t>
            </w:r>
          </w:p>
        </w:tc>
        <w:tc>
          <w:tcPr>
            <w:tcW w:w="1079" w:type="dxa"/>
            <w:shd w:val="clear" w:color="auto" w:fill="auto"/>
            <w:vAlign w:val="bottom"/>
          </w:tcPr>
          <w:p w:rsidR="00B62635" w:rsidRPr="00B62635" w:rsidRDefault="00B62635" w:rsidP="00B62635">
            <w:pPr>
              <w:spacing w:afterLines="0" w:line="240" w:lineRule="auto"/>
            </w:pPr>
            <w:r w:rsidRPr="00B62635">
              <w:t>1.6</w:t>
            </w:r>
          </w:p>
        </w:tc>
        <w:tc>
          <w:tcPr>
            <w:tcW w:w="1078" w:type="dxa"/>
            <w:shd w:val="clear" w:color="auto" w:fill="auto"/>
            <w:vAlign w:val="bottom"/>
          </w:tcPr>
          <w:p w:rsidR="00B62635" w:rsidRPr="00B62635" w:rsidRDefault="00B62635" w:rsidP="00B62635">
            <w:pPr>
              <w:spacing w:afterLines="0" w:line="240" w:lineRule="auto"/>
            </w:pPr>
            <w:r w:rsidRPr="00B62635">
              <w:t>2</w:t>
            </w:r>
          </w:p>
        </w:tc>
        <w:tc>
          <w:tcPr>
            <w:tcW w:w="1079" w:type="dxa"/>
            <w:shd w:val="clear" w:color="auto" w:fill="auto"/>
            <w:vAlign w:val="bottom"/>
          </w:tcPr>
          <w:p w:rsidR="00B62635" w:rsidRPr="00B62635" w:rsidRDefault="00B62635" w:rsidP="00B62635">
            <w:pPr>
              <w:spacing w:afterLines="0" w:line="240" w:lineRule="auto"/>
            </w:pPr>
            <w:r w:rsidRPr="00B62635">
              <w:t>4.2</w:t>
            </w:r>
          </w:p>
        </w:tc>
        <w:tc>
          <w:tcPr>
            <w:tcW w:w="1078" w:type="dxa"/>
            <w:shd w:val="clear" w:color="auto" w:fill="auto"/>
            <w:vAlign w:val="bottom"/>
          </w:tcPr>
          <w:p w:rsidR="00B62635" w:rsidRPr="00B62635" w:rsidRDefault="00B62635" w:rsidP="00B62635">
            <w:pPr>
              <w:spacing w:afterLines="0" w:line="240" w:lineRule="auto"/>
            </w:pPr>
            <w:r w:rsidRPr="00B62635">
              <w:t>5</w:t>
            </w:r>
          </w:p>
        </w:tc>
        <w:tc>
          <w:tcPr>
            <w:tcW w:w="1079" w:type="dxa"/>
            <w:shd w:val="clear" w:color="auto" w:fill="auto"/>
            <w:vAlign w:val="bottom"/>
          </w:tcPr>
          <w:p w:rsidR="00B62635" w:rsidRPr="00B62635" w:rsidRDefault="00B62635" w:rsidP="00B62635">
            <w:pPr>
              <w:spacing w:afterLines="0" w:line="240" w:lineRule="auto"/>
            </w:pPr>
            <w:r w:rsidRPr="00B62635">
              <w:t>5.3</w:t>
            </w:r>
          </w:p>
        </w:tc>
      </w:tr>
      <w:tr w:rsidR="005C24E5" w:rsidRPr="00B62635" w:rsidTr="00B62635">
        <w:trPr>
          <w:jc w:val="center"/>
        </w:trPr>
        <w:tc>
          <w:tcPr>
            <w:tcW w:w="1106" w:type="dxa"/>
          </w:tcPr>
          <w:p w:rsidR="005C24E5" w:rsidRPr="00B62635" w:rsidRDefault="005C24E5" w:rsidP="00B62635">
            <w:pPr>
              <w:spacing w:afterLines="0" w:line="240" w:lineRule="auto"/>
            </w:pPr>
            <w:r>
              <w:t>Q2 2016</w:t>
            </w:r>
          </w:p>
        </w:tc>
        <w:tc>
          <w:tcPr>
            <w:tcW w:w="1078" w:type="dxa"/>
            <w:shd w:val="clear" w:color="auto" w:fill="auto"/>
            <w:vAlign w:val="bottom"/>
          </w:tcPr>
          <w:p w:rsidR="005C24E5" w:rsidRPr="00B62635" w:rsidRDefault="005C24E5" w:rsidP="00B62635">
            <w:pPr>
              <w:spacing w:afterLines="0" w:line="240" w:lineRule="auto"/>
            </w:pPr>
            <w:r>
              <w:t>22</w:t>
            </w:r>
          </w:p>
        </w:tc>
        <w:tc>
          <w:tcPr>
            <w:tcW w:w="1079" w:type="dxa"/>
            <w:shd w:val="clear" w:color="auto" w:fill="auto"/>
            <w:vAlign w:val="bottom"/>
          </w:tcPr>
          <w:p w:rsidR="005C24E5" w:rsidRPr="00B62635" w:rsidRDefault="005C24E5" w:rsidP="00B62635">
            <w:pPr>
              <w:spacing w:afterLines="0" w:line="240" w:lineRule="auto"/>
            </w:pPr>
            <w:r>
              <w:t>6.2</w:t>
            </w:r>
          </w:p>
        </w:tc>
        <w:tc>
          <w:tcPr>
            <w:tcW w:w="1078" w:type="dxa"/>
            <w:shd w:val="clear" w:color="auto" w:fill="auto"/>
            <w:vAlign w:val="bottom"/>
          </w:tcPr>
          <w:p w:rsidR="005C24E5" w:rsidRPr="00B62635" w:rsidRDefault="005C24E5" w:rsidP="00B62635">
            <w:pPr>
              <w:spacing w:afterLines="0" w:line="240" w:lineRule="auto"/>
            </w:pPr>
            <w:r>
              <w:t>14</w:t>
            </w:r>
          </w:p>
        </w:tc>
        <w:tc>
          <w:tcPr>
            <w:tcW w:w="1079" w:type="dxa"/>
            <w:shd w:val="clear" w:color="auto" w:fill="auto"/>
            <w:vAlign w:val="bottom"/>
          </w:tcPr>
          <w:p w:rsidR="005C24E5" w:rsidRPr="00B62635" w:rsidRDefault="005C24E5" w:rsidP="00B62635">
            <w:pPr>
              <w:spacing w:afterLines="0" w:line="240" w:lineRule="auto"/>
            </w:pPr>
            <w:r>
              <w:t>4.6</w:t>
            </w:r>
          </w:p>
        </w:tc>
        <w:tc>
          <w:tcPr>
            <w:tcW w:w="1078" w:type="dxa"/>
            <w:shd w:val="clear" w:color="auto" w:fill="auto"/>
            <w:vAlign w:val="bottom"/>
          </w:tcPr>
          <w:p w:rsidR="005C24E5" w:rsidRPr="00B62635" w:rsidRDefault="005C24E5" w:rsidP="00B62635">
            <w:pPr>
              <w:spacing w:afterLines="0" w:line="240" w:lineRule="auto"/>
            </w:pPr>
            <w:r>
              <w:t>5</w:t>
            </w:r>
          </w:p>
        </w:tc>
        <w:tc>
          <w:tcPr>
            <w:tcW w:w="1079" w:type="dxa"/>
            <w:shd w:val="clear" w:color="auto" w:fill="auto"/>
            <w:vAlign w:val="bottom"/>
          </w:tcPr>
          <w:p w:rsidR="005C24E5" w:rsidRPr="00B62635" w:rsidRDefault="005C24E5" w:rsidP="00B62635">
            <w:pPr>
              <w:spacing w:afterLines="0" w:line="240" w:lineRule="auto"/>
            </w:pPr>
            <w:r>
              <w:t>9.2</w:t>
            </w:r>
          </w:p>
        </w:tc>
        <w:tc>
          <w:tcPr>
            <w:tcW w:w="1078" w:type="dxa"/>
            <w:shd w:val="clear" w:color="auto" w:fill="auto"/>
            <w:vAlign w:val="bottom"/>
          </w:tcPr>
          <w:p w:rsidR="005C24E5" w:rsidRPr="00B62635" w:rsidRDefault="0080146E" w:rsidP="00B62635">
            <w:pPr>
              <w:spacing w:afterLines="0" w:line="240" w:lineRule="auto"/>
            </w:pPr>
            <w:r>
              <w:t>4</w:t>
            </w:r>
          </w:p>
        </w:tc>
        <w:tc>
          <w:tcPr>
            <w:tcW w:w="1079" w:type="dxa"/>
            <w:shd w:val="clear" w:color="auto" w:fill="auto"/>
            <w:vAlign w:val="bottom"/>
          </w:tcPr>
          <w:p w:rsidR="005C24E5" w:rsidRPr="00B62635" w:rsidRDefault="0080146E" w:rsidP="00B62635">
            <w:pPr>
              <w:spacing w:afterLines="0" w:line="240" w:lineRule="auto"/>
            </w:pPr>
            <w:r>
              <w:t>3.9</w:t>
            </w:r>
          </w:p>
        </w:tc>
      </w:tr>
    </w:tbl>
    <w:p w:rsidR="0035443D" w:rsidRDefault="0035443D" w:rsidP="00B62635">
      <w:pPr>
        <w:spacing w:after="336"/>
        <w:rPr>
          <w:rFonts w:eastAsia="Times New Roman" w:cs="Times New Roman"/>
          <w:bCs/>
        </w:rPr>
      </w:pPr>
      <w:bookmarkStart w:id="120" w:name="_Toc459796763"/>
    </w:p>
    <w:p w:rsidR="0035443D" w:rsidRDefault="0035443D" w:rsidP="0035443D">
      <w:pPr>
        <w:spacing w:after="336"/>
        <w:rPr>
          <w:rFonts w:eastAsia="Times New Roman" w:cs="Times New Roman"/>
          <w:bCs/>
        </w:rPr>
      </w:pPr>
      <w:r>
        <w:rPr>
          <w:rFonts w:eastAsia="Times New Roman" w:cs="Times New Roman"/>
          <w:bCs/>
        </w:rPr>
        <w:br w:type="page"/>
      </w:r>
    </w:p>
    <w:p w:rsidR="00B62635" w:rsidRPr="00B62635" w:rsidRDefault="00B62635" w:rsidP="00B62635">
      <w:pPr>
        <w:spacing w:after="336"/>
        <w:rPr>
          <w:rFonts w:eastAsia="Times New Roman" w:cs="Times New Roman"/>
          <w:b/>
          <w:bCs/>
        </w:rPr>
      </w:pPr>
      <w:r w:rsidRPr="00B62635">
        <w:rPr>
          <w:rFonts w:eastAsia="Times New Roman" w:cs="Times New Roman"/>
          <w:b/>
          <w:bCs/>
        </w:rPr>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556020">
        <w:rPr>
          <w:rFonts w:eastAsia="Times New Roman" w:cs="Times New Roman"/>
          <w:b/>
          <w:bCs/>
          <w:noProof/>
        </w:rPr>
        <w:t>9</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Hospital numbers and rates per10 000 patient days of HCA-HCF CDI</w:t>
      </w:r>
      <w:bookmarkEnd w:id="120"/>
    </w:p>
    <w:tbl>
      <w:tblPr>
        <w:tblW w:w="9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9 Hospital numbers and rates per10 000 patient days of HCA-HCF CDI"/>
      </w:tblPr>
      <w:tblGrid>
        <w:gridCol w:w="1107"/>
        <w:gridCol w:w="1081"/>
        <w:gridCol w:w="1082"/>
        <w:gridCol w:w="1081"/>
        <w:gridCol w:w="1086"/>
        <w:gridCol w:w="1080"/>
        <w:gridCol w:w="1081"/>
        <w:gridCol w:w="1080"/>
        <w:gridCol w:w="1081"/>
      </w:tblGrid>
      <w:tr w:rsidR="00B62635" w:rsidRPr="00B62635" w:rsidTr="00AD4ECF">
        <w:trPr>
          <w:tblHeader/>
          <w:jc w:val="center"/>
        </w:trPr>
        <w:tc>
          <w:tcPr>
            <w:tcW w:w="1107" w:type="dxa"/>
            <w:vMerge w:val="restart"/>
          </w:tcPr>
          <w:p w:rsidR="00B62635" w:rsidRPr="00B62635" w:rsidRDefault="00B62635" w:rsidP="00B62635">
            <w:pPr>
              <w:spacing w:afterLines="0" w:after="120" w:line="240" w:lineRule="auto"/>
            </w:pPr>
            <w:r w:rsidRPr="00B62635">
              <w:rPr>
                <w:b/>
              </w:rPr>
              <w:t>Quarter</w:t>
            </w:r>
          </w:p>
        </w:tc>
        <w:tc>
          <w:tcPr>
            <w:tcW w:w="2163" w:type="dxa"/>
            <w:gridSpan w:val="2"/>
            <w:shd w:val="clear" w:color="auto" w:fill="auto"/>
          </w:tcPr>
          <w:p w:rsidR="00B62635" w:rsidRPr="00B62635" w:rsidRDefault="00B62635" w:rsidP="00B62635">
            <w:pPr>
              <w:spacing w:afterLines="0" w:after="120" w:line="240" w:lineRule="auto"/>
              <w:rPr>
                <w:b/>
              </w:rPr>
            </w:pPr>
            <w:r w:rsidRPr="00B62635">
              <w:rPr>
                <w:b/>
              </w:rPr>
              <w:t>Royal Hobart</w:t>
            </w:r>
          </w:p>
        </w:tc>
        <w:tc>
          <w:tcPr>
            <w:tcW w:w="2167" w:type="dxa"/>
            <w:gridSpan w:val="2"/>
            <w:shd w:val="clear" w:color="auto" w:fill="auto"/>
          </w:tcPr>
          <w:p w:rsidR="00B62635" w:rsidRPr="00B62635" w:rsidRDefault="00B62635" w:rsidP="00B62635">
            <w:pPr>
              <w:spacing w:afterLines="0" w:after="120" w:line="240" w:lineRule="auto"/>
              <w:rPr>
                <w:b/>
              </w:rPr>
            </w:pPr>
            <w:r w:rsidRPr="00B62635">
              <w:rPr>
                <w:b/>
              </w:rPr>
              <w:t>Launceston General</w:t>
            </w:r>
          </w:p>
        </w:tc>
        <w:tc>
          <w:tcPr>
            <w:tcW w:w="2161" w:type="dxa"/>
            <w:gridSpan w:val="2"/>
          </w:tcPr>
          <w:p w:rsidR="00B62635" w:rsidRPr="00B62635" w:rsidRDefault="00B62635" w:rsidP="00B62635">
            <w:pPr>
              <w:spacing w:afterLines="0" w:after="120" w:line="240" w:lineRule="auto"/>
              <w:rPr>
                <w:b/>
              </w:rPr>
            </w:pPr>
            <w:r w:rsidRPr="00B62635">
              <w:rPr>
                <w:b/>
              </w:rPr>
              <w:t>Mersey Community</w:t>
            </w:r>
          </w:p>
        </w:tc>
        <w:tc>
          <w:tcPr>
            <w:tcW w:w="2161" w:type="dxa"/>
            <w:gridSpan w:val="2"/>
            <w:shd w:val="clear" w:color="auto" w:fill="auto"/>
          </w:tcPr>
          <w:p w:rsidR="00B62635" w:rsidRPr="00B62635" w:rsidRDefault="00B62635" w:rsidP="00B62635">
            <w:pPr>
              <w:spacing w:afterLines="0" w:after="120" w:line="240" w:lineRule="auto"/>
              <w:rPr>
                <w:b/>
              </w:rPr>
            </w:pPr>
            <w:r w:rsidRPr="00B62635">
              <w:rPr>
                <w:b/>
              </w:rPr>
              <w:t xml:space="preserve">NW Regional </w:t>
            </w:r>
          </w:p>
        </w:tc>
      </w:tr>
      <w:tr w:rsidR="00B62635" w:rsidRPr="00B62635" w:rsidTr="00AD4ECF">
        <w:trPr>
          <w:tblHeader/>
          <w:jc w:val="center"/>
        </w:trPr>
        <w:tc>
          <w:tcPr>
            <w:tcW w:w="1107" w:type="dxa"/>
            <w:vMerge/>
          </w:tcPr>
          <w:p w:rsidR="00B62635" w:rsidRPr="00B62635" w:rsidRDefault="00B62635" w:rsidP="00B62635">
            <w:pPr>
              <w:spacing w:afterLines="0" w:after="120" w:line="240" w:lineRule="auto"/>
            </w:pPr>
          </w:p>
        </w:tc>
        <w:tc>
          <w:tcPr>
            <w:tcW w:w="1081" w:type="dxa"/>
            <w:shd w:val="clear" w:color="auto" w:fill="auto"/>
          </w:tcPr>
          <w:p w:rsidR="00B62635" w:rsidRPr="00B62635" w:rsidRDefault="00B62635" w:rsidP="00B62635">
            <w:pPr>
              <w:spacing w:afterLines="0" w:after="120" w:line="240" w:lineRule="auto"/>
              <w:rPr>
                <w:b/>
              </w:rPr>
            </w:pPr>
            <w:r w:rsidRPr="00B62635">
              <w:rPr>
                <w:b/>
              </w:rPr>
              <w:t xml:space="preserve">Total </w:t>
            </w:r>
          </w:p>
        </w:tc>
        <w:tc>
          <w:tcPr>
            <w:tcW w:w="1082" w:type="dxa"/>
            <w:shd w:val="clear" w:color="auto" w:fill="auto"/>
          </w:tcPr>
          <w:p w:rsidR="00B62635" w:rsidRPr="00B62635" w:rsidRDefault="00B62635" w:rsidP="00B62635">
            <w:pPr>
              <w:spacing w:afterLines="0" w:after="120" w:line="240" w:lineRule="auto"/>
              <w:rPr>
                <w:b/>
              </w:rPr>
            </w:pPr>
            <w:r w:rsidRPr="00B62635">
              <w:rPr>
                <w:b/>
              </w:rPr>
              <w:t>Rate</w:t>
            </w:r>
          </w:p>
        </w:tc>
        <w:tc>
          <w:tcPr>
            <w:tcW w:w="1081" w:type="dxa"/>
            <w:shd w:val="clear" w:color="auto" w:fill="auto"/>
          </w:tcPr>
          <w:p w:rsidR="00B62635" w:rsidRPr="00B62635" w:rsidRDefault="00B62635" w:rsidP="00B62635">
            <w:pPr>
              <w:spacing w:afterLines="0" w:after="120" w:line="240" w:lineRule="auto"/>
              <w:rPr>
                <w:b/>
              </w:rPr>
            </w:pPr>
            <w:r w:rsidRPr="00B62635">
              <w:rPr>
                <w:b/>
              </w:rPr>
              <w:t xml:space="preserve">Total </w:t>
            </w:r>
          </w:p>
        </w:tc>
        <w:tc>
          <w:tcPr>
            <w:tcW w:w="1086" w:type="dxa"/>
          </w:tcPr>
          <w:p w:rsidR="00B62635" w:rsidRPr="00B62635" w:rsidRDefault="00B62635" w:rsidP="00B62635">
            <w:pPr>
              <w:spacing w:afterLines="0" w:after="120" w:line="240" w:lineRule="auto"/>
              <w:rPr>
                <w:b/>
              </w:rPr>
            </w:pPr>
            <w:r w:rsidRPr="00B62635">
              <w:rPr>
                <w:b/>
              </w:rPr>
              <w:t>Rate</w:t>
            </w:r>
          </w:p>
        </w:tc>
        <w:tc>
          <w:tcPr>
            <w:tcW w:w="1080" w:type="dxa"/>
          </w:tcPr>
          <w:p w:rsidR="00B62635" w:rsidRPr="00B62635" w:rsidRDefault="00B62635" w:rsidP="00B62635">
            <w:pPr>
              <w:spacing w:afterLines="0" w:after="120" w:line="240" w:lineRule="auto"/>
              <w:rPr>
                <w:b/>
              </w:rPr>
            </w:pPr>
            <w:r w:rsidRPr="00B62635">
              <w:rPr>
                <w:b/>
              </w:rPr>
              <w:t xml:space="preserve">Total </w:t>
            </w:r>
          </w:p>
        </w:tc>
        <w:tc>
          <w:tcPr>
            <w:tcW w:w="1081" w:type="dxa"/>
            <w:shd w:val="clear" w:color="auto" w:fill="auto"/>
          </w:tcPr>
          <w:p w:rsidR="00B62635" w:rsidRPr="00B62635" w:rsidRDefault="00B62635" w:rsidP="00B62635">
            <w:pPr>
              <w:spacing w:afterLines="0" w:after="120" w:line="240" w:lineRule="auto"/>
              <w:rPr>
                <w:b/>
              </w:rPr>
            </w:pPr>
            <w:r w:rsidRPr="00B62635">
              <w:rPr>
                <w:b/>
              </w:rPr>
              <w:t>Rate</w:t>
            </w:r>
          </w:p>
        </w:tc>
        <w:tc>
          <w:tcPr>
            <w:tcW w:w="1080" w:type="dxa"/>
            <w:shd w:val="clear" w:color="auto" w:fill="auto"/>
          </w:tcPr>
          <w:p w:rsidR="00B62635" w:rsidRPr="00B62635" w:rsidRDefault="00B62635" w:rsidP="00B62635">
            <w:pPr>
              <w:spacing w:afterLines="0" w:after="120" w:line="240" w:lineRule="auto"/>
              <w:rPr>
                <w:b/>
              </w:rPr>
            </w:pPr>
            <w:r w:rsidRPr="00B62635">
              <w:rPr>
                <w:b/>
              </w:rPr>
              <w:t xml:space="preserve">Total </w:t>
            </w:r>
          </w:p>
        </w:tc>
        <w:tc>
          <w:tcPr>
            <w:tcW w:w="1081" w:type="dxa"/>
            <w:shd w:val="clear" w:color="auto" w:fill="auto"/>
          </w:tcPr>
          <w:p w:rsidR="00B62635" w:rsidRPr="00B62635" w:rsidRDefault="00B62635" w:rsidP="00B62635">
            <w:pPr>
              <w:spacing w:afterLines="0" w:after="120" w:line="240" w:lineRule="auto"/>
              <w:rPr>
                <w:b/>
              </w:rPr>
            </w:pPr>
            <w:r w:rsidRPr="00B62635">
              <w:rPr>
                <w:b/>
              </w:rPr>
              <w:t>Rate</w:t>
            </w:r>
          </w:p>
        </w:tc>
      </w:tr>
      <w:tr w:rsidR="00B62635" w:rsidRPr="00B62635" w:rsidTr="00B62635">
        <w:trPr>
          <w:jc w:val="center"/>
        </w:trPr>
        <w:tc>
          <w:tcPr>
            <w:tcW w:w="1107" w:type="dxa"/>
          </w:tcPr>
          <w:p w:rsidR="00B62635" w:rsidRPr="00B62635" w:rsidRDefault="00B62635" w:rsidP="00B62635">
            <w:pPr>
              <w:spacing w:afterLines="0" w:after="120" w:line="240" w:lineRule="auto"/>
            </w:pPr>
            <w:r w:rsidRPr="00B62635">
              <w:t>Q3 2010</w:t>
            </w:r>
          </w:p>
        </w:tc>
        <w:tc>
          <w:tcPr>
            <w:tcW w:w="1081" w:type="dxa"/>
            <w:shd w:val="clear" w:color="auto" w:fill="auto"/>
          </w:tcPr>
          <w:p w:rsidR="00B62635" w:rsidRPr="00B62635" w:rsidRDefault="00B62635" w:rsidP="00B62635">
            <w:pPr>
              <w:spacing w:afterLines="0" w:after="120" w:line="240" w:lineRule="auto"/>
            </w:pPr>
            <w:r w:rsidRPr="00B62635">
              <w:t>21</w:t>
            </w:r>
          </w:p>
        </w:tc>
        <w:tc>
          <w:tcPr>
            <w:tcW w:w="1082" w:type="dxa"/>
            <w:shd w:val="clear" w:color="auto" w:fill="auto"/>
          </w:tcPr>
          <w:p w:rsidR="00B62635" w:rsidRPr="00B62635" w:rsidRDefault="00B62635" w:rsidP="00B62635">
            <w:pPr>
              <w:spacing w:afterLines="0" w:after="120" w:line="240" w:lineRule="auto"/>
            </w:pPr>
            <w:r w:rsidRPr="00B62635">
              <w:t>5.6</w:t>
            </w:r>
          </w:p>
        </w:tc>
        <w:tc>
          <w:tcPr>
            <w:tcW w:w="1081" w:type="dxa"/>
            <w:shd w:val="clear" w:color="auto" w:fill="auto"/>
          </w:tcPr>
          <w:p w:rsidR="00B62635" w:rsidRPr="00B62635" w:rsidRDefault="00B62635" w:rsidP="00B62635">
            <w:pPr>
              <w:spacing w:afterLines="0" w:after="120" w:line="240" w:lineRule="auto"/>
            </w:pPr>
            <w:r w:rsidRPr="00B62635">
              <w:t>5</w:t>
            </w:r>
          </w:p>
        </w:tc>
        <w:tc>
          <w:tcPr>
            <w:tcW w:w="1086" w:type="dxa"/>
            <w:shd w:val="clear" w:color="auto" w:fill="auto"/>
          </w:tcPr>
          <w:p w:rsidR="00B62635" w:rsidRPr="00B62635" w:rsidRDefault="00B62635" w:rsidP="00B62635">
            <w:pPr>
              <w:spacing w:afterLines="0" w:after="120" w:line="240" w:lineRule="auto"/>
            </w:pPr>
            <w:r w:rsidRPr="00B62635">
              <w:t>1.9</w:t>
            </w:r>
          </w:p>
        </w:tc>
        <w:tc>
          <w:tcPr>
            <w:tcW w:w="1080" w:type="dxa"/>
            <w:shd w:val="clear" w:color="auto" w:fill="auto"/>
          </w:tcPr>
          <w:p w:rsidR="00B62635" w:rsidRPr="00B62635" w:rsidRDefault="00B62635" w:rsidP="00B62635">
            <w:pPr>
              <w:spacing w:afterLines="0" w:after="120" w:line="240" w:lineRule="auto"/>
            </w:pPr>
            <w:r w:rsidRPr="00B62635">
              <w:t>3</w:t>
            </w:r>
          </w:p>
        </w:tc>
        <w:tc>
          <w:tcPr>
            <w:tcW w:w="1081" w:type="dxa"/>
            <w:shd w:val="clear" w:color="auto" w:fill="auto"/>
          </w:tcPr>
          <w:p w:rsidR="00B62635" w:rsidRPr="00B62635" w:rsidRDefault="00B62635" w:rsidP="00B62635">
            <w:pPr>
              <w:spacing w:afterLines="0" w:after="120" w:line="240" w:lineRule="auto"/>
            </w:pPr>
            <w:r w:rsidRPr="00B62635">
              <w:t>5.1</w:t>
            </w:r>
          </w:p>
        </w:tc>
        <w:tc>
          <w:tcPr>
            <w:tcW w:w="1080" w:type="dxa"/>
            <w:shd w:val="clear" w:color="auto" w:fill="auto"/>
          </w:tcPr>
          <w:p w:rsidR="00B62635" w:rsidRPr="00B62635" w:rsidRDefault="00B62635" w:rsidP="00B62635">
            <w:pPr>
              <w:spacing w:afterLines="0" w:after="120" w:line="240" w:lineRule="auto"/>
            </w:pPr>
            <w:r w:rsidRPr="00B62635">
              <w:t>1</w:t>
            </w:r>
          </w:p>
        </w:tc>
        <w:tc>
          <w:tcPr>
            <w:tcW w:w="1081" w:type="dxa"/>
            <w:shd w:val="clear" w:color="auto" w:fill="auto"/>
          </w:tcPr>
          <w:p w:rsidR="00B62635" w:rsidRPr="00B62635" w:rsidRDefault="00B62635" w:rsidP="00B62635">
            <w:pPr>
              <w:spacing w:afterLines="0" w:after="120" w:line="240" w:lineRule="auto"/>
            </w:pPr>
            <w:r w:rsidRPr="00B62635">
              <w:t>1.1</w:t>
            </w:r>
          </w:p>
        </w:tc>
      </w:tr>
      <w:tr w:rsidR="00B62635" w:rsidRPr="00B62635" w:rsidTr="00B62635">
        <w:trPr>
          <w:jc w:val="center"/>
        </w:trPr>
        <w:tc>
          <w:tcPr>
            <w:tcW w:w="1107" w:type="dxa"/>
          </w:tcPr>
          <w:p w:rsidR="00B62635" w:rsidRPr="00B62635" w:rsidRDefault="00B62635" w:rsidP="00B62635">
            <w:pPr>
              <w:spacing w:afterLines="0" w:after="120" w:line="240" w:lineRule="auto"/>
            </w:pPr>
            <w:r w:rsidRPr="00B62635">
              <w:t>Q4 2010</w:t>
            </w:r>
          </w:p>
        </w:tc>
        <w:tc>
          <w:tcPr>
            <w:tcW w:w="1081" w:type="dxa"/>
            <w:shd w:val="clear" w:color="auto" w:fill="auto"/>
          </w:tcPr>
          <w:p w:rsidR="00B62635" w:rsidRPr="00B62635" w:rsidRDefault="00B62635" w:rsidP="00B62635">
            <w:pPr>
              <w:spacing w:afterLines="0" w:after="120" w:line="240" w:lineRule="auto"/>
            </w:pPr>
            <w:r w:rsidRPr="00B62635">
              <w:t>20</w:t>
            </w:r>
          </w:p>
        </w:tc>
        <w:tc>
          <w:tcPr>
            <w:tcW w:w="1082" w:type="dxa"/>
            <w:shd w:val="clear" w:color="auto" w:fill="auto"/>
          </w:tcPr>
          <w:p w:rsidR="00B62635" w:rsidRPr="00B62635" w:rsidRDefault="00B62635" w:rsidP="00B62635">
            <w:pPr>
              <w:spacing w:afterLines="0" w:after="120" w:line="240" w:lineRule="auto"/>
            </w:pPr>
            <w:r w:rsidRPr="00B62635">
              <w:t>5.3</w:t>
            </w:r>
          </w:p>
        </w:tc>
        <w:tc>
          <w:tcPr>
            <w:tcW w:w="1081" w:type="dxa"/>
            <w:shd w:val="clear" w:color="auto" w:fill="auto"/>
          </w:tcPr>
          <w:p w:rsidR="00B62635" w:rsidRPr="00B62635" w:rsidRDefault="00B62635" w:rsidP="00B62635">
            <w:pPr>
              <w:spacing w:afterLines="0" w:after="120" w:line="240" w:lineRule="auto"/>
            </w:pPr>
            <w:r w:rsidRPr="00B62635">
              <w:t>4</w:t>
            </w:r>
          </w:p>
        </w:tc>
        <w:tc>
          <w:tcPr>
            <w:tcW w:w="1086" w:type="dxa"/>
            <w:shd w:val="clear" w:color="auto" w:fill="auto"/>
          </w:tcPr>
          <w:p w:rsidR="00B62635" w:rsidRPr="00B62635" w:rsidRDefault="00B62635" w:rsidP="00B62635">
            <w:pPr>
              <w:spacing w:afterLines="0" w:after="120" w:line="240" w:lineRule="auto"/>
            </w:pPr>
            <w:r w:rsidRPr="00B62635">
              <w:t>1.5</w:t>
            </w:r>
          </w:p>
        </w:tc>
        <w:tc>
          <w:tcPr>
            <w:tcW w:w="1080" w:type="dxa"/>
            <w:shd w:val="clear" w:color="auto" w:fill="auto"/>
          </w:tcPr>
          <w:p w:rsidR="00B62635" w:rsidRPr="00B62635" w:rsidRDefault="00B62635" w:rsidP="00B62635">
            <w:pPr>
              <w:spacing w:afterLines="0" w:after="120" w:line="240" w:lineRule="auto"/>
            </w:pPr>
            <w:r w:rsidRPr="00B62635">
              <w:t>2</w:t>
            </w:r>
          </w:p>
        </w:tc>
        <w:tc>
          <w:tcPr>
            <w:tcW w:w="1081" w:type="dxa"/>
            <w:shd w:val="clear" w:color="auto" w:fill="auto"/>
          </w:tcPr>
          <w:p w:rsidR="00B62635" w:rsidRPr="00B62635" w:rsidRDefault="00B62635" w:rsidP="00B62635">
            <w:pPr>
              <w:spacing w:afterLines="0" w:after="120" w:line="240" w:lineRule="auto"/>
            </w:pPr>
            <w:r w:rsidRPr="00B62635">
              <w:t>3.2</w:t>
            </w:r>
          </w:p>
        </w:tc>
        <w:tc>
          <w:tcPr>
            <w:tcW w:w="1080" w:type="dxa"/>
            <w:shd w:val="clear" w:color="auto" w:fill="auto"/>
          </w:tcPr>
          <w:p w:rsidR="00B62635" w:rsidRPr="00B62635" w:rsidRDefault="00B62635" w:rsidP="00B62635">
            <w:pPr>
              <w:spacing w:afterLines="0" w:after="120" w:line="240" w:lineRule="auto"/>
            </w:pPr>
            <w:r w:rsidRPr="00B62635">
              <w:t>1</w:t>
            </w:r>
          </w:p>
        </w:tc>
        <w:tc>
          <w:tcPr>
            <w:tcW w:w="1081" w:type="dxa"/>
            <w:shd w:val="clear" w:color="auto" w:fill="auto"/>
          </w:tcPr>
          <w:p w:rsidR="00B62635" w:rsidRPr="00B62635" w:rsidRDefault="00B62635" w:rsidP="00B62635">
            <w:pPr>
              <w:spacing w:afterLines="0" w:after="120" w:line="240" w:lineRule="auto"/>
            </w:pPr>
            <w:r w:rsidRPr="00B62635">
              <w:t>1.0</w:t>
            </w:r>
          </w:p>
        </w:tc>
      </w:tr>
      <w:tr w:rsidR="00B62635" w:rsidRPr="00B62635" w:rsidTr="00B62635">
        <w:trPr>
          <w:jc w:val="center"/>
        </w:trPr>
        <w:tc>
          <w:tcPr>
            <w:tcW w:w="1107" w:type="dxa"/>
          </w:tcPr>
          <w:p w:rsidR="00B62635" w:rsidRPr="00B62635" w:rsidRDefault="00B62635" w:rsidP="00B62635">
            <w:pPr>
              <w:spacing w:afterLines="0" w:after="120" w:line="240" w:lineRule="auto"/>
            </w:pPr>
            <w:r w:rsidRPr="00B62635">
              <w:t>Q1 2011</w:t>
            </w:r>
          </w:p>
        </w:tc>
        <w:tc>
          <w:tcPr>
            <w:tcW w:w="1081" w:type="dxa"/>
            <w:shd w:val="clear" w:color="auto" w:fill="auto"/>
          </w:tcPr>
          <w:p w:rsidR="00B62635" w:rsidRPr="00B62635" w:rsidRDefault="00B62635" w:rsidP="00B62635">
            <w:pPr>
              <w:spacing w:afterLines="0" w:after="120" w:line="240" w:lineRule="auto"/>
            </w:pPr>
            <w:r w:rsidRPr="00B62635">
              <w:t>15</w:t>
            </w:r>
          </w:p>
        </w:tc>
        <w:tc>
          <w:tcPr>
            <w:tcW w:w="1082" w:type="dxa"/>
            <w:shd w:val="clear" w:color="auto" w:fill="auto"/>
          </w:tcPr>
          <w:p w:rsidR="00B62635" w:rsidRPr="00B62635" w:rsidRDefault="00B62635" w:rsidP="00B62635">
            <w:pPr>
              <w:spacing w:afterLines="0" w:after="120" w:line="240" w:lineRule="auto"/>
            </w:pPr>
            <w:r w:rsidRPr="00B62635">
              <w:t>4.1</w:t>
            </w:r>
          </w:p>
        </w:tc>
        <w:tc>
          <w:tcPr>
            <w:tcW w:w="1081" w:type="dxa"/>
            <w:shd w:val="clear" w:color="auto" w:fill="auto"/>
          </w:tcPr>
          <w:p w:rsidR="00B62635" w:rsidRPr="00B62635" w:rsidRDefault="00B62635" w:rsidP="00B62635">
            <w:pPr>
              <w:spacing w:afterLines="0" w:after="120" w:line="240" w:lineRule="auto"/>
            </w:pPr>
            <w:r w:rsidRPr="00B62635">
              <w:t>5</w:t>
            </w:r>
          </w:p>
        </w:tc>
        <w:tc>
          <w:tcPr>
            <w:tcW w:w="1086" w:type="dxa"/>
            <w:shd w:val="clear" w:color="auto" w:fill="auto"/>
          </w:tcPr>
          <w:p w:rsidR="00B62635" w:rsidRPr="00B62635" w:rsidRDefault="00B62635" w:rsidP="00B62635">
            <w:pPr>
              <w:spacing w:afterLines="0" w:after="120" w:line="240" w:lineRule="auto"/>
            </w:pPr>
            <w:r w:rsidRPr="00B62635">
              <w:t>2.0</w:t>
            </w:r>
          </w:p>
        </w:tc>
        <w:tc>
          <w:tcPr>
            <w:tcW w:w="1080" w:type="dxa"/>
            <w:shd w:val="clear" w:color="auto" w:fill="auto"/>
          </w:tcPr>
          <w:p w:rsidR="00B62635" w:rsidRPr="00B62635" w:rsidRDefault="00B62635" w:rsidP="00B62635">
            <w:pPr>
              <w:spacing w:afterLines="0" w:after="120" w:line="240" w:lineRule="auto"/>
            </w:pPr>
            <w:r w:rsidRPr="00B62635">
              <w:t>2</w:t>
            </w:r>
          </w:p>
        </w:tc>
        <w:tc>
          <w:tcPr>
            <w:tcW w:w="1081" w:type="dxa"/>
            <w:shd w:val="clear" w:color="auto" w:fill="auto"/>
          </w:tcPr>
          <w:p w:rsidR="00B62635" w:rsidRPr="00B62635" w:rsidRDefault="00B62635" w:rsidP="00B62635">
            <w:pPr>
              <w:spacing w:afterLines="0" w:after="120" w:line="240" w:lineRule="auto"/>
            </w:pPr>
            <w:r w:rsidRPr="00B62635">
              <w:t>3.3</w:t>
            </w:r>
          </w:p>
        </w:tc>
        <w:tc>
          <w:tcPr>
            <w:tcW w:w="1080" w:type="dxa"/>
            <w:shd w:val="clear" w:color="auto" w:fill="auto"/>
          </w:tcPr>
          <w:p w:rsidR="00B62635" w:rsidRPr="00B62635" w:rsidRDefault="00B62635" w:rsidP="00B62635">
            <w:pPr>
              <w:spacing w:afterLines="0" w:after="120" w:line="240" w:lineRule="auto"/>
            </w:pPr>
            <w:r w:rsidRPr="00B62635">
              <w:t>0</w:t>
            </w:r>
          </w:p>
        </w:tc>
        <w:tc>
          <w:tcPr>
            <w:tcW w:w="1081" w:type="dxa"/>
            <w:shd w:val="clear" w:color="auto" w:fill="auto"/>
          </w:tcPr>
          <w:p w:rsidR="00B62635" w:rsidRPr="00B62635" w:rsidRDefault="00B62635" w:rsidP="00B62635">
            <w:pPr>
              <w:spacing w:afterLines="0" w:after="120" w:line="240" w:lineRule="auto"/>
            </w:pPr>
            <w:r w:rsidRPr="00B62635">
              <w:t>0.0</w:t>
            </w:r>
          </w:p>
        </w:tc>
      </w:tr>
      <w:tr w:rsidR="00B62635" w:rsidRPr="00B62635" w:rsidTr="00B62635">
        <w:trPr>
          <w:jc w:val="center"/>
        </w:trPr>
        <w:tc>
          <w:tcPr>
            <w:tcW w:w="1107" w:type="dxa"/>
          </w:tcPr>
          <w:p w:rsidR="00B62635" w:rsidRPr="00B62635" w:rsidRDefault="00B62635" w:rsidP="00B62635">
            <w:pPr>
              <w:spacing w:afterLines="0" w:after="120" w:line="240" w:lineRule="auto"/>
            </w:pPr>
            <w:r w:rsidRPr="00B62635">
              <w:t>Q2 2011</w:t>
            </w:r>
          </w:p>
        </w:tc>
        <w:tc>
          <w:tcPr>
            <w:tcW w:w="1081" w:type="dxa"/>
            <w:shd w:val="clear" w:color="auto" w:fill="auto"/>
          </w:tcPr>
          <w:p w:rsidR="00B62635" w:rsidRPr="00B62635" w:rsidRDefault="00B62635" w:rsidP="00B62635">
            <w:pPr>
              <w:spacing w:afterLines="0" w:after="120" w:line="240" w:lineRule="auto"/>
            </w:pPr>
            <w:r w:rsidRPr="00B62635">
              <w:t>14</w:t>
            </w:r>
          </w:p>
        </w:tc>
        <w:tc>
          <w:tcPr>
            <w:tcW w:w="1082" w:type="dxa"/>
            <w:shd w:val="clear" w:color="auto" w:fill="auto"/>
          </w:tcPr>
          <w:p w:rsidR="00B62635" w:rsidRPr="00B62635" w:rsidRDefault="00B62635" w:rsidP="00B62635">
            <w:pPr>
              <w:spacing w:afterLines="0" w:after="120" w:line="240" w:lineRule="auto"/>
            </w:pPr>
            <w:r w:rsidRPr="00B62635">
              <w:t>3.7</w:t>
            </w:r>
          </w:p>
        </w:tc>
        <w:tc>
          <w:tcPr>
            <w:tcW w:w="1081" w:type="dxa"/>
            <w:shd w:val="clear" w:color="auto" w:fill="auto"/>
          </w:tcPr>
          <w:p w:rsidR="00B62635" w:rsidRPr="00B62635" w:rsidRDefault="00B62635" w:rsidP="00B62635">
            <w:pPr>
              <w:spacing w:afterLines="0" w:after="120" w:line="240" w:lineRule="auto"/>
            </w:pPr>
            <w:r w:rsidRPr="00B62635">
              <w:t>2</w:t>
            </w:r>
          </w:p>
        </w:tc>
        <w:tc>
          <w:tcPr>
            <w:tcW w:w="1086" w:type="dxa"/>
            <w:shd w:val="clear" w:color="auto" w:fill="auto"/>
          </w:tcPr>
          <w:p w:rsidR="00B62635" w:rsidRPr="00B62635" w:rsidRDefault="00B62635" w:rsidP="00B62635">
            <w:pPr>
              <w:spacing w:afterLines="0" w:after="120" w:line="240" w:lineRule="auto"/>
            </w:pPr>
            <w:r w:rsidRPr="00B62635">
              <w:t>0.7</w:t>
            </w:r>
          </w:p>
        </w:tc>
        <w:tc>
          <w:tcPr>
            <w:tcW w:w="1080" w:type="dxa"/>
            <w:shd w:val="clear" w:color="auto" w:fill="auto"/>
          </w:tcPr>
          <w:p w:rsidR="00B62635" w:rsidRPr="00B62635" w:rsidRDefault="00B62635" w:rsidP="00B62635">
            <w:pPr>
              <w:spacing w:afterLines="0" w:after="120" w:line="240" w:lineRule="auto"/>
            </w:pPr>
            <w:r w:rsidRPr="00B62635">
              <w:t>1</w:t>
            </w:r>
          </w:p>
        </w:tc>
        <w:tc>
          <w:tcPr>
            <w:tcW w:w="1081" w:type="dxa"/>
            <w:shd w:val="clear" w:color="auto" w:fill="auto"/>
          </w:tcPr>
          <w:p w:rsidR="00B62635" w:rsidRPr="00B62635" w:rsidRDefault="00B62635" w:rsidP="00B62635">
            <w:pPr>
              <w:spacing w:afterLines="0" w:after="120" w:line="240" w:lineRule="auto"/>
            </w:pPr>
            <w:r w:rsidRPr="00B62635">
              <w:t>1.6</w:t>
            </w:r>
          </w:p>
        </w:tc>
        <w:tc>
          <w:tcPr>
            <w:tcW w:w="1080" w:type="dxa"/>
            <w:shd w:val="clear" w:color="auto" w:fill="auto"/>
          </w:tcPr>
          <w:p w:rsidR="00B62635" w:rsidRPr="00B62635" w:rsidRDefault="00B62635" w:rsidP="00B62635">
            <w:pPr>
              <w:spacing w:afterLines="0" w:after="120" w:line="240" w:lineRule="auto"/>
            </w:pPr>
            <w:r w:rsidRPr="00B62635">
              <w:t>1</w:t>
            </w:r>
          </w:p>
        </w:tc>
        <w:tc>
          <w:tcPr>
            <w:tcW w:w="1081" w:type="dxa"/>
            <w:shd w:val="clear" w:color="auto" w:fill="auto"/>
          </w:tcPr>
          <w:p w:rsidR="00B62635" w:rsidRPr="00B62635" w:rsidRDefault="00B62635" w:rsidP="00B62635">
            <w:pPr>
              <w:spacing w:afterLines="0" w:after="120" w:line="240" w:lineRule="auto"/>
            </w:pPr>
            <w:r w:rsidRPr="00B62635">
              <w:t>1.1</w:t>
            </w:r>
          </w:p>
        </w:tc>
      </w:tr>
      <w:tr w:rsidR="00B62635" w:rsidRPr="00B62635" w:rsidTr="00B62635">
        <w:trPr>
          <w:jc w:val="center"/>
        </w:trPr>
        <w:tc>
          <w:tcPr>
            <w:tcW w:w="1107" w:type="dxa"/>
          </w:tcPr>
          <w:p w:rsidR="00B62635" w:rsidRPr="00B62635" w:rsidRDefault="00B62635" w:rsidP="00B62635">
            <w:pPr>
              <w:spacing w:afterLines="0" w:after="120" w:line="240" w:lineRule="auto"/>
            </w:pPr>
            <w:r w:rsidRPr="00B62635">
              <w:t>Q3 2011</w:t>
            </w:r>
          </w:p>
        </w:tc>
        <w:tc>
          <w:tcPr>
            <w:tcW w:w="1081" w:type="dxa"/>
            <w:shd w:val="clear" w:color="auto" w:fill="auto"/>
          </w:tcPr>
          <w:p w:rsidR="00B62635" w:rsidRPr="00B62635" w:rsidRDefault="00B62635" w:rsidP="00B62635">
            <w:pPr>
              <w:spacing w:afterLines="0" w:after="120" w:line="240" w:lineRule="auto"/>
            </w:pPr>
            <w:r w:rsidRPr="00B62635">
              <w:t>15</w:t>
            </w:r>
          </w:p>
        </w:tc>
        <w:tc>
          <w:tcPr>
            <w:tcW w:w="1082" w:type="dxa"/>
            <w:shd w:val="clear" w:color="auto" w:fill="auto"/>
          </w:tcPr>
          <w:p w:rsidR="00B62635" w:rsidRPr="00B62635" w:rsidRDefault="00B62635" w:rsidP="00B62635">
            <w:pPr>
              <w:spacing w:afterLines="0" w:after="120" w:line="240" w:lineRule="auto"/>
            </w:pPr>
            <w:r w:rsidRPr="00B62635">
              <w:t>4.1</w:t>
            </w:r>
          </w:p>
        </w:tc>
        <w:tc>
          <w:tcPr>
            <w:tcW w:w="1081" w:type="dxa"/>
            <w:shd w:val="clear" w:color="auto" w:fill="auto"/>
          </w:tcPr>
          <w:p w:rsidR="00B62635" w:rsidRPr="00B62635" w:rsidRDefault="00B62635" w:rsidP="00B62635">
            <w:pPr>
              <w:spacing w:afterLines="0" w:after="120" w:line="240" w:lineRule="auto"/>
            </w:pPr>
            <w:r w:rsidRPr="00B62635">
              <w:t>6</w:t>
            </w:r>
          </w:p>
        </w:tc>
        <w:tc>
          <w:tcPr>
            <w:tcW w:w="1086" w:type="dxa"/>
            <w:shd w:val="clear" w:color="auto" w:fill="auto"/>
          </w:tcPr>
          <w:p w:rsidR="00B62635" w:rsidRPr="00B62635" w:rsidRDefault="00B62635" w:rsidP="00B62635">
            <w:pPr>
              <w:spacing w:afterLines="0" w:after="120" w:line="240" w:lineRule="auto"/>
            </w:pPr>
            <w:r w:rsidRPr="00B62635">
              <w:t>2.1</w:t>
            </w:r>
          </w:p>
        </w:tc>
        <w:tc>
          <w:tcPr>
            <w:tcW w:w="1080" w:type="dxa"/>
            <w:shd w:val="clear" w:color="auto" w:fill="auto"/>
          </w:tcPr>
          <w:p w:rsidR="00B62635" w:rsidRPr="00B62635" w:rsidRDefault="00B62635" w:rsidP="00B62635">
            <w:pPr>
              <w:spacing w:afterLines="0" w:after="120" w:line="240" w:lineRule="auto"/>
            </w:pPr>
            <w:r w:rsidRPr="00B62635">
              <w:t>4</w:t>
            </w:r>
          </w:p>
        </w:tc>
        <w:tc>
          <w:tcPr>
            <w:tcW w:w="1081" w:type="dxa"/>
            <w:shd w:val="clear" w:color="auto" w:fill="auto"/>
          </w:tcPr>
          <w:p w:rsidR="00B62635" w:rsidRPr="00B62635" w:rsidRDefault="00B62635" w:rsidP="00B62635">
            <w:pPr>
              <w:spacing w:afterLines="0" w:after="120" w:line="240" w:lineRule="auto"/>
            </w:pPr>
            <w:r w:rsidRPr="00B62635">
              <w:t>7.2</w:t>
            </w:r>
          </w:p>
        </w:tc>
        <w:tc>
          <w:tcPr>
            <w:tcW w:w="1080" w:type="dxa"/>
            <w:shd w:val="clear" w:color="auto" w:fill="auto"/>
          </w:tcPr>
          <w:p w:rsidR="00B62635" w:rsidRPr="00B62635" w:rsidRDefault="00B62635" w:rsidP="00B62635">
            <w:pPr>
              <w:spacing w:afterLines="0" w:after="120" w:line="240" w:lineRule="auto"/>
            </w:pPr>
            <w:r w:rsidRPr="00B62635">
              <w:t>0</w:t>
            </w:r>
          </w:p>
        </w:tc>
        <w:tc>
          <w:tcPr>
            <w:tcW w:w="1081" w:type="dxa"/>
            <w:shd w:val="clear" w:color="auto" w:fill="auto"/>
          </w:tcPr>
          <w:p w:rsidR="00B62635" w:rsidRPr="00B62635" w:rsidRDefault="00B62635" w:rsidP="00B62635">
            <w:pPr>
              <w:spacing w:afterLines="0" w:after="120" w:line="240" w:lineRule="auto"/>
            </w:pPr>
            <w:r w:rsidRPr="00B62635">
              <w:t>0.0</w:t>
            </w:r>
          </w:p>
        </w:tc>
      </w:tr>
      <w:tr w:rsidR="00B62635" w:rsidRPr="00B62635" w:rsidTr="00B62635">
        <w:trPr>
          <w:jc w:val="center"/>
        </w:trPr>
        <w:tc>
          <w:tcPr>
            <w:tcW w:w="1107" w:type="dxa"/>
          </w:tcPr>
          <w:p w:rsidR="00B62635" w:rsidRPr="00B62635" w:rsidRDefault="00B62635" w:rsidP="00B62635">
            <w:pPr>
              <w:spacing w:afterLines="0" w:after="120" w:line="240" w:lineRule="auto"/>
            </w:pPr>
            <w:r w:rsidRPr="00B62635">
              <w:t>Q4 2011</w:t>
            </w:r>
          </w:p>
        </w:tc>
        <w:tc>
          <w:tcPr>
            <w:tcW w:w="1081" w:type="dxa"/>
            <w:shd w:val="clear" w:color="auto" w:fill="auto"/>
          </w:tcPr>
          <w:p w:rsidR="00B62635" w:rsidRPr="00B62635" w:rsidRDefault="00B62635" w:rsidP="00B62635">
            <w:pPr>
              <w:spacing w:afterLines="0" w:after="120" w:line="240" w:lineRule="auto"/>
            </w:pPr>
            <w:r w:rsidRPr="00B62635">
              <w:t>21</w:t>
            </w:r>
          </w:p>
        </w:tc>
        <w:tc>
          <w:tcPr>
            <w:tcW w:w="1082" w:type="dxa"/>
            <w:shd w:val="clear" w:color="auto" w:fill="auto"/>
          </w:tcPr>
          <w:p w:rsidR="00B62635" w:rsidRPr="00B62635" w:rsidRDefault="00B62635" w:rsidP="00B62635">
            <w:pPr>
              <w:spacing w:afterLines="0" w:after="120" w:line="240" w:lineRule="auto"/>
            </w:pPr>
            <w:r w:rsidRPr="00B62635">
              <w:t>6.0</w:t>
            </w:r>
          </w:p>
        </w:tc>
        <w:tc>
          <w:tcPr>
            <w:tcW w:w="1081" w:type="dxa"/>
            <w:shd w:val="clear" w:color="auto" w:fill="auto"/>
          </w:tcPr>
          <w:p w:rsidR="00B62635" w:rsidRPr="00B62635" w:rsidRDefault="00B62635" w:rsidP="00B62635">
            <w:pPr>
              <w:spacing w:afterLines="0" w:after="120" w:line="240" w:lineRule="auto"/>
            </w:pPr>
            <w:r w:rsidRPr="00B62635">
              <w:t>14</w:t>
            </w:r>
          </w:p>
        </w:tc>
        <w:tc>
          <w:tcPr>
            <w:tcW w:w="1086" w:type="dxa"/>
            <w:shd w:val="clear" w:color="auto" w:fill="auto"/>
          </w:tcPr>
          <w:p w:rsidR="00B62635" w:rsidRPr="00B62635" w:rsidRDefault="00B62635" w:rsidP="00B62635">
            <w:pPr>
              <w:spacing w:afterLines="0" w:after="120" w:line="240" w:lineRule="auto"/>
            </w:pPr>
            <w:r w:rsidRPr="00B62635">
              <w:t>5.4</w:t>
            </w:r>
          </w:p>
        </w:tc>
        <w:tc>
          <w:tcPr>
            <w:tcW w:w="1080" w:type="dxa"/>
            <w:shd w:val="clear" w:color="auto" w:fill="auto"/>
          </w:tcPr>
          <w:p w:rsidR="00B62635" w:rsidRPr="00B62635" w:rsidRDefault="00B62635" w:rsidP="00B62635">
            <w:pPr>
              <w:spacing w:afterLines="0" w:after="120" w:line="240" w:lineRule="auto"/>
            </w:pPr>
            <w:r w:rsidRPr="00B62635">
              <w:t>3</w:t>
            </w:r>
          </w:p>
        </w:tc>
        <w:tc>
          <w:tcPr>
            <w:tcW w:w="1081" w:type="dxa"/>
            <w:shd w:val="clear" w:color="auto" w:fill="auto"/>
          </w:tcPr>
          <w:p w:rsidR="00B62635" w:rsidRPr="00B62635" w:rsidRDefault="00B62635" w:rsidP="00B62635">
            <w:pPr>
              <w:spacing w:afterLines="0" w:after="120" w:line="240" w:lineRule="auto"/>
            </w:pPr>
            <w:r w:rsidRPr="00B62635">
              <w:t>5.8</w:t>
            </w:r>
          </w:p>
        </w:tc>
        <w:tc>
          <w:tcPr>
            <w:tcW w:w="1080" w:type="dxa"/>
            <w:shd w:val="clear" w:color="auto" w:fill="auto"/>
          </w:tcPr>
          <w:p w:rsidR="00B62635" w:rsidRPr="00B62635" w:rsidRDefault="00B62635" w:rsidP="00B62635">
            <w:pPr>
              <w:spacing w:afterLines="0" w:after="120" w:line="240" w:lineRule="auto"/>
            </w:pPr>
            <w:r w:rsidRPr="00B62635">
              <w:t>4</w:t>
            </w:r>
          </w:p>
        </w:tc>
        <w:tc>
          <w:tcPr>
            <w:tcW w:w="1081" w:type="dxa"/>
            <w:shd w:val="clear" w:color="auto" w:fill="auto"/>
          </w:tcPr>
          <w:p w:rsidR="00B62635" w:rsidRPr="00B62635" w:rsidRDefault="00B62635" w:rsidP="00B62635">
            <w:pPr>
              <w:spacing w:afterLines="0" w:after="120" w:line="240" w:lineRule="auto"/>
            </w:pPr>
            <w:r w:rsidRPr="00B62635">
              <w:t>4.7</w:t>
            </w:r>
          </w:p>
        </w:tc>
      </w:tr>
      <w:tr w:rsidR="00B62635" w:rsidRPr="00B62635" w:rsidTr="00B62635">
        <w:trPr>
          <w:jc w:val="center"/>
        </w:trPr>
        <w:tc>
          <w:tcPr>
            <w:tcW w:w="1107" w:type="dxa"/>
          </w:tcPr>
          <w:p w:rsidR="00B62635" w:rsidRPr="00B62635" w:rsidRDefault="00B62635" w:rsidP="00B62635">
            <w:pPr>
              <w:spacing w:afterLines="0" w:after="120" w:line="240" w:lineRule="auto"/>
            </w:pPr>
            <w:r w:rsidRPr="00B62635">
              <w:t>Q1 2012</w:t>
            </w:r>
          </w:p>
        </w:tc>
        <w:tc>
          <w:tcPr>
            <w:tcW w:w="1081" w:type="dxa"/>
            <w:shd w:val="clear" w:color="auto" w:fill="auto"/>
          </w:tcPr>
          <w:p w:rsidR="00B62635" w:rsidRPr="00B62635" w:rsidRDefault="00B62635" w:rsidP="00B62635">
            <w:pPr>
              <w:spacing w:afterLines="0" w:after="120" w:line="240" w:lineRule="auto"/>
            </w:pPr>
            <w:r w:rsidRPr="00B62635">
              <w:t>18</w:t>
            </w:r>
          </w:p>
        </w:tc>
        <w:tc>
          <w:tcPr>
            <w:tcW w:w="1082" w:type="dxa"/>
            <w:shd w:val="clear" w:color="auto" w:fill="auto"/>
          </w:tcPr>
          <w:p w:rsidR="00B62635" w:rsidRPr="00B62635" w:rsidRDefault="00B62635" w:rsidP="00B62635">
            <w:pPr>
              <w:spacing w:afterLines="0" w:after="120" w:line="240" w:lineRule="auto"/>
            </w:pPr>
            <w:r w:rsidRPr="00B62635">
              <w:t>5.3</w:t>
            </w:r>
          </w:p>
        </w:tc>
        <w:tc>
          <w:tcPr>
            <w:tcW w:w="1081" w:type="dxa"/>
            <w:shd w:val="clear" w:color="auto" w:fill="auto"/>
          </w:tcPr>
          <w:p w:rsidR="00B62635" w:rsidRPr="00B62635" w:rsidRDefault="00B62635" w:rsidP="00B62635">
            <w:pPr>
              <w:spacing w:afterLines="0" w:after="120" w:line="240" w:lineRule="auto"/>
            </w:pPr>
            <w:r w:rsidRPr="00B62635">
              <w:t>5</w:t>
            </w:r>
          </w:p>
        </w:tc>
        <w:tc>
          <w:tcPr>
            <w:tcW w:w="1086" w:type="dxa"/>
            <w:shd w:val="clear" w:color="auto" w:fill="auto"/>
          </w:tcPr>
          <w:p w:rsidR="00B62635" w:rsidRPr="00B62635" w:rsidRDefault="00B62635" w:rsidP="00B62635">
            <w:pPr>
              <w:spacing w:afterLines="0" w:after="120" w:line="240" w:lineRule="auto"/>
            </w:pPr>
            <w:r w:rsidRPr="00B62635">
              <w:t>2.1</w:t>
            </w:r>
          </w:p>
        </w:tc>
        <w:tc>
          <w:tcPr>
            <w:tcW w:w="1080" w:type="dxa"/>
            <w:shd w:val="clear" w:color="auto" w:fill="auto"/>
          </w:tcPr>
          <w:p w:rsidR="00B62635" w:rsidRPr="00B62635" w:rsidRDefault="00B62635" w:rsidP="00B62635">
            <w:pPr>
              <w:spacing w:afterLines="0" w:after="120" w:line="240" w:lineRule="auto"/>
            </w:pPr>
            <w:r w:rsidRPr="00B62635">
              <w:t>0</w:t>
            </w:r>
          </w:p>
        </w:tc>
        <w:tc>
          <w:tcPr>
            <w:tcW w:w="1081" w:type="dxa"/>
            <w:shd w:val="clear" w:color="auto" w:fill="auto"/>
          </w:tcPr>
          <w:p w:rsidR="00B62635" w:rsidRPr="00B62635" w:rsidRDefault="00B62635" w:rsidP="00B62635">
            <w:pPr>
              <w:spacing w:afterLines="0" w:after="120" w:line="240" w:lineRule="auto"/>
            </w:pPr>
            <w:r w:rsidRPr="00B62635">
              <w:t>0.0</w:t>
            </w:r>
          </w:p>
        </w:tc>
        <w:tc>
          <w:tcPr>
            <w:tcW w:w="1080" w:type="dxa"/>
            <w:shd w:val="clear" w:color="auto" w:fill="auto"/>
          </w:tcPr>
          <w:p w:rsidR="00B62635" w:rsidRPr="00B62635" w:rsidRDefault="00B62635" w:rsidP="00B62635">
            <w:pPr>
              <w:spacing w:afterLines="0" w:after="120" w:line="240" w:lineRule="auto"/>
            </w:pPr>
            <w:r w:rsidRPr="00B62635">
              <w:t>1</w:t>
            </w:r>
          </w:p>
        </w:tc>
        <w:tc>
          <w:tcPr>
            <w:tcW w:w="1081" w:type="dxa"/>
            <w:shd w:val="clear" w:color="auto" w:fill="auto"/>
          </w:tcPr>
          <w:p w:rsidR="00B62635" w:rsidRPr="00B62635" w:rsidRDefault="00B62635" w:rsidP="00B62635">
            <w:pPr>
              <w:spacing w:afterLines="0" w:after="120" w:line="240" w:lineRule="auto"/>
            </w:pPr>
            <w:r w:rsidRPr="00B62635">
              <w:t>1.3</w:t>
            </w:r>
          </w:p>
        </w:tc>
      </w:tr>
      <w:tr w:rsidR="00B62635" w:rsidRPr="00B62635" w:rsidTr="00B62635">
        <w:trPr>
          <w:jc w:val="center"/>
        </w:trPr>
        <w:tc>
          <w:tcPr>
            <w:tcW w:w="1107" w:type="dxa"/>
          </w:tcPr>
          <w:p w:rsidR="00B62635" w:rsidRPr="00B62635" w:rsidRDefault="00B62635" w:rsidP="00B62635">
            <w:pPr>
              <w:spacing w:afterLines="0" w:after="120" w:line="240" w:lineRule="auto"/>
            </w:pPr>
            <w:r w:rsidRPr="00B62635">
              <w:t>Q2 2012</w:t>
            </w:r>
          </w:p>
        </w:tc>
        <w:tc>
          <w:tcPr>
            <w:tcW w:w="1081" w:type="dxa"/>
            <w:shd w:val="clear" w:color="auto" w:fill="auto"/>
          </w:tcPr>
          <w:p w:rsidR="00B62635" w:rsidRPr="00B62635" w:rsidRDefault="00B62635" w:rsidP="00B62635">
            <w:pPr>
              <w:spacing w:afterLines="0" w:after="120" w:line="240" w:lineRule="auto"/>
            </w:pPr>
            <w:r w:rsidRPr="00B62635">
              <w:t>17</w:t>
            </w:r>
          </w:p>
        </w:tc>
        <w:tc>
          <w:tcPr>
            <w:tcW w:w="1082" w:type="dxa"/>
            <w:shd w:val="clear" w:color="auto" w:fill="auto"/>
          </w:tcPr>
          <w:p w:rsidR="00B62635" w:rsidRPr="00B62635" w:rsidRDefault="00B62635" w:rsidP="00B62635">
            <w:pPr>
              <w:spacing w:afterLines="0" w:after="120" w:line="240" w:lineRule="auto"/>
            </w:pPr>
            <w:r w:rsidRPr="00B62635">
              <w:t>5.0</w:t>
            </w:r>
          </w:p>
        </w:tc>
        <w:tc>
          <w:tcPr>
            <w:tcW w:w="1081" w:type="dxa"/>
            <w:shd w:val="clear" w:color="auto" w:fill="auto"/>
          </w:tcPr>
          <w:p w:rsidR="00B62635" w:rsidRPr="00B62635" w:rsidRDefault="00B62635" w:rsidP="00B62635">
            <w:pPr>
              <w:spacing w:afterLines="0" w:after="120" w:line="240" w:lineRule="auto"/>
            </w:pPr>
            <w:r w:rsidRPr="00B62635">
              <w:t>6</w:t>
            </w:r>
          </w:p>
        </w:tc>
        <w:tc>
          <w:tcPr>
            <w:tcW w:w="1086" w:type="dxa"/>
            <w:shd w:val="clear" w:color="auto" w:fill="auto"/>
          </w:tcPr>
          <w:p w:rsidR="00B62635" w:rsidRPr="00B62635" w:rsidRDefault="00B62635" w:rsidP="00B62635">
            <w:pPr>
              <w:spacing w:afterLines="0" w:after="120" w:line="240" w:lineRule="auto"/>
            </w:pPr>
            <w:r w:rsidRPr="00B62635">
              <w:t>2.5</w:t>
            </w:r>
          </w:p>
        </w:tc>
        <w:tc>
          <w:tcPr>
            <w:tcW w:w="1080" w:type="dxa"/>
            <w:shd w:val="clear" w:color="auto" w:fill="auto"/>
          </w:tcPr>
          <w:p w:rsidR="00B62635" w:rsidRPr="00B62635" w:rsidRDefault="00B62635" w:rsidP="00B62635">
            <w:pPr>
              <w:spacing w:afterLines="0" w:after="120" w:line="240" w:lineRule="auto"/>
            </w:pPr>
            <w:r w:rsidRPr="00B62635">
              <w:t>2</w:t>
            </w:r>
          </w:p>
        </w:tc>
        <w:tc>
          <w:tcPr>
            <w:tcW w:w="1081" w:type="dxa"/>
            <w:shd w:val="clear" w:color="auto" w:fill="auto"/>
          </w:tcPr>
          <w:p w:rsidR="00B62635" w:rsidRPr="00B62635" w:rsidRDefault="00B62635" w:rsidP="00B62635">
            <w:pPr>
              <w:spacing w:afterLines="0" w:after="120" w:line="240" w:lineRule="auto"/>
            </w:pPr>
            <w:r w:rsidRPr="00B62635">
              <w:t>3.6</w:t>
            </w:r>
          </w:p>
        </w:tc>
        <w:tc>
          <w:tcPr>
            <w:tcW w:w="1080" w:type="dxa"/>
            <w:shd w:val="clear" w:color="auto" w:fill="auto"/>
          </w:tcPr>
          <w:p w:rsidR="00B62635" w:rsidRPr="00B62635" w:rsidRDefault="00B62635" w:rsidP="00B62635">
            <w:pPr>
              <w:spacing w:afterLines="0" w:after="120" w:line="240" w:lineRule="auto"/>
            </w:pPr>
            <w:r w:rsidRPr="00B62635">
              <w:t>2</w:t>
            </w:r>
          </w:p>
        </w:tc>
        <w:tc>
          <w:tcPr>
            <w:tcW w:w="1081" w:type="dxa"/>
            <w:shd w:val="clear" w:color="auto" w:fill="auto"/>
          </w:tcPr>
          <w:p w:rsidR="00B62635" w:rsidRPr="00B62635" w:rsidRDefault="00B62635" w:rsidP="00B62635">
            <w:pPr>
              <w:spacing w:afterLines="0" w:after="120" w:line="240" w:lineRule="auto"/>
            </w:pPr>
            <w:r w:rsidRPr="00B62635">
              <w:t>2.6</w:t>
            </w:r>
          </w:p>
        </w:tc>
      </w:tr>
      <w:tr w:rsidR="00B62635" w:rsidRPr="00B62635" w:rsidTr="00B62635">
        <w:trPr>
          <w:jc w:val="center"/>
        </w:trPr>
        <w:tc>
          <w:tcPr>
            <w:tcW w:w="1107" w:type="dxa"/>
          </w:tcPr>
          <w:p w:rsidR="00B62635" w:rsidRPr="00B62635" w:rsidRDefault="00B62635" w:rsidP="00B62635">
            <w:pPr>
              <w:spacing w:afterLines="0" w:after="120" w:line="240" w:lineRule="auto"/>
            </w:pPr>
            <w:r w:rsidRPr="00B62635">
              <w:t>Q3 2012</w:t>
            </w:r>
          </w:p>
        </w:tc>
        <w:tc>
          <w:tcPr>
            <w:tcW w:w="1081" w:type="dxa"/>
            <w:shd w:val="clear" w:color="auto" w:fill="auto"/>
          </w:tcPr>
          <w:p w:rsidR="00B62635" w:rsidRPr="00B62635" w:rsidRDefault="00B62635" w:rsidP="00B62635">
            <w:pPr>
              <w:spacing w:afterLines="0" w:after="120" w:line="240" w:lineRule="auto"/>
            </w:pPr>
            <w:r w:rsidRPr="00B62635">
              <w:t>12</w:t>
            </w:r>
          </w:p>
        </w:tc>
        <w:tc>
          <w:tcPr>
            <w:tcW w:w="1082" w:type="dxa"/>
            <w:shd w:val="clear" w:color="auto" w:fill="auto"/>
          </w:tcPr>
          <w:p w:rsidR="00B62635" w:rsidRPr="00B62635" w:rsidRDefault="00B62635" w:rsidP="00B62635">
            <w:pPr>
              <w:spacing w:afterLines="0" w:after="120" w:line="240" w:lineRule="auto"/>
            </w:pPr>
            <w:r w:rsidRPr="00B62635">
              <w:t>3.3</w:t>
            </w:r>
          </w:p>
        </w:tc>
        <w:tc>
          <w:tcPr>
            <w:tcW w:w="1081" w:type="dxa"/>
            <w:shd w:val="clear" w:color="auto" w:fill="auto"/>
          </w:tcPr>
          <w:p w:rsidR="00B62635" w:rsidRPr="00B62635" w:rsidRDefault="00B62635" w:rsidP="00B62635">
            <w:pPr>
              <w:spacing w:afterLines="0" w:after="120" w:line="240" w:lineRule="auto"/>
            </w:pPr>
            <w:r w:rsidRPr="00B62635">
              <w:t>3</w:t>
            </w:r>
          </w:p>
        </w:tc>
        <w:tc>
          <w:tcPr>
            <w:tcW w:w="1086" w:type="dxa"/>
            <w:shd w:val="clear" w:color="auto" w:fill="auto"/>
          </w:tcPr>
          <w:p w:rsidR="00B62635" w:rsidRPr="00B62635" w:rsidRDefault="00B62635" w:rsidP="00B62635">
            <w:pPr>
              <w:spacing w:afterLines="0" w:after="120" w:line="240" w:lineRule="auto"/>
            </w:pPr>
            <w:r w:rsidRPr="00B62635">
              <w:t>1.2</w:t>
            </w:r>
          </w:p>
        </w:tc>
        <w:tc>
          <w:tcPr>
            <w:tcW w:w="1080" w:type="dxa"/>
            <w:shd w:val="clear" w:color="auto" w:fill="auto"/>
          </w:tcPr>
          <w:p w:rsidR="00B62635" w:rsidRPr="00B62635" w:rsidRDefault="00B62635" w:rsidP="00B62635">
            <w:pPr>
              <w:spacing w:afterLines="0" w:after="120" w:line="240" w:lineRule="auto"/>
            </w:pPr>
            <w:r w:rsidRPr="00B62635">
              <w:t>1</w:t>
            </w:r>
          </w:p>
        </w:tc>
        <w:tc>
          <w:tcPr>
            <w:tcW w:w="1081" w:type="dxa"/>
            <w:shd w:val="clear" w:color="auto" w:fill="auto"/>
          </w:tcPr>
          <w:p w:rsidR="00B62635" w:rsidRPr="00B62635" w:rsidRDefault="00B62635" w:rsidP="00B62635">
            <w:pPr>
              <w:spacing w:afterLines="0" w:after="120" w:line="240" w:lineRule="auto"/>
            </w:pPr>
            <w:r w:rsidRPr="00B62635">
              <w:t>1.7</w:t>
            </w:r>
          </w:p>
        </w:tc>
        <w:tc>
          <w:tcPr>
            <w:tcW w:w="1080" w:type="dxa"/>
            <w:shd w:val="clear" w:color="auto" w:fill="auto"/>
          </w:tcPr>
          <w:p w:rsidR="00B62635" w:rsidRPr="00B62635" w:rsidRDefault="00B62635" w:rsidP="00B62635">
            <w:pPr>
              <w:spacing w:afterLines="0" w:after="120" w:line="240" w:lineRule="auto"/>
            </w:pPr>
            <w:r w:rsidRPr="00B62635">
              <w:t>2</w:t>
            </w:r>
          </w:p>
        </w:tc>
        <w:tc>
          <w:tcPr>
            <w:tcW w:w="1081" w:type="dxa"/>
            <w:shd w:val="clear" w:color="auto" w:fill="auto"/>
          </w:tcPr>
          <w:p w:rsidR="00B62635" w:rsidRPr="00B62635" w:rsidRDefault="00B62635" w:rsidP="00B62635">
            <w:pPr>
              <w:spacing w:afterLines="0" w:after="120" w:line="240" w:lineRule="auto"/>
            </w:pPr>
            <w:r w:rsidRPr="00B62635">
              <w:t>2.4</w:t>
            </w:r>
          </w:p>
        </w:tc>
      </w:tr>
      <w:tr w:rsidR="00B62635" w:rsidRPr="00B62635" w:rsidTr="00B62635">
        <w:trPr>
          <w:jc w:val="center"/>
        </w:trPr>
        <w:tc>
          <w:tcPr>
            <w:tcW w:w="1107" w:type="dxa"/>
          </w:tcPr>
          <w:p w:rsidR="00B62635" w:rsidRPr="00B62635" w:rsidRDefault="00B62635" w:rsidP="00B62635">
            <w:pPr>
              <w:spacing w:afterLines="0" w:after="120" w:line="240" w:lineRule="auto"/>
            </w:pPr>
            <w:r w:rsidRPr="00B62635">
              <w:t>Q4 2012</w:t>
            </w:r>
          </w:p>
        </w:tc>
        <w:tc>
          <w:tcPr>
            <w:tcW w:w="1081" w:type="dxa"/>
            <w:shd w:val="clear" w:color="auto" w:fill="auto"/>
          </w:tcPr>
          <w:p w:rsidR="00B62635" w:rsidRPr="00B62635" w:rsidRDefault="00B62635" w:rsidP="00B62635">
            <w:pPr>
              <w:spacing w:afterLines="0" w:after="120" w:line="240" w:lineRule="auto"/>
            </w:pPr>
            <w:r w:rsidRPr="00B62635">
              <w:t>18</w:t>
            </w:r>
          </w:p>
        </w:tc>
        <w:tc>
          <w:tcPr>
            <w:tcW w:w="1082" w:type="dxa"/>
            <w:shd w:val="clear" w:color="auto" w:fill="auto"/>
          </w:tcPr>
          <w:p w:rsidR="00B62635" w:rsidRPr="00B62635" w:rsidRDefault="00B62635" w:rsidP="00B62635">
            <w:pPr>
              <w:spacing w:afterLines="0" w:after="120" w:line="240" w:lineRule="auto"/>
            </w:pPr>
            <w:r w:rsidRPr="00B62635">
              <w:t>5.2</w:t>
            </w:r>
          </w:p>
        </w:tc>
        <w:tc>
          <w:tcPr>
            <w:tcW w:w="1081" w:type="dxa"/>
            <w:shd w:val="clear" w:color="auto" w:fill="auto"/>
          </w:tcPr>
          <w:p w:rsidR="00B62635" w:rsidRPr="00B62635" w:rsidRDefault="00B62635" w:rsidP="00B62635">
            <w:pPr>
              <w:spacing w:afterLines="0" w:after="120" w:line="240" w:lineRule="auto"/>
            </w:pPr>
            <w:r w:rsidRPr="00B62635">
              <w:t>3</w:t>
            </w:r>
          </w:p>
        </w:tc>
        <w:tc>
          <w:tcPr>
            <w:tcW w:w="1086" w:type="dxa"/>
            <w:shd w:val="clear" w:color="auto" w:fill="auto"/>
          </w:tcPr>
          <w:p w:rsidR="00B62635" w:rsidRPr="00B62635" w:rsidRDefault="00B62635" w:rsidP="00B62635">
            <w:pPr>
              <w:spacing w:afterLines="0" w:after="120" w:line="240" w:lineRule="auto"/>
            </w:pPr>
            <w:r w:rsidRPr="00B62635">
              <w:t>1.2</w:t>
            </w:r>
          </w:p>
        </w:tc>
        <w:tc>
          <w:tcPr>
            <w:tcW w:w="1080" w:type="dxa"/>
            <w:shd w:val="clear" w:color="auto" w:fill="auto"/>
          </w:tcPr>
          <w:p w:rsidR="00B62635" w:rsidRPr="00B62635" w:rsidRDefault="00B62635" w:rsidP="00B62635">
            <w:pPr>
              <w:spacing w:afterLines="0" w:after="120" w:line="240" w:lineRule="auto"/>
            </w:pPr>
            <w:r w:rsidRPr="00B62635">
              <w:t>1</w:t>
            </w:r>
          </w:p>
        </w:tc>
        <w:tc>
          <w:tcPr>
            <w:tcW w:w="1081" w:type="dxa"/>
            <w:shd w:val="clear" w:color="auto" w:fill="auto"/>
          </w:tcPr>
          <w:p w:rsidR="00B62635" w:rsidRPr="00B62635" w:rsidRDefault="00B62635" w:rsidP="00B62635">
            <w:pPr>
              <w:spacing w:afterLines="0" w:after="120" w:line="240" w:lineRule="auto"/>
            </w:pPr>
            <w:r w:rsidRPr="00B62635">
              <w:t>2.0</w:t>
            </w:r>
          </w:p>
        </w:tc>
        <w:tc>
          <w:tcPr>
            <w:tcW w:w="1080" w:type="dxa"/>
            <w:shd w:val="clear" w:color="auto" w:fill="auto"/>
          </w:tcPr>
          <w:p w:rsidR="00B62635" w:rsidRPr="00B62635" w:rsidRDefault="00B62635" w:rsidP="00B62635">
            <w:pPr>
              <w:spacing w:afterLines="0" w:after="120" w:line="240" w:lineRule="auto"/>
            </w:pPr>
            <w:r w:rsidRPr="00B62635">
              <w:t>4</w:t>
            </w:r>
          </w:p>
        </w:tc>
        <w:tc>
          <w:tcPr>
            <w:tcW w:w="1081" w:type="dxa"/>
            <w:shd w:val="clear" w:color="auto" w:fill="auto"/>
          </w:tcPr>
          <w:p w:rsidR="00B62635" w:rsidRPr="00B62635" w:rsidRDefault="00B62635" w:rsidP="00B62635">
            <w:pPr>
              <w:spacing w:afterLines="0" w:after="120" w:line="240" w:lineRule="auto"/>
            </w:pPr>
            <w:r w:rsidRPr="00B62635">
              <w:t>4.9</w:t>
            </w:r>
          </w:p>
        </w:tc>
      </w:tr>
      <w:tr w:rsidR="00B62635" w:rsidRPr="00B62635" w:rsidTr="00B62635">
        <w:trPr>
          <w:jc w:val="center"/>
        </w:trPr>
        <w:tc>
          <w:tcPr>
            <w:tcW w:w="1107" w:type="dxa"/>
          </w:tcPr>
          <w:p w:rsidR="00B62635" w:rsidRPr="00B62635" w:rsidRDefault="00B62635" w:rsidP="00B62635">
            <w:pPr>
              <w:spacing w:afterLines="0" w:after="120" w:line="240" w:lineRule="auto"/>
            </w:pPr>
            <w:r w:rsidRPr="00B62635">
              <w:t>Q1 2013</w:t>
            </w:r>
          </w:p>
        </w:tc>
        <w:tc>
          <w:tcPr>
            <w:tcW w:w="1081" w:type="dxa"/>
            <w:shd w:val="clear" w:color="auto" w:fill="auto"/>
          </w:tcPr>
          <w:p w:rsidR="00B62635" w:rsidRPr="00B62635" w:rsidRDefault="00B62635" w:rsidP="00B62635">
            <w:pPr>
              <w:spacing w:afterLines="0" w:after="120" w:line="240" w:lineRule="auto"/>
            </w:pPr>
            <w:r w:rsidRPr="00B62635">
              <w:t>24</w:t>
            </w:r>
          </w:p>
        </w:tc>
        <w:tc>
          <w:tcPr>
            <w:tcW w:w="1082" w:type="dxa"/>
            <w:shd w:val="clear" w:color="auto" w:fill="auto"/>
          </w:tcPr>
          <w:p w:rsidR="00B62635" w:rsidRPr="00B62635" w:rsidRDefault="00B62635" w:rsidP="00B62635">
            <w:pPr>
              <w:spacing w:afterLines="0" w:after="120" w:line="240" w:lineRule="auto"/>
            </w:pPr>
            <w:r w:rsidRPr="00B62635">
              <w:t>7.2</w:t>
            </w:r>
          </w:p>
        </w:tc>
        <w:tc>
          <w:tcPr>
            <w:tcW w:w="1081" w:type="dxa"/>
            <w:shd w:val="clear" w:color="auto" w:fill="auto"/>
          </w:tcPr>
          <w:p w:rsidR="00B62635" w:rsidRPr="00B62635" w:rsidRDefault="00B62635" w:rsidP="00B62635">
            <w:pPr>
              <w:spacing w:afterLines="0" w:after="120" w:line="240" w:lineRule="auto"/>
            </w:pPr>
            <w:r w:rsidRPr="00B62635">
              <w:t>5</w:t>
            </w:r>
          </w:p>
        </w:tc>
        <w:tc>
          <w:tcPr>
            <w:tcW w:w="1086" w:type="dxa"/>
            <w:shd w:val="clear" w:color="auto" w:fill="auto"/>
          </w:tcPr>
          <w:p w:rsidR="00B62635" w:rsidRPr="00B62635" w:rsidRDefault="00B62635" w:rsidP="00B62635">
            <w:pPr>
              <w:spacing w:afterLines="0" w:after="120" w:line="240" w:lineRule="auto"/>
            </w:pPr>
            <w:r w:rsidRPr="00B62635">
              <w:t>2.1</w:t>
            </w:r>
          </w:p>
        </w:tc>
        <w:tc>
          <w:tcPr>
            <w:tcW w:w="1080" w:type="dxa"/>
            <w:shd w:val="clear" w:color="auto" w:fill="auto"/>
          </w:tcPr>
          <w:p w:rsidR="00B62635" w:rsidRPr="00B62635" w:rsidRDefault="00B62635" w:rsidP="00B62635">
            <w:pPr>
              <w:spacing w:afterLines="0" w:after="120" w:line="240" w:lineRule="auto"/>
            </w:pPr>
            <w:r w:rsidRPr="00B62635">
              <w:t>1</w:t>
            </w:r>
          </w:p>
        </w:tc>
        <w:tc>
          <w:tcPr>
            <w:tcW w:w="1081" w:type="dxa"/>
            <w:shd w:val="clear" w:color="auto" w:fill="auto"/>
          </w:tcPr>
          <w:p w:rsidR="00B62635" w:rsidRPr="00B62635" w:rsidRDefault="00B62635" w:rsidP="00B62635">
            <w:pPr>
              <w:spacing w:afterLines="0" w:after="120" w:line="240" w:lineRule="auto"/>
            </w:pPr>
            <w:r w:rsidRPr="00B62635">
              <w:t>1.9</w:t>
            </w:r>
          </w:p>
        </w:tc>
        <w:tc>
          <w:tcPr>
            <w:tcW w:w="1080" w:type="dxa"/>
            <w:shd w:val="clear" w:color="auto" w:fill="auto"/>
          </w:tcPr>
          <w:p w:rsidR="00B62635" w:rsidRPr="00B62635" w:rsidRDefault="00B62635" w:rsidP="00B62635">
            <w:pPr>
              <w:spacing w:afterLines="0" w:after="120" w:line="240" w:lineRule="auto"/>
            </w:pPr>
            <w:r w:rsidRPr="00B62635">
              <w:t>1</w:t>
            </w:r>
          </w:p>
        </w:tc>
        <w:tc>
          <w:tcPr>
            <w:tcW w:w="1081" w:type="dxa"/>
            <w:shd w:val="clear" w:color="auto" w:fill="auto"/>
          </w:tcPr>
          <w:p w:rsidR="00B62635" w:rsidRPr="00B62635" w:rsidRDefault="00B62635" w:rsidP="00B62635">
            <w:pPr>
              <w:spacing w:afterLines="0" w:after="120" w:line="240" w:lineRule="auto"/>
            </w:pPr>
            <w:r w:rsidRPr="00B62635">
              <w:t>1.2</w:t>
            </w:r>
          </w:p>
        </w:tc>
      </w:tr>
      <w:tr w:rsidR="00B62635" w:rsidRPr="00B62635" w:rsidTr="00B62635">
        <w:trPr>
          <w:jc w:val="center"/>
        </w:trPr>
        <w:tc>
          <w:tcPr>
            <w:tcW w:w="1107" w:type="dxa"/>
          </w:tcPr>
          <w:p w:rsidR="00B62635" w:rsidRPr="00B62635" w:rsidRDefault="00B62635" w:rsidP="00B62635">
            <w:pPr>
              <w:spacing w:afterLines="0" w:after="120" w:line="240" w:lineRule="auto"/>
            </w:pPr>
            <w:r w:rsidRPr="00B62635">
              <w:t>Q2 2013</w:t>
            </w:r>
          </w:p>
        </w:tc>
        <w:tc>
          <w:tcPr>
            <w:tcW w:w="1081" w:type="dxa"/>
            <w:shd w:val="clear" w:color="auto" w:fill="auto"/>
          </w:tcPr>
          <w:p w:rsidR="00B62635" w:rsidRPr="00B62635" w:rsidRDefault="00B62635" w:rsidP="00B62635">
            <w:pPr>
              <w:spacing w:afterLines="0" w:after="120" w:line="240" w:lineRule="auto"/>
            </w:pPr>
            <w:r w:rsidRPr="00B62635">
              <w:t>16</w:t>
            </w:r>
          </w:p>
        </w:tc>
        <w:tc>
          <w:tcPr>
            <w:tcW w:w="1082" w:type="dxa"/>
            <w:shd w:val="clear" w:color="auto" w:fill="auto"/>
          </w:tcPr>
          <w:p w:rsidR="00B62635" w:rsidRPr="00B62635" w:rsidRDefault="00B62635" w:rsidP="00B62635">
            <w:pPr>
              <w:spacing w:afterLines="0" w:after="120" w:line="240" w:lineRule="auto"/>
            </w:pPr>
            <w:r w:rsidRPr="00B62635">
              <w:t>4.4</w:t>
            </w:r>
          </w:p>
        </w:tc>
        <w:tc>
          <w:tcPr>
            <w:tcW w:w="1081" w:type="dxa"/>
            <w:shd w:val="clear" w:color="auto" w:fill="auto"/>
          </w:tcPr>
          <w:p w:rsidR="00B62635" w:rsidRPr="00B62635" w:rsidRDefault="00B62635" w:rsidP="00B62635">
            <w:pPr>
              <w:spacing w:afterLines="0" w:after="120" w:line="240" w:lineRule="auto"/>
            </w:pPr>
            <w:r w:rsidRPr="00B62635">
              <w:t>5</w:t>
            </w:r>
          </w:p>
        </w:tc>
        <w:tc>
          <w:tcPr>
            <w:tcW w:w="1086" w:type="dxa"/>
            <w:shd w:val="clear" w:color="auto" w:fill="auto"/>
          </w:tcPr>
          <w:p w:rsidR="00B62635" w:rsidRPr="00B62635" w:rsidRDefault="00B62635" w:rsidP="00B62635">
            <w:pPr>
              <w:spacing w:afterLines="0" w:after="120" w:line="240" w:lineRule="auto"/>
            </w:pPr>
            <w:r w:rsidRPr="00B62635">
              <w:t>1.9</w:t>
            </w:r>
          </w:p>
        </w:tc>
        <w:tc>
          <w:tcPr>
            <w:tcW w:w="1080" w:type="dxa"/>
            <w:shd w:val="clear" w:color="auto" w:fill="auto"/>
          </w:tcPr>
          <w:p w:rsidR="00B62635" w:rsidRPr="00B62635" w:rsidRDefault="00B62635" w:rsidP="00B62635">
            <w:pPr>
              <w:spacing w:afterLines="0" w:after="120" w:line="240" w:lineRule="auto"/>
            </w:pPr>
            <w:r w:rsidRPr="00B62635">
              <w:t>3</w:t>
            </w:r>
          </w:p>
        </w:tc>
        <w:tc>
          <w:tcPr>
            <w:tcW w:w="1081" w:type="dxa"/>
            <w:shd w:val="clear" w:color="auto" w:fill="auto"/>
          </w:tcPr>
          <w:p w:rsidR="00B62635" w:rsidRPr="00B62635" w:rsidRDefault="00B62635" w:rsidP="00B62635">
            <w:pPr>
              <w:spacing w:afterLines="0" w:after="120" w:line="240" w:lineRule="auto"/>
            </w:pPr>
            <w:r w:rsidRPr="00B62635">
              <w:t>5.9</w:t>
            </w:r>
          </w:p>
        </w:tc>
        <w:tc>
          <w:tcPr>
            <w:tcW w:w="1080" w:type="dxa"/>
            <w:shd w:val="clear" w:color="auto" w:fill="auto"/>
          </w:tcPr>
          <w:p w:rsidR="00B62635" w:rsidRPr="00B62635" w:rsidRDefault="00B62635" w:rsidP="00B62635">
            <w:pPr>
              <w:spacing w:afterLines="0" w:after="120" w:line="240" w:lineRule="auto"/>
            </w:pPr>
            <w:r w:rsidRPr="00B62635">
              <w:t>3</w:t>
            </w:r>
          </w:p>
        </w:tc>
        <w:tc>
          <w:tcPr>
            <w:tcW w:w="1081" w:type="dxa"/>
            <w:shd w:val="clear" w:color="auto" w:fill="auto"/>
          </w:tcPr>
          <w:p w:rsidR="00B62635" w:rsidRPr="00B62635" w:rsidRDefault="00B62635" w:rsidP="00B62635">
            <w:pPr>
              <w:spacing w:afterLines="0" w:after="120" w:line="240" w:lineRule="auto"/>
            </w:pPr>
            <w:r w:rsidRPr="00B62635">
              <w:t>3.6</w:t>
            </w:r>
          </w:p>
        </w:tc>
      </w:tr>
      <w:tr w:rsidR="00B62635" w:rsidRPr="00B62635" w:rsidTr="00B62635">
        <w:trPr>
          <w:jc w:val="center"/>
        </w:trPr>
        <w:tc>
          <w:tcPr>
            <w:tcW w:w="1107" w:type="dxa"/>
          </w:tcPr>
          <w:p w:rsidR="00B62635" w:rsidRPr="00B62635" w:rsidRDefault="00B62635" w:rsidP="00B62635">
            <w:pPr>
              <w:spacing w:afterLines="0" w:after="120" w:line="240" w:lineRule="auto"/>
            </w:pPr>
            <w:r w:rsidRPr="00B62635">
              <w:t>Q3 2013</w:t>
            </w:r>
          </w:p>
        </w:tc>
        <w:tc>
          <w:tcPr>
            <w:tcW w:w="1081" w:type="dxa"/>
            <w:shd w:val="clear" w:color="auto" w:fill="auto"/>
          </w:tcPr>
          <w:p w:rsidR="00B62635" w:rsidRPr="00B62635" w:rsidRDefault="00B62635" w:rsidP="00B62635">
            <w:pPr>
              <w:spacing w:afterLines="0" w:after="120" w:line="240" w:lineRule="auto"/>
            </w:pPr>
            <w:r w:rsidRPr="00B62635">
              <w:t>22</w:t>
            </w:r>
          </w:p>
        </w:tc>
        <w:tc>
          <w:tcPr>
            <w:tcW w:w="1082" w:type="dxa"/>
            <w:shd w:val="clear" w:color="auto" w:fill="auto"/>
          </w:tcPr>
          <w:p w:rsidR="00B62635" w:rsidRPr="00B62635" w:rsidRDefault="00B62635" w:rsidP="00B62635">
            <w:pPr>
              <w:spacing w:afterLines="0" w:after="120" w:line="240" w:lineRule="auto"/>
            </w:pPr>
            <w:r w:rsidRPr="00B62635">
              <w:t>5.9</w:t>
            </w:r>
          </w:p>
        </w:tc>
        <w:tc>
          <w:tcPr>
            <w:tcW w:w="1081" w:type="dxa"/>
            <w:shd w:val="clear" w:color="auto" w:fill="auto"/>
          </w:tcPr>
          <w:p w:rsidR="00B62635" w:rsidRPr="00B62635" w:rsidRDefault="00B62635" w:rsidP="00B62635">
            <w:pPr>
              <w:spacing w:afterLines="0" w:after="120" w:line="240" w:lineRule="auto"/>
            </w:pPr>
            <w:r w:rsidRPr="00B62635">
              <w:t>1</w:t>
            </w:r>
          </w:p>
        </w:tc>
        <w:tc>
          <w:tcPr>
            <w:tcW w:w="1086" w:type="dxa"/>
            <w:shd w:val="clear" w:color="auto" w:fill="auto"/>
          </w:tcPr>
          <w:p w:rsidR="00B62635" w:rsidRPr="00B62635" w:rsidRDefault="00B62635" w:rsidP="00B62635">
            <w:pPr>
              <w:spacing w:afterLines="0" w:after="120" w:line="240" w:lineRule="auto"/>
            </w:pPr>
            <w:r w:rsidRPr="00B62635">
              <w:t>0.4</w:t>
            </w:r>
          </w:p>
        </w:tc>
        <w:tc>
          <w:tcPr>
            <w:tcW w:w="1080" w:type="dxa"/>
            <w:shd w:val="clear" w:color="auto" w:fill="auto"/>
          </w:tcPr>
          <w:p w:rsidR="00B62635" w:rsidRPr="00B62635" w:rsidRDefault="00B62635" w:rsidP="00B62635">
            <w:pPr>
              <w:spacing w:afterLines="0" w:after="120" w:line="240" w:lineRule="auto"/>
            </w:pPr>
            <w:r w:rsidRPr="00B62635">
              <w:t>2</w:t>
            </w:r>
          </w:p>
        </w:tc>
        <w:tc>
          <w:tcPr>
            <w:tcW w:w="1081" w:type="dxa"/>
            <w:shd w:val="clear" w:color="auto" w:fill="auto"/>
          </w:tcPr>
          <w:p w:rsidR="00B62635" w:rsidRPr="00B62635" w:rsidRDefault="00B62635" w:rsidP="00B62635">
            <w:pPr>
              <w:spacing w:afterLines="0" w:after="120" w:line="240" w:lineRule="auto"/>
            </w:pPr>
            <w:r w:rsidRPr="00B62635">
              <w:t>3.5</w:t>
            </w:r>
          </w:p>
        </w:tc>
        <w:tc>
          <w:tcPr>
            <w:tcW w:w="1080" w:type="dxa"/>
            <w:shd w:val="clear" w:color="auto" w:fill="auto"/>
          </w:tcPr>
          <w:p w:rsidR="00B62635" w:rsidRPr="00B62635" w:rsidRDefault="00B62635" w:rsidP="00B62635">
            <w:pPr>
              <w:spacing w:afterLines="0" w:after="120" w:line="240" w:lineRule="auto"/>
            </w:pPr>
            <w:r w:rsidRPr="00B62635">
              <w:t>6</w:t>
            </w:r>
          </w:p>
        </w:tc>
        <w:tc>
          <w:tcPr>
            <w:tcW w:w="1081" w:type="dxa"/>
            <w:shd w:val="clear" w:color="auto" w:fill="auto"/>
          </w:tcPr>
          <w:p w:rsidR="00B62635" w:rsidRPr="00B62635" w:rsidRDefault="00B62635" w:rsidP="00B62635">
            <w:pPr>
              <w:spacing w:afterLines="0" w:after="120" w:line="240" w:lineRule="auto"/>
            </w:pPr>
            <w:r w:rsidRPr="00B62635">
              <w:t>6.8</w:t>
            </w:r>
          </w:p>
        </w:tc>
      </w:tr>
      <w:tr w:rsidR="00B62635" w:rsidRPr="00B62635" w:rsidTr="00B62635">
        <w:trPr>
          <w:jc w:val="center"/>
        </w:trPr>
        <w:tc>
          <w:tcPr>
            <w:tcW w:w="1107" w:type="dxa"/>
          </w:tcPr>
          <w:p w:rsidR="00B62635" w:rsidRPr="00B62635" w:rsidRDefault="00B62635" w:rsidP="00B62635">
            <w:pPr>
              <w:spacing w:afterLines="0" w:after="120" w:line="240" w:lineRule="auto"/>
            </w:pPr>
            <w:r w:rsidRPr="00B62635">
              <w:t>Q4 2013</w:t>
            </w:r>
          </w:p>
        </w:tc>
        <w:tc>
          <w:tcPr>
            <w:tcW w:w="1081" w:type="dxa"/>
            <w:shd w:val="clear" w:color="auto" w:fill="auto"/>
          </w:tcPr>
          <w:p w:rsidR="00B62635" w:rsidRPr="00B62635" w:rsidRDefault="00B62635" w:rsidP="00B62635">
            <w:pPr>
              <w:spacing w:afterLines="0" w:after="120" w:line="240" w:lineRule="auto"/>
            </w:pPr>
            <w:r w:rsidRPr="00B62635">
              <w:t>12</w:t>
            </w:r>
          </w:p>
        </w:tc>
        <w:tc>
          <w:tcPr>
            <w:tcW w:w="1082" w:type="dxa"/>
            <w:shd w:val="clear" w:color="auto" w:fill="auto"/>
          </w:tcPr>
          <w:p w:rsidR="00B62635" w:rsidRPr="00B62635" w:rsidRDefault="00B62635" w:rsidP="00B62635">
            <w:pPr>
              <w:spacing w:afterLines="0" w:after="120" w:line="240" w:lineRule="auto"/>
            </w:pPr>
            <w:r w:rsidRPr="00B62635">
              <w:t>3.2</w:t>
            </w:r>
          </w:p>
        </w:tc>
        <w:tc>
          <w:tcPr>
            <w:tcW w:w="1081" w:type="dxa"/>
            <w:shd w:val="clear" w:color="auto" w:fill="auto"/>
          </w:tcPr>
          <w:p w:rsidR="00B62635" w:rsidRPr="00B62635" w:rsidRDefault="00B62635" w:rsidP="00B62635">
            <w:pPr>
              <w:spacing w:afterLines="0" w:after="120" w:line="240" w:lineRule="auto"/>
            </w:pPr>
            <w:r w:rsidRPr="00B62635">
              <w:t>4</w:t>
            </w:r>
          </w:p>
        </w:tc>
        <w:tc>
          <w:tcPr>
            <w:tcW w:w="1086" w:type="dxa"/>
            <w:shd w:val="clear" w:color="auto" w:fill="auto"/>
          </w:tcPr>
          <w:p w:rsidR="00B62635" w:rsidRPr="00B62635" w:rsidRDefault="00B62635" w:rsidP="00B62635">
            <w:pPr>
              <w:spacing w:afterLines="0" w:after="120" w:line="240" w:lineRule="auto"/>
            </w:pPr>
            <w:r w:rsidRPr="00B62635">
              <w:t>1.5</w:t>
            </w:r>
          </w:p>
        </w:tc>
        <w:tc>
          <w:tcPr>
            <w:tcW w:w="1080" w:type="dxa"/>
            <w:shd w:val="clear" w:color="auto" w:fill="auto"/>
          </w:tcPr>
          <w:p w:rsidR="00B62635" w:rsidRPr="00B62635" w:rsidRDefault="00B62635" w:rsidP="00B62635">
            <w:pPr>
              <w:spacing w:afterLines="0" w:after="120" w:line="240" w:lineRule="auto"/>
            </w:pPr>
            <w:r w:rsidRPr="00B62635">
              <w:t>0</w:t>
            </w:r>
          </w:p>
        </w:tc>
        <w:tc>
          <w:tcPr>
            <w:tcW w:w="1081" w:type="dxa"/>
            <w:shd w:val="clear" w:color="auto" w:fill="auto"/>
          </w:tcPr>
          <w:p w:rsidR="00B62635" w:rsidRPr="00B62635" w:rsidRDefault="00B62635" w:rsidP="00B62635">
            <w:pPr>
              <w:spacing w:afterLines="0" w:after="120" w:line="240" w:lineRule="auto"/>
            </w:pPr>
            <w:r w:rsidRPr="00B62635">
              <w:t>0.0</w:t>
            </w:r>
          </w:p>
        </w:tc>
        <w:tc>
          <w:tcPr>
            <w:tcW w:w="1080" w:type="dxa"/>
            <w:shd w:val="clear" w:color="auto" w:fill="auto"/>
          </w:tcPr>
          <w:p w:rsidR="00B62635" w:rsidRPr="00B62635" w:rsidRDefault="00B62635" w:rsidP="00B62635">
            <w:pPr>
              <w:spacing w:afterLines="0" w:after="120" w:line="240" w:lineRule="auto"/>
            </w:pPr>
            <w:r w:rsidRPr="00B62635">
              <w:t>0</w:t>
            </w:r>
          </w:p>
        </w:tc>
        <w:tc>
          <w:tcPr>
            <w:tcW w:w="1081" w:type="dxa"/>
            <w:shd w:val="clear" w:color="auto" w:fill="auto"/>
          </w:tcPr>
          <w:p w:rsidR="00B62635" w:rsidRPr="00B62635" w:rsidRDefault="00B62635" w:rsidP="00B62635">
            <w:pPr>
              <w:spacing w:afterLines="0" w:after="120" w:line="240" w:lineRule="auto"/>
            </w:pPr>
            <w:r w:rsidRPr="00B62635">
              <w:t>0.0</w:t>
            </w:r>
          </w:p>
        </w:tc>
      </w:tr>
      <w:tr w:rsidR="00B62635" w:rsidRPr="00B62635" w:rsidTr="00B62635">
        <w:trPr>
          <w:jc w:val="center"/>
        </w:trPr>
        <w:tc>
          <w:tcPr>
            <w:tcW w:w="1107" w:type="dxa"/>
          </w:tcPr>
          <w:p w:rsidR="00B62635" w:rsidRPr="00B62635" w:rsidRDefault="00B62635" w:rsidP="00B62635">
            <w:pPr>
              <w:spacing w:afterLines="0" w:after="120" w:line="240" w:lineRule="auto"/>
            </w:pPr>
            <w:r w:rsidRPr="00B62635">
              <w:t>Q1 2014</w:t>
            </w:r>
          </w:p>
        </w:tc>
        <w:tc>
          <w:tcPr>
            <w:tcW w:w="1081" w:type="dxa"/>
            <w:shd w:val="clear" w:color="auto" w:fill="auto"/>
          </w:tcPr>
          <w:p w:rsidR="00B62635" w:rsidRPr="00B62635" w:rsidRDefault="00B62635" w:rsidP="00B62635">
            <w:pPr>
              <w:spacing w:afterLines="0" w:after="120" w:line="240" w:lineRule="auto"/>
            </w:pPr>
            <w:r w:rsidRPr="00B62635">
              <w:t>13</w:t>
            </w:r>
          </w:p>
        </w:tc>
        <w:tc>
          <w:tcPr>
            <w:tcW w:w="1082" w:type="dxa"/>
            <w:shd w:val="clear" w:color="auto" w:fill="auto"/>
          </w:tcPr>
          <w:p w:rsidR="00B62635" w:rsidRPr="00B62635" w:rsidRDefault="00B62635" w:rsidP="00B62635">
            <w:pPr>
              <w:spacing w:afterLines="0" w:after="120" w:line="240" w:lineRule="auto"/>
            </w:pPr>
            <w:r w:rsidRPr="00B62635">
              <w:t>3.8</w:t>
            </w:r>
          </w:p>
        </w:tc>
        <w:tc>
          <w:tcPr>
            <w:tcW w:w="1081" w:type="dxa"/>
            <w:shd w:val="clear" w:color="auto" w:fill="auto"/>
          </w:tcPr>
          <w:p w:rsidR="00B62635" w:rsidRPr="00B62635" w:rsidRDefault="00B62635" w:rsidP="00B62635">
            <w:pPr>
              <w:spacing w:afterLines="0" w:after="120" w:line="240" w:lineRule="auto"/>
            </w:pPr>
            <w:r w:rsidRPr="00B62635">
              <w:t>4</w:t>
            </w:r>
          </w:p>
        </w:tc>
        <w:tc>
          <w:tcPr>
            <w:tcW w:w="1086" w:type="dxa"/>
            <w:shd w:val="clear" w:color="auto" w:fill="auto"/>
          </w:tcPr>
          <w:p w:rsidR="00B62635" w:rsidRPr="00B62635" w:rsidRDefault="00B62635" w:rsidP="00B62635">
            <w:pPr>
              <w:spacing w:afterLines="0" w:after="120" w:line="240" w:lineRule="auto"/>
            </w:pPr>
            <w:r w:rsidRPr="00B62635">
              <w:t>1.4</w:t>
            </w:r>
          </w:p>
        </w:tc>
        <w:tc>
          <w:tcPr>
            <w:tcW w:w="1080" w:type="dxa"/>
            <w:shd w:val="clear" w:color="auto" w:fill="auto"/>
          </w:tcPr>
          <w:p w:rsidR="00B62635" w:rsidRPr="00B62635" w:rsidRDefault="00B62635" w:rsidP="00B62635">
            <w:pPr>
              <w:spacing w:afterLines="0" w:after="120" w:line="240" w:lineRule="auto"/>
            </w:pPr>
            <w:r w:rsidRPr="00B62635">
              <w:t>2</w:t>
            </w:r>
          </w:p>
        </w:tc>
        <w:tc>
          <w:tcPr>
            <w:tcW w:w="1081" w:type="dxa"/>
            <w:shd w:val="clear" w:color="auto" w:fill="auto"/>
          </w:tcPr>
          <w:p w:rsidR="00B62635" w:rsidRPr="00B62635" w:rsidRDefault="00B62635" w:rsidP="00B62635">
            <w:pPr>
              <w:spacing w:afterLines="0" w:after="120" w:line="240" w:lineRule="auto"/>
            </w:pPr>
            <w:r w:rsidRPr="00B62635">
              <w:t>4.2</w:t>
            </w:r>
          </w:p>
        </w:tc>
        <w:tc>
          <w:tcPr>
            <w:tcW w:w="1080" w:type="dxa"/>
            <w:shd w:val="clear" w:color="auto" w:fill="auto"/>
          </w:tcPr>
          <w:p w:rsidR="00B62635" w:rsidRPr="00B62635" w:rsidRDefault="00B62635" w:rsidP="00B62635">
            <w:pPr>
              <w:spacing w:afterLines="0" w:after="120" w:line="240" w:lineRule="auto"/>
            </w:pPr>
            <w:r w:rsidRPr="00B62635">
              <w:t>4</w:t>
            </w:r>
          </w:p>
        </w:tc>
        <w:tc>
          <w:tcPr>
            <w:tcW w:w="1081" w:type="dxa"/>
            <w:shd w:val="clear" w:color="auto" w:fill="auto"/>
          </w:tcPr>
          <w:p w:rsidR="00B62635" w:rsidRPr="00B62635" w:rsidRDefault="00B62635" w:rsidP="00B62635">
            <w:pPr>
              <w:spacing w:afterLines="0" w:after="120" w:line="240" w:lineRule="auto"/>
            </w:pPr>
            <w:r w:rsidRPr="00B62635">
              <w:t>4.8</w:t>
            </w:r>
          </w:p>
        </w:tc>
      </w:tr>
      <w:tr w:rsidR="00B62635" w:rsidRPr="00B62635" w:rsidTr="00B62635">
        <w:trPr>
          <w:jc w:val="center"/>
        </w:trPr>
        <w:tc>
          <w:tcPr>
            <w:tcW w:w="1107" w:type="dxa"/>
          </w:tcPr>
          <w:p w:rsidR="00B62635" w:rsidRPr="00B62635" w:rsidRDefault="00B62635" w:rsidP="00B62635">
            <w:pPr>
              <w:spacing w:afterLines="0" w:after="120" w:line="240" w:lineRule="auto"/>
            </w:pPr>
            <w:r w:rsidRPr="00B62635">
              <w:t>Q2 2014</w:t>
            </w:r>
          </w:p>
        </w:tc>
        <w:tc>
          <w:tcPr>
            <w:tcW w:w="1081" w:type="dxa"/>
            <w:shd w:val="clear" w:color="auto" w:fill="auto"/>
          </w:tcPr>
          <w:p w:rsidR="00B62635" w:rsidRPr="00B62635" w:rsidRDefault="00B62635" w:rsidP="00B62635">
            <w:pPr>
              <w:spacing w:afterLines="0" w:after="120" w:line="240" w:lineRule="auto"/>
            </w:pPr>
            <w:r w:rsidRPr="00B62635">
              <w:t>7</w:t>
            </w:r>
          </w:p>
        </w:tc>
        <w:tc>
          <w:tcPr>
            <w:tcW w:w="1082" w:type="dxa"/>
            <w:shd w:val="clear" w:color="auto" w:fill="auto"/>
          </w:tcPr>
          <w:p w:rsidR="00B62635" w:rsidRPr="00B62635" w:rsidRDefault="00B62635" w:rsidP="00B62635">
            <w:pPr>
              <w:spacing w:afterLines="0" w:after="120" w:line="240" w:lineRule="auto"/>
            </w:pPr>
            <w:r w:rsidRPr="00B62635">
              <w:t>2.0</w:t>
            </w:r>
          </w:p>
        </w:tc>
        <w:tc>
          <w:tcPr>
            <w:tcW w:w="1081" w:type="dxa"/>
            <w:shd w:val="clear" w:color="auto" w:fill="auto"/>
          </w:tcPr>
          <w:p w:rsidR="00B62635" w:rsidRPr="00B62635" w:rsidRDefault="00B62635" w:rsidP="00B62635">
            <w:pPr>
              <w:spacing w:afterLines="0" w:after="120" w:line="240" w:lineRule="auto"/>
            </w:pPr>
            <w:r w:rsidRPr="00B62635">
              <w:t>2</w:t>
            </w:r>
          </w:p>
        </w:tc>
        <w:tc>
          <w:tcPr>
            <w:tcW w:w="1086" w:type="dxa"/>
            <w:shd w:val="clear" w:color="auto" w:fill="auto"/>
          </w:tcPr>
          <w:p w:rsidR="00B62635" w:rsidRPr="00B62635" w:rsidRDefault="00B62635" w:rsidP="00B62635">
            <w:pPr>
              <w:spacing w:afterLines="0" w:after="120" w:line="240" w:lineRule="auto"/>
            </w:pPr>
            <w:r w:rsidRPr="00B62635">
              <w:t>0.7</w:t>
            </w:r>
          </w:p>
        </w:tc>
        <w:tc>
          <w:tcPr>
            <w:tcW w:w="1080" w:type="dxa"/>
            <w:shd w:val="clear" w:color="auto" w:fill="auto"/>
          </w:tcPr>
          <w:p w:rsidR="00B62635" w:rsidRPr="00B62635" w:rsidRDefault="00B62635" w:rsidP="00B62635">
            <w:pPr>
              <w:spacing w:afterLines="0" w:after="120" w:line="240" w:lineRule="auto"/>
            </w:pPr>
            <w:r w:rsidRPr="00B62635">
              <w:t>1</w:t>
            </w:r>
          </w:p>
        </w:tc>
        <w:tc>
          <w:tcPr>
            <w:tcW w:w="1081" w:type="dxa"/>
            <w:shd w:val="clear" w:color="auto" w:fill="auto"/>
          </w:tcPr>
          <w:p w:rsidR="00B62635" w:rsidRPr="00B62635" w:rsidRDefault="00B62635" w:rsidP="00B62635">
            <w:pPr>
              <w:spacing w:afterLines="0" w:after="120" w:line="240" w:lineRule="auto"/>
            </w:pPr>
            <w:r w:rsidRPr="00B62635">
              <w:t>1.8</w:t>
            </w:r>
          </w:p>
        </w:tc>
        <w:tc>
          <w:tcPr>
            <w:tcW w:w="1080" w:type="dxa"/>
            <w:shd w:val="clear" w:color="auto" w:fill="auto"/>
          </w:tcPr>
          <w:p w:rsidR="00B62635" w:rsidRPr="00B62635" w:rsidRDefault="00B62635" w:rsidP="00B62635">
            <w:pPr>
              <w:spacing w:afterLines="0" w:after="120" w:line="240" w:lineRule="auto"/>
            </w:pPr>
            <w:r w:rsidRPr="00B62635">
              <w:t>3</w:t>
            </w:r>
          </w:p>
        </w:tc>
        <w:tc>
          <w:tcPr>
            <w:tcW w:w="1081" w:type="dxa"/>
            <w:shd w:val="clear" w:color="auto" w:fill="auto"/>
          </w:tcPr>
          <w:p w:rsidR="00B62635" w:rsidRPr="00B62635" w:rsidRDefault="00B62635" w:rsidP="00B62635">
            <w:pPr>
              <w:spacing w:afterLines="0" w:after="120" w:line="240" w:lineRule="auto"/>
            </w:pPr>
            <w:r w:rsidRPr="00B62635">
              <w:t>3.1</w:t>
            </w:r>
          </w:p>
        </w:tc>
      </w:tr>
      <w:tr w:rsidR="00B62635" w:rsidRPr="00B62635" w:rsidTr="00B62635">
        <w:trPr>
          <w:jc w:val="center"/>
        </w:trPr>
        <w:tc>
          <w:tcPr>
            <w:tcW w:w="1107" w:type="dxa"/>
          </w:tcPr>
          <w:p w:rsidR="00B62635" w:rsidRPr="00B62635" w:rsidRDefault="00B62635" w:rsidP="00B62635">
            <w:pPr>
              <w:spacing w:afterLines="0" w:after="120" w:line="240" w:lineRule="auto"/>
            </w:pPr>
            <w:r w:rsidRPr="00B62635">
              <w:t>Q3 2014</w:t>
            </w:r>
          </w:p>
        </w:tc>
        <w:tc>
          <w:tcPr>
            <w:tcW w:w="1081" w:type="dxa"/>
            <w:shd w:val="clear" w:color="auto" w:fill="auto"/>
          </w:tcPr>
          <w:p w:rsidR="00B62635" w:rsidRPr="00B62635" w:rsidRDefault="00B62635" w:rsidP="00B62635">
            <w:pPr>
              <w:spacing w:afterLines="0" w:after="120" w:line="240" w:lineRule="auto"/>
            </w:pPr>
            <w:r w:rsidRPr="00B62635">
              <w:t>9</w:t>
            </w:r>
          </w:p>
        </w:tc>
        <w:tc>
          <w:tcPr>
            <w:tcW w:w="1082" w:type="dxa"/>
            <w:shd w:val="clear" w:color="auto" w:fill="auto"/>
          </w:tcPr>
          <w:p w:rsidR="00B62635" w:rsidRPr="00B62635" w:rsidRDefault="00B62635" w:rsidP="00B62635">
            <w:pPr>
              <w:spacing w:afterLines="0" w:after="120" w:line="240" w:lineRule="auto"/>
            </w:pPr>
            <w:r w:rsidRPr="00B62635">
              <w:t>2.5</w:t>
            </w:r>
          </w:p>
        </w:tc>
        <w:tc>
          <w:tcPr>
            <w:tcW w:w="1081" w:type="dxa"/>
            <w:shd w:val="clear" w:color="auto" w:fill="auto"/>
          </w:tcPr>
          <w:p w:rsidR="00B62635" w:rsidRPr="00B62635" w:rsidRDefault="00B62635" w:rsidP="00B62635">
            <w:pPr>
              <w:spacing w:afterLines="0" w:after="120" w:line="240" w:lineRule="auto"/>
            </w:pPr>
            <w:r w:rsidRPr="00B62635">
              <w:t>3</w:t>
            </w:r>
          </w:p>
        </w:tc>
        <w:tc>
          <w:tcPr>
            <w:tcW w:w="1086" w:type="dxa"/>
            <w:shd w:val="clear" w:color="auto" w:fill="auto"/>
          </w:tcPr>
          <w:p w:rsidR="00B62635" w:rsidRPr="00B62635" w:rsidRDefault="00B62635" w:rsidP="00B62635">
            <w:pPr>
              <w:spacing w:afterLines="0" w:after="120" w:line="240" w:lineRule="auto"/>
            </w:pPr>
            <w:r w:rsidRPr="00B62635">
              <w:t>1.0</w:t>
            </w:r>
          </w:p>
        </w:tc>
        <w:tc>
          <w:tcPr>
            <w:tcW w:w="1080" w:type="dxa"/>
            <w:shd w:val="clear" w:color="auto" w:fill="auto"/>
          </w:tcPr>
          <w:p w:rsidR="00B62635" w:rsidRPr="00B62635" w:rsidRDefault="00B62635" w:rsidP="00B62635">
            <w:pPr>
              <w:spacing w:afterLines="0" w:after="120" w:line="240" w:lineRule="auto"/>
            </w:pPr>
            <w:r w:rsidRPr="00B62635">
              <w:t>0</w:t>
            </w:r>
          </w:p>
        </w:tc>
        <w:tc>
          <w:tcPr>
            <w:tcW w:w="1081" w:type="dxa"/>
            <w:shd w:val="clear" w:color="auto" w:fill="auto"/>
          </w:tcPr>
          <w:p w:rsidR="00B62635" w:rsidRPr="00B62635" w:rsidRDefault="00B62635" w:rsidP="00B62635">
            <w:pPr>
              <w:spacing w:afterLines="0" w:after="120" w:line="240" w:lineRule="auto"/>
            </w:pPr>
            <w:r w:rsidRPr="00B62635">
              <w:t>0.0</w:t>
            </w:r>
          </w:p>
        </w:tc>
        <w:tc>
          <w:tcPr>
            <w:tcW w:w="1080" w:type="dxa"/>
            <w:shd w:val="clear" w:color="auto" w:fill="auto"/>
          </w:tcPr>
          <w:p w:rsidR="00B62635" w:rsidRPr="00B62635" w:rsidRDefault="00B62635" w:rsidP="00B62635">
            <w:pPr>
              <w:spacing w:afterLines="0" w:after="120" w:line="240" w:lineRule="auto"/>
            </w:pPr>
            <w:r w:rsidRPr="00B62635">
              <w:t>3</w:t>
            </w:r>
          </w:p>
        </w:tc>
        <w:tc>
          <w:tcPr>
            <w:tcW w:w="1081" w:type="dxa"/>
            <w:shd w:val="clear" w:color="auto" w:fill="auto"/>
          </w:tcPr>
          <w:p w:rsidR="00B62635" w:rsidRPr="00B62635" w:rsidRDefault="00B62635" w:rsidP="00B62635">
            <w:pPr>
              <w:spacing w:afterLines="0" w:after="120" w:line="240" w:lineRule="auto"/>
            </w:pPr>
            <w:r w:rsidRPr="00B62635">
              <w:t>3.1</w:t>
            </w:r>
          </w:p>
        </w:tc>
      </w:tr>
      <w:tr w:rsidR="00B62635" w:rsidRPr="00B62635" w:rsidTr="00B62635">
        <w:trPr>
          <w:jc w:val="center"/>
        </w:trPr>
        <w:tc>
          <w:tcPr>
            <w:tcW w:w="1107" w:type="dxa"/>
          </w:tcPr>
          <w:p w:rsidR="00B62635" w:rsidRPr="00B62635" w:rsidRDefault="00B62635" w:rsidP="00B62635">
            <w:pPr>
              <w:spacing w:afterLines="0" w:after="120" w:line="240" w:lineRule="auto"/>
            </w:pPr>
            <w:r w:rsidRPr="00B62635">
              <w:t>Q4 2014</w:t>
            </w:r>
          </w:p>
        </w:tc>
        <w:tc>
          <w:tcPr>
            <w:tcW w:w="1081" w:type="dxa"/>
            <w:shd w:val="clear" w:color="auto" w:fill="auto"/>
          </w:tcPr>
          <w:p w:rsidR="00B62635" w:rsidRPr="00B62635" w:rsidRDefault="00B62635" w:rsidP="00B62635">
            <w:pPr>
              <w:spacing w:afterLines="0" w:after="120" w:line="240" w:lineRule="auto"/>
            </w:pPr>
            <w:r w:rsidRPr="00B62635">
              <w:t>17</w:t>
            </w:r>
          </w:p>
        </w:tc>
        <w:tc>
          <w:tcPr>
            <w:tcW w:w="1082" w:type="dxa"/>
            <w:shd w:val="clear" w:color="auto" w:fill="auto"/>
          </w:tcPr>
          <w:p w:rsidR="00B62635" w:rsidRPr="00B62635" w:rsidRDefault="00B62635" w:rsidP="00B62635">
            <w:pPr>
              <w:spacing w:afterLines="0" w:after="120" w:line="240" w:lineRule="auto"/>
            </w:pPr>
            <w:r w:rsidRPr="00B62635">
              <w:t>4.9</w:t>
            </w:r>
          </w:p>
        </w:tc>
        <w:tc>
          <w:tcPr>
            <w:tcW w:w="1081" w:type="dxa"/>
            <w:shd w:val="clear" w:color="auto" w:fill="auto"/>
          </w:tcPr>
          <w:p w:rsidR="00B62635" w:rsidRPr="00B62635" w:rsidRDefault="00B62635" w:rsidP="00B62635">
            <w:pPr>
              <w:spacing w:afterLines="0" w:after="120" w:line="240" w:lineRule="auto"/>
            </w:pPr>
            <w:r w:rsidRPr="00B62635">
              <w:t>2</w:t>
            </w:r>
          </w:p>
        </w:tc>
        <w:tc>
          <w:tcPr>
            <w:tcW w:w="1086" w:type="dxa"/>
            <w:shd w:val="clear" w:color="auto" w:fill="auto"/>
          </w:tcPr>
          <w:p w:rsidR="00B62635" w:rsidRPr="00B62635" w:rsidRDefault="00B62635" w:rsidP="00B62635">
            <w:pPr>
              <w:spacing w:afterLines="0" w:after="120" w:line="240" w:lineRule="auto"/>
            </w:pPr>
            <w:r w:rsidRPr="00B62635">
              <w:t>0.7</w:t>
            </w:r>
          </w:p>
        </w:tc>
        <w:tc>
          <w:tcPr>
            <w:tcW w:w="1080" w:type="dxa"/>
            <w:shd w:val="clear" w:color="auto" w:fill="auto"/>
          </w:tcPr>
          <w:p w:rsidR="00B62635" w:rsidRPr="00B62635" w:rsidRDefault="00B62635" w:rsidP="00B62635">
            <w:pPr>
              <w:spacing w:afterLines="0" w:after="120" w:line="240" w:lineRule="auto"/>
            </w:pPr>
            <w:r w:rsidRPr="00B62635">
              <w:t>2</w:t>
            </w:r>
          </w:p>
        </w:tc>
        <w:tc>
          <w:tcPr>
            <w:tcW w:w="1081" w:type="dxa"/>
            <w:shd w:val="clear" w:color="auto" w:fill="auto"/>
          </w:tcPr>
          <w:p w:rsidR="00B62635" w:rsidRPr="00B62635" w:rsidRDefault="00B62635" w:rsidP="00B62635">
            <w:pPr>
              <w:spacing w:afterLines="0" w:after="120" w:line="240" w:lineRule="auto"/>
            </w:pPr>
            <w:r w:rsidRPr="00B62635">
              <w:t>3.5</w:t>
            </w:r>
          </w:p>
        </w:tc>
        <w:tc>
          <w:tcPr>
            <w:tcW w:w="1080" w:type="dxa"/>
            <w:shd w:val="clear" w:color="auto" w:fill="auto"/>
          </w:tcPr>
          <w:p w:rsidR="00B62635" w:rsidRPr="00B62635" w:rsidRDefault="00B62635" w:rsidP="00B62635">
            <w:pPr>
              <w:spacing w:afterLines="0" w:after="120" w:line="240" w:lineRule="auto"/>
            </w:pPr>
            <w:r w:rsidRPr="00B62635">
              <w:t>0</w:t>
            </w:r>
          </w:p>
        </w:tc>
        <w:tc>
          <w:tcPr>
            <w:tcW w:w="1081" w:type="dxa"/>
            <w:shd w:val="clear" w:color="auto" w:fill="auto"/>
          </w:tcPr>
          <w:p w:rsidR="00B62635" w:rsidRPr="00B62635" w:rsidRDefault="00B62635" w:rsidP="00B62635">
            <w:pPr>
              <w:spacing w:afterLines="0" w:after="120" w:line="240" w:lineRule="auto"/>
            </w:pPr>
            <w:r w:rsidRPr="00B62635">
              <w:t>0.0</w:t>
            </w:r>
          </w:p>
        </w:tc>
      </w:tr>
      <w:tr w:rsidR="00B62635" w:rsidRPr="00B62635" w:rsidTr="00B62635">
        <w:trPr>
          <w:jc w:val="center"/>
        </w:trPr>
        <w:tc>
          <w:tcPr>
            <w:tcW w:w="1107" w:type="dxa"/>
          </w:tcPr>
          <w:p w:rsidR="00B62635" w:rsidRPr="00B62635" w:rsidRDefault="00B62635" w:rsidP="00B62635">
            <w:pPr>
              <w:spacing w:afterLines="0" w:after="120" w:line="240" w:lineRule="auto"/>
            </w:pPr>
            <w:r w:rsidRPr="00B62635">
              <w:t>Q1 2015</w:t>
            </w:r>
          </w:p>
        </w:tc>
        <w:tc>
          <w:tcPr>
            <w:tcW w:w="1081" w:type="dxa"/>
            <w:shd w:val="clear" w:color="auto" w:fill="auto"/>
          </w:tcPr>
          <w:p w:rsidR="00B62635" w:rsidRPr="00B62635" w:rsidRDefault="00B62635" w:rsidP="00B62635">
            <w:pPr>
              <w:spacing w:afterLines="0" w:after="120" w:line="240" w:lineRule="auto"/>
            </w:pPr>
            <w:r w:rsidRPr="00B62635">
              <w:t>10</w:t>
            </w:r>
          </w:p>
        </w:tc>
        <w:tc>
          <w:tcPr>
            <w:tcW w:w="1082" w:type="dxa"/>
            <w:shd w:val="clear" w:color="auto" w:fill="auto"/>
          </w:tcPr>
          <w:p w:rsidR="00B62635" w:rsidRPr="00B62635" w:rsidRDefault="00B62635" w:rsidP="00B62635">
            <w:pPr>
              <w:spacing w:afterLines="0" w:after="120" w:line="240" w:lineRule="auto"/>
            </w:pPr>
            <w:r w:rsidRPr="00B62635">
              <w:t>3.1</w:t>
            </w:r>
          </w:p>
        </w:tc>
        <w:tc>
          <w:tcPr>
            <w:tcW w:w="1081" w:type="dxa"/>
            <w:shd w:val="clear" w:color="auto" w:fill="auto"/>
          </w:tcPr>
          <w:p w:rsidR="00B62635" w:rsidRPr="00B62635" w:rsidRDefault="00B62635" w:rsidP="00B62635">
            <w:pPr>
              <w:spacing w:afterLines="0" w:after="120" w:line="240" w:lineRule="auto"/>
            </w:pPr>
            <w:r w:rsidRPr="00B62635">
              <w:t>3</w:t>
            </w:r>
          </w:p>
        </w:tc>
        <w:tc>
          <w:tcPr>
            <w:tcW w:w="1086" w:type="dxa"/>
            <w:shd w:val="clear" w:color="auto" w:fill="auto"/>
          </w:tcPr>
          <w:p w:rsidR="00B62635" w:rsidRPr="00B62635" w:rsidRDefault="00B62635" w:rsidP="00B62635">
            <w:pPr>
              <w:spacing w:afterLines="0" w:after="120" w:line="240" w:lineRule="auto"/>
            </w:pPr>
            <w:r w:rsidRPr="00B62635">
              <w:t>1.0</w:t>
            </w:r>
          </w:p>
        </w:tc>
        <w:tc>
          <w:tcPr>
            <w:tcW w:w="1080" w:type="dxa"/>
            <w:shd w:val="clear" w:color="auto" w:fill="auto"/>
          </w:tcPr>
          <w:p w:rsidR="00B62635" w:rsidRPr="00B62635" w:rsidRDefault="00B62635" w:rsidP="00B62635">
            <w:pPr>
              <w:spacing w:afterLines="0" w:after="120" w:line="240" w:lineRule="auto"/>
            </w:pPr>
            <w:r w:rsidRPr="00B62635">
              <w:t>2</w:t>
            </w:r>
          </w:p>
        </w:tc>
        <w:tc>
          <w:tcPr>
            <w:tcW w:w="1081" w:type="dxa"/>
            <w:shd w:val="clear" w:color="auto" w:fill="auto"/>
          </w:tcPr>
          <w:p w:rsidR="00B62635" w:rsidRPr="00B62635" w:rsidRDefault="00B62635" w:rsidP="00B62635">
            <w:pPr>
              <w:spacing w:afterLines="0" w:after="120" w:line="240" w:lineRule="auto"/>
            </w:pPr>
            <w:r w:rsidRPr="00B62635">
              <w:t>3.6</w:t>
            </w:r>
          </w:p>
        </w:tc>
        <w:tc>
          <w:tcPr>
            <w:tcW w:w="1080" w:type="dxa"/>
            <w:shd w:val="clear" w:color="auto" w:fill="auto"/>
          </w:tcPr>
          <w:p w:rsidR="00B62635" w:rsidRPr="00B62635" w:rsidRDefault="00B62635" w:rsidP="00B62635">
            <w:pPr>
              <w:spacing w:afterLines="0" w:after="120" w:line="240" w:lineRule="auto"/>
            </w:pPr>
            <w:r w:rsidRPr="00B62635">
              <w:t>1</w:t>
            </w:r>
          </w:p>
        </w:tc>
        <w:tc>
          <w:tcPr>
            <w:tcW w:w="1081" w:type="dxa"/>
            <w:shd w:val="clear" w:color="auto" w:fill="auto"/>
          </w:tcPr>
          <w:p w:rsidR="00B62635" w:rsidRPr="00B62635" w:rsidRDefault="00B62635" w:rsidP="00B62635">
            <w:pPr>
              <w:spacing w:afterLines="0" w:after="120" w:line="240" w:lineRule="auto"/>
            </w:pPr>
            <w:r w:rsidRPr="00B62635">
              <w:t>1.1</w:t>
            </w:r>
          </w:p>
        </w:tc>
      </w:tr>
      <w:tr w:rsidR="00B62635" w:rsidRPr="00B62635" w:rsidTr="00B62635">
        <w:trPr>
          <w:jc w:val="center"/>
        </w:trPr>
        <w:tc>
          <w:tcPr>
            <w:tcW w:w="1107" w:type="dxa"/>
          </w:tcPr>
          <w:p w:rsidR="00B62635" w:rsidRPr="00B62635" w:rsidRDefault="00B62635" w:rsidP="00B62635">
            <w:pPr>
              <w:spacing w:afterLines="0" w:after="120" w:line="240" w:lineRule="auto"/>
            </w:pPr>
            <w:r w:rsidRPr="00B62635">
              <w:t>Q2 2015</w:t>
            </w:r>
          </w:p>
        </w:tc>
        <w:tc>
          <w:tcPr>
            <w:tcW w:w="1081" w:type="dxa"/>
            <w:shd w:val="clear" w:color="auto" w:fill="auto"/>
          </w:tcPr>
          <w:p w:rsidR="00B62635" w:rsidRPr="00B62635" w:rsidRDefault="00B62635" w:rsidP="00B62635">
            <w:pPr>
              <w:spacing w:afterLines="0" w:after="120" w:line="240" w:lineRule="auto"/>
            </w:pPr>
            <w:r w:rsidRPr="00B62635">
              <w:t>15</w:t>
            </w:r>
          </w:p>
        </w:tc>
        <w:tc>
          <w:tcPr>
            <w:tcW w:w="1082" w:type="dxa"/>
            <w:shd w:val="clear" w:color="auto" w:fill="auto"/>
          </w:tcPr>
          <w:p w:rsidR="00B62635" w:rsidRPr="00B62635" w:rsidRDefault="00B62635" w:rsidP="00B62635">
            <w:pPr>
              <w:spacing w:afterLines="0" w:after="120" w:line="240" w:lineRule="auto"/>
            </w:pPr>
            <w:r w:rsidRPr="00B62635">
              <w:t>4.2</w:t>
            </w:r>
          </w:p>
        </w:tc>
        <w:tc>
          <w:tcPr>
            <w:tcW w:w="1081" w:type="dxa"/>
            <w:shd w:val="clear" w:color="auto" w:fill="auto"/>
          </w:tcPr>
          <w:p w:rsidR="00B62635" w:rsidRPr="00B62635" w:rsidRDefault="00B62635" w:rsidP="00B62635">
            <w:pPr>
              <w:spacing w:afterLines="0" w:after="120" w:line="240" w:lineRule="auto"/>
            </w:pPr>
            <w:r w:rsidRPr="00B62635">
              <w:t>2</w:t>
            </w:r>
          </w:p>
        </w:tc>
        <w:tc>
          <w:tcPr>
            <w:tcW w:w="1086" w:type="dxa"/>
            <w:shd w:val="clear" w:color="auto" w:fill="auto"/>
          </w:tcPr>
          <w:p w:rsidR="00B62635" w:rsidRPr="00B62635" w:rsidRDefault="00B62635" w:rsidP="00B62635">
            <w:pPr>
              <w:spacing w:afterLines="0" w:after="120" w:line="240" w:lineRule="auto"/>
            </w:pPr>
            <w:r w:rsidRPr="00B62635">
              <w:t>0.7</w:t>
            </w:r>
          </w:p>
        </w:tc>
        <w:tc>
          <w:tcPr>
            <w:tcW w:w="1080" w:type="dxa"/>
            <w:shd w:val="clear" w:color="auto" w:fill="auto"/>
          </w:tcPr>
          <w:p w:rsidR="00B62635" w:rsidRPr="00B62635" w:rsidRDefault="00B62635" w:rsidP="00B62635">
            <w:pPr>
              <w:spacing w:afterLines="0" w:after="120" w:line="240" w:lineRule="auto"/>
            </w:pPr>
            <w:r w:rsidRPr="00B62635">
              <w:t>1</w:t>
            </w:r>
          </w:p>
        </w:tc>
        <w:tc>
          <w:tcPr>
            <w:tcW w:w="1081" w:type="dxa"/>
            <w:shd w:val="clear" w:color="auto" w:fill="auto"/>
          </w:tcPr>
          <w:p w:rsidR="00B62635" w:rsidRPr="00B62635" w:rsidRDefault="00B62635" w:rsidP="00B62635">
            <w:pPr>
              <w:spacing w:afterLines="0" w:after="120" w:line="240" w:lineRule="auto"/>
            </w:pPr>
            <w:r w:rsidRPr="00B62635">
              <w:t>1.8</w:t>
            </w:r>
          </w:p>
        </w:tc>
        <w:tc>
          <w:tcPr>
            <w:tcW w:w="1080" w:type="dxa"/>
            <w:shd w:val="clear" w:color="auto" w:fill="auto"/>
          </w:tcPr>
          <w:p w:rsidR="00B62635" w:rsidRPr="00B62635" w:rsidRDefault="00B62635" w:rsidP="00B62635">
            <w:pPr>
              <w:spacing w:afterLines="0" w:after="120" w:line="240" w:lineRule="auto"/>
            </w:pPr>
            <w:r w:rsidRPr="00B62635">
              <w:t>1</w:t>
            </w:r>
          </w:p>
        </w:tc>
        <w:tc>
          <w:tcPr>
            <w:tcW w:w="1081" w:type="dxa"/>
            <w:shd w:val="clear" w:color="auto" w:fill="auto"/>
          </w:tcPr>
          <w:p w:rsidR="00B62635" w:rsidRPr="00B62635" w:rsidRDefault="00B62635" w:rsidP="00B62635">
            <w:pPr>
              <w:spacing w:afterLines="0" w:after="120" w:line="240" w:lineRule="auto"/>
            </w:pPr>
            <w:r w:rsidRPr="00B62635">
              <w:t>1.0</w:t>
            </w:r>
          </w:p>
        </w:tc>
      </w:tr>
      <w:tr w:rsidR="00B62635" w:rsidRPr="00B62635" w:rsidTr="00B62635">
        <w:trPr>
          <w:jc w:val="center"/>
        </w:trPr>
        <w:tc>
          <w:tcPr>
            <w:tcW w:w="1107" w:type="dxa"/>
          </w:tcPr>
          <w:p w:rsidR="00B62635" w:rsidRPr="00B62635" w:rsidRDefault="00B62635" w:rsidP="00B62635">
            <w:pPr>
              <w:spacing w:afterLines="0" w:after="120" w:line="240" w:lineRule="auto"/>
            </w:pPr>
            <w:r w:rsidRPr="00B62635">
              <w:t>Q3 2015</w:t>
            </w:r>
          </w:p>
        </w:tc>
        <w:tc>
          <w:tcPr>
            <w:tcW w:w="1081" w:type="dxa"/>
            <w:shd w:val="clear" w:color="auto" w:fill="auto"/>
          </w:tcPr>
          <w:p w:rsidR="00B62635" w:rsidRPr="00B62635" w:rsidRDefault="00B62635" w:rsidP="00B62635">
            <w:pPr>
              <w:spacing w:afterLines="0" w:after="120" w:line="240" w:lineRule="auto"/>
            </w:pPr>
            <w:r w:rsidRPr="00B62635">
              <w:t>16</w:t>
            </w:r>
          </w:p>
        </w:tc>
        <w:tc>
          <w:tcPr>
            <w:tcW w:w="1082" w:type="dxa"/>
            <w:shd w:val="clear" w:color="auto" w:fill="auto"/>
          </w:tcPr>
          <w:p w:rsidR="00B62635" w:rsidRPr="00B62635" w:rsidRDefault="00B62635" w:rsidP="00B62635">
            <w:pPr>
              <w:spacing w:afterLines="0" w:after="120" w:line="240" w:lineRule="auto"/>
            </w:pPr>
            <w:r w:rsidRPr="00B62635">
              <w:t>4.5</w:t>
            </w:r>
          </w:p>
        </w:tc>
        <w:tc>
          <w:tcPr>
            <w:tcW w:w="1081" w:type="dxa"/>
            <w:shd w:val="clear" w:color="auto" w:fill="auto"/>
          </w:tcPr>
          <w:p w:rsidR="00B62635" w:rsidRPr="00B62635" w:rsidRDefault="00B62635" w:rsidP="00B62635">
            <w:pPr>
              <w:spacing w:afterLines="0" w:after="120" w:line="240" w:lineRule="auto"/>
            </w:pPr>
            <w:r w:rsidRPr="00B62635">
              <w:t>2</w:t>
            </w:r>
          </w:p>
        </w:tc>
        <w:tc>
          <w:tcPr>
            <w:tcW w:w="1086" w:type="dxa"/>
            <w:shd w:val="clear" w:color="auto" w:fill="auto"/>
          </w:tcPr>
          <w:p w:rsidR="00B62635" w:rsidRPr="00B62635" w:rsidRDefault="00B62635" w:rsidP="00B62635">
            <w:pPr>
              <w:spacing w:afterLines="0" w:after="120" w:line="240" w:lineRule="auto"/>
            </w:pPr>
            <w:r w:rsidRPr="00B62635">
              <w:t>0.7</w:t>
            </w:r>
          </w:p>
        </w:tc>
        <w:tc>
          <w:tcPr>
            <w:tcW w:w="1080" w:type="dxa"/>
            <w:shd w:val="clear" w:color="auto" w:fill="auto"/>
          </w:tcPr>
          <w:p w:rsidR="00B62635" w:rsidRPr="00B62635" w:rsidRDefault="00B62635" w:rsidP="00B62635">
            <w:pPr>
              <w:spacing w:afterLines="0" w:after="120" w:line="240" w:lineRule="auto"/>
            </w:pPr>
            <w:r w:rsidRPr="00B62635">
              <w:t>0</w:t>
            </w:r>
          </w:p>
        </w:tc>
        <w:tc>
          <w:tcPr>
            <w:tcW w:w="1081" w:type="dxa"/>
            <w:shd w:val="clear" w:color="auto" w:fill="auto"/>
          </w:tcPr>
          <w:p w:rsidR="00B62635" w:rsidRPr="00B62635" w:rsidRDefault="00B62635" w:rsidP="00B62635">
            <w:pPr>
              <w:spacing w:afterLines="0" w:after="120" w:line="240" w:lineRule="auto"/>
            </w:pPr>
            <w:r w:rsidRPr="00B62635">
              <w:t>0.0</w:t>
            </w:r>
          </w:p>
        </w:tc>
        <w:tc>
          <w:tcPr>
            <w:tcW w:w="1080" w:type="dxa"/>
            <w:shd w:val="clear" w:color="auto" w:fill="auto"/>
          </w:tcPr>
          <w:p w:rsidR="00B62635" w:rsidRPr="00B62635" w:rsidRDefault="00B62635" w:rsidP="00B62635">
            <w:pPr>
              <w:spacing w:afterLines="0" w:after="120" w:line="240" w:lineRule="auto"/>
            </w:pPr>
            <w:r w:rsidRPr="00B62635">
              <w:t>3</w:t>
            </w:r>
          </w:p>
        </w:tc>
        <w:tc>
          <w:tcPr>
            <w:tcW w:w="1081" w:type="dxa"/>
            <w:shd w:val="clear" w:color="auto" w:fill="auto"/>
          </w:tcPr>
          <w:p w:rsidR="00B62635" w:rsidRPr="00B62635" w:rsidRDefault="00B62635" w:rsidP="00B62635">
            <w:pPr>
              <w:spacing w:afterLines="0" w:after="120" w:line="240" w:lineRule="auto"/>
            </w:pPr>
            <w:r w:rsidRPr="00B62635">
              <w:t>3.0</w:t>
            </w:r>
          </w:p>
        </w:tc>
      </w:tr>
      <w:tr w:rsidR="00B62635" w:rsidRPr="00B62635" w:rsidTr="00B62635">
        <w:trPr>
          <w:jc w:val="center"/>
        </w:trPr>
        <w:tc>
          <w:tcPr>
            <w:tcW w:w="1107" w:type="dxa"/>
          </w:tcPr>
          <w:p w:rsidR="00B62635" w:rsidRPr="00B62635" w:rsidRDefault="00B62635" w:rsidP="00B62635">
            <w:pPr>
              <w:spacing w:afterLines="0" w:after="120" w:line="240" w:lineRule="auto"/>
            </w:pPr>
            <w:r w:rsidRPr="00B62635">
              <w:t>Q4 2015</w:t>
            </w:r>
          </w:p>
        </w:tc>
        <w:tc>
          <w:tcPr>
            <w:tcW w:w="1081" w:type="dxa"/>
            <w:shd w:val="clear" w:color="auto" w:fill="auto"/>
          </w:tcPr>
          <w:p w:rsidR="00B62635" w:rsidRPr="00B62635" w:rsidRDefault="00B62635" w:rsidP="00B62635">
            <w:pPr>
              <w:spacing w:afterLines="0" w:after="120" w:line="240" w:lineRule="auto"/>
            </w:pPr>
            <w:r w:rsidRPr="00B62635">
              <w:t>16</w:t>
            </w:r>
          </w:p>
        </w:tc>
        <w:tc>
          <w:tcPr>
            <w:tcW w:w="1082" w:type="dxa"/>
            <w:shd w:val="clear" w:color="auto" w:fill="auto"/>
          </w:tcPr>
          <w:p w:rsidR="00B62635" w:rsidRPr="00B62635" w:rsidRDefault="00B62635" w:rsidP="00B62635">
            <w:pPr>
              <w:spacing w:afterLines="0" w:after="120" w:line="240" w:lineRule="auto"/>
            </w:pPr>
            <w:r w:rsidRPr="00B62635">
              <w:t>4.5</w:t>
            </w:r>
          </w:p>
        </w:tc>
        <w:tc>
          <w:tcPr>
            <w:tcW w:w="1081" w:type="dxa"/>
            <w:shd w:val="clear" w:color="auto" w:fill="auto"/>
          </w:tcPr>
          <w:p w:rsidR="00B62635" w:rsidRPr="00B62635" w:rsidRDefault="00B62635" w:rsidP="00B62635">
            <w:pPr>
              <w:spacing w:afterLines="0" w:after="120" w:line="240" w:lineRule="auto"/>
            </w:pPr>
            <w:r w:rsidRPr="00B62635">
              <w:t>2</w:t>
            </w:r>
          </w:p>
        </w:tc>
        <w:tc>
          <w:tcPr>
            <w:tcW w:w="1086" w:type="dxa"/>
            <w:shd w:val="clear" w:color="auto" w:fill="auto"/>
          </w:tcPr>
          <w:p w:rsidR="00B62635" w:rsidRPr="00B62635" w:rsidRDefault="00B62635" w:rsidP="00B62635">
            <w:pPr>
              <w:spacing w:afterLines="0" w:after="120" w:line="240" w:lineRule="auto"/>
            </w:pPr>
            <w:r w:rsidRPr="00B62635">
              <w:t>0.7</w:t>
            </w:r>
          </w:p>
        </w:tc>
        <w:tc>
          <w:tcPr>
            <w:tcW w:w="1080" w:type="dxa"/>
            <w:shd w:val="clear" w:color="auto" w:fill="auto"/>
          </w:tcPr>
          <w:p w:rsidR="00B62635" w:rsidRPr="00B62635" w:rsidRDefault="00B62635" w:rsidP="00B62635">
            <w:pPr>
              <w:spacing w:afterLines="0" w:after="120" w:line="240" w:lineRule="auto"/>
            </w:pPr>
            <w:r w:rsidRPr="00B62635">
              <w:t>1</w:t>
            </w:r>
          </w:p>
        </w:tc>
        <w:tc>
          <w:tcPr>
            <w:tcW w:w="1081" w:type="dxa"/>
            <w:shd w:val="clear" w:color="auto" w:fill="auto"/>
          </w:tcPr>
          <w:p w:rsidR="00B62635" w:rsidRPr="00B62635" w:rsidRDefault="00B62635" w:rsidP="00B62635">
            <w:pPr>
              <w:spacing w:afterLines="0" w:after="120" w:line="240" w:lineRule="auto"/>
            </w:pPr>
            <w:r w:rsidRPr="00B62635">
              <w:t>1.8</w:t>
            </w:r>
          </w:p>
        </w:tc>
        <w:tc>
          <w:tcPr>
            <w:tcW w:w="1080" w:type="dxa"/>
            <w:shd w:val="clear" w:color="auto" w:fill="auto"/>
          </w:tcPr>
          <w:p w:rsidR="00B62635" w:rsidRPr="00B62635" w:rsidRDefault="00B62635" w:rsidP="00B62635">
            <w:pPr>
              <w:spacing w:afterLines="0" w:after="120" w:line="240" w:lineRule="auto"/>
            </w:pPr>
            <w:r w:rsidRPr="00B62635">
              <w:t>3</w:t>
            </w:r>
          </w:p>
        </w:tc>
        <w:tc>
          <w:tcPr>
            <w:tcW w:w="1081" w:type="dxa"/>
            <w:shd w:val="clear" w:color="auto" w:fill="auto"/>
          </w:tcPr>
          <w:p w:rsidR="00B62635" w:rsidRPr="00B62635" w:rsidRDefault="00B62635" w:rsidP="00B62635">
            <w:pPr>
              <w:spacing w:afterLines="0" w:after="120" w:line="240" w:lineRule="auto"/>
            </w:pPr>
            <w:r w:rsidRPr="00B62635">
              <w:t>3.2</w:t>
            </w:r>
          </w:p>
        </w:tc>
      </w:tr>
      <w:tr w:rsidR="00B62635" w:rsidRPr="00B62635" w:rsidTr="00B62635">
        <w:trPr>
          <w:jc w:val="center"/>
        </w:trPr>
        <w:tc>
          <w:tcPr>
            <w:tcW w:w="1107" w:type="dxa"/>
          </w:tcPr>
          <w:p w:rsidR="00B62635" w:rsidRPr="00B62635" w:rsidRDefault="00B62635" w:rsidP="00B62635">
            <w:pPr>
              <w:spacing w:afterLines="0" w:after="120" w:line="240" w:lineRule="auto"/>
            </w:pPr>
            <w:r w:rsidRPr="00B62635">
              <w:t>Q1 2016</w:t>
            </w:r>
          </w:p>
        </w:tc>
        <w:tc>
          <w:tcPr>
            <w:tcW w:w="1081" w:type="dxa"/>
            <w:shd w:val="clear" w:color="auto" w:fill="auto"/>
          </w:tcPr>
          <w:p w:rsidR="00B62635" w:rsidRPr="00B62635" w:rsidRDefault="00B62635" w:rsidP="00B62635">
            <w:pPr>
              <w:spacing w:afterLines="0" w:after="120" w:line="240" w:lineRule="auto"/>
            </w:pPr>
            <w:r w:rsidRPr="00B62635">
              <w:t>11</w:t>
            </w:r>
          </w:p>
        </w:tc>
        <w:tc>
          <w:tcPr>
            <w:tcW w:w="1082" w:type="dxa"/>
            <w:shd w:val="clear" w:color="auto" w:fill="auto"/>
          </w:tcPr>
          <w:p w:rsidR="00B62635" w:rsidRPr="00B62635" w:rsidRDefault="00B62635" w:rsidP="00B62635">
            <w:pPr>
              <w:spacing w:afterLines="0" w:after="120" w:line="240" w:lineRule="auto"/>
            </w:pPr>
            <w:r w:rsidRPr="00B62635">
              <w:t>3.3</w:t>
            </w:r>
          </w:p>
        </w:tc>
        <w:tc>
          <w:tcPr>
            <w:tcW w:w="1081" w:type="dxa"/>
            <w:shd w:val="clear" w:color="auto" w:fill="auto"/>
          </w:tcPr>
          <w:p w:rsidR="00B62635" w:rsidRPr="00B62635" w:rsidRDefault="00B62635" w:rsidP="00B62635">
            <w:pPr>
              <w:spacing w:afterLines="0" w:after="120" w:line="240" w:lineRule="auto"/>
            </w:pPr>
            <w:r w:rsidRPr="00B62635">
              <w:t>1</w:t>
            </w:r>
          </w:p>
        </w:tc>
        <w:tc>
          <w:tcPr>
            <w:tcW w:w="1086" w:type="dxa"/>
            <w:shd w:val="clear" w:color="auto" w:fill="auto"/>
          </w:tcPr>
          <w:p w:rsidR="00B62635" w:rsidRPr="00B62635" w:rsidRDefault="00B62635" w:rsidP="00B62635">
            <w:pPr>
              <w:spacing w:afterLines="0" w:after="120" w:line="240" w:lineRule="auto"/>
            </w:pPr>
            <w:r w:rsidRPr="00B62635">
              <w:t>0.3</w:t>
            </w:r>
          </w:p>
        </w:tc>
        <w:tc>
          <w:tcPr>
            <w:tcW w:w="1080" w:type="dxa"/>
            <w:shd w:val="clear" w:color="auto" w:fill="auto"/>
          </w:tcPr>
          <w:p w:rsidR="00B62635" w:rsidRPr="00B62635" w:rsidRDefault="00B62635" w:rsidP="00B62635">
            <w:pPr>
              <w:spacing w:afterLines="0" w:after="120" w:line="240" w:lineRule="auto"/>
            </w:pPr>
            <w:r w:rsidRPr="00B62635">
              <w:t>0</w:t>
            </w:r>
          </w:p>
        </w:tc>
        <w:tc>
          <w:tcPr>
            <w:tcW w:w="1081" w:type="dxa"/>
            <w:shd w:val="clear" w:color="auto" w:fill="auto"/>
          </w:tcPr>
          <w:p w:rsidR="00B62635" w:rsidRPr="00B62635" w:rsidRDefault="00B62635" w:rsidP="00B62635">
            <w:pPr>
              <w:spacing w:afterLines="0" w:after="120" w:line="240" w:lineRule="auto"/>
            </w:pPr>
            <w:r w:rsidRPr="00B62635">
              <w:t>0.0</w:t>
            </w:r>
          </w:p>
        </w:tc>
        <w:tc>
          <w:tcPr>
            <w:tcW w:w="1080" w:type="dxa"/>
            <w:shd w:val="clear" w:color="auto" w:fill="auto"/>
          </w:tcPr>
          <w:p w:rsidR="00B62635" w:rsidRPr="00B62635" w:rsidRDefault="00B62635" w:rsidP="00B62635">
            <w:pPr>
              <w:spacing w:afterLines="0" w:after="120" w:line="240" w:lineRule="auto"/>
            </w:pPr>
            <w:r w:rsidRPr="00B62635">
              <w:t>0</w:t>
            </w:r>
          </w:p>
        </w:tc>
        <w:tc>
          <w:tcPr>
            <w:tcW w:w="1081" w:type="dxa"/>
            <w:shd w:val="clear" w:color="auto" w:fill="auto"/>
          </w:tcPr>
          <w:p w:rsidR="00B62635" w:rsidRPr="00B62635" w:rsidRDefault="00B62635" w:rsidP="00B62635">
            <w:pPr>
              <w:spacing w:afterLines="0" w:after="120" w:line="240" w:lineRule="auto"/>
            </w:pPr>
            <w:r w:rsidRPr="00B62635">
              <w:t>0.0</w:t>
            </w:r>
          </w:p>
        </w:tc>
      </w:tr>
      <w:tr w:rsidR="0080146E" w:rsidRPr="00B62635" w:rsidTr="00B62635">
        <w:trPr>
          <w:jc w:val="center"/>
        </w:trPr>
        <w:tc>
          <w:tcPr>
            <w:tcW w:w="1107" w:type="dxa"/>
          </w:tcPr>
          <w:p w:rsidR="0080146E" w:rsidRPr="00B62635" w:rsidRDefault="0080146E" w:rsidP="00B62635">
            <w:pPr>
              <w:spacing w:afterLines="0" w:after="120" w:line="240" w:lineRule="auto"/>
            </w:pPr>
            <w:r>
              <w:t>Q2 2016</w:t>
            </w:r>
          </w:p>
        </w:tc>
        <w:tc>
          <w:tcPr>
            <w:tcW w:w="1081" w:type="dxa"/>
            <w:shd w:val="clear" w:color="auto" w:fill="auto"/>
          </w:tcPr>
          <w:p w:rsidR="0080146E" w:rsidRPr="00B62635" w:rsidRDefault="0080146E" w:rsidP="00B62635">
            <w:pPr>
              <w:spacing w:afterLines="0" w:after="120" w:line="240" w:lineRule="auto"/>
            </w:pPr>
            <w:r>
              <w:t>14</w:t>
            </w:r>
          </w:p>
        </w:tc>
        <w:tc>
          <w:tcPr>
            <w:tcW w:w="1082" w:type="dxa"/>
            <w:shd w:val="clear" w:color="auto" w:fill="auto"/>
          </w:tcPr>
          <w:p w:rsidR="0080146E" w:rsidRPr="00B62635" w:rsidRDefault="0080146E" w:rsidP="00B62635">
            <w:pPr>
              <w:spacing w:afterLines="0" w:after="120" w:line="240" w:lineRule="auto"/>
            </w:pPr>
            <w:r>
              <w:t>3.9</w:t>
            </w:r>
          </w:p>
        </w:tc>
        <w:tc>
          <w:tcPr>
            <w:tcW w:w="1081" w:type="dxa"/>
            <w:shd w:val="clear" w:color="auto" w:fill="auto"/>
          </w:tcPr>
          <w:p w:rsidR="0080146E" w:rsidRPr="00B62635" w:rsidRDefault="0080146E" w:rsidP="00B62635">
            <w:pPr>
              <w:spacing w:afterLines="0" w:after="120" w:line="240" w:lineRule="auto"/>
            </w:pPr>
            <w:r>
              <w:t>10</w:t>
            </w:r>
          </w:p>
        </w:tc>
        <w:tc>
          <w:tcPr>
            <w:tcW w:w="1086" w:type="dxa"/>
            <w:shd w:val="clear" w:color="auto" w:fill="auto"/>
          </w:tcPr>
          <w:p w:rsidR="0080146E" w:rsidRPr="00B62635" w:rsidRDefault="0080146E" w:rsidP="00B62635">
            <w:pPr>
              <w:spacing w:afterLines="0" w:after="120" w:line="240" w:lineRule="auto"/>
            </w:pPr>
            <w:r>
              <w:t>3.3</w:t>
            </w:r>
          </w:p>
        </w:tc>
        <w:tc>
          <w:tcPr>
            <w:tcW w:w="1080" w:type="dxa"/>
            <w:shd w:val="clear" w:color="auto" w:fill="auto"/>
          </w:tcPr>
          <w:p w:rsidR="0080146E" w:rsidRPr="00B62635" w:rsidRDefault="0080146E" w:rsidP="00B62635">
            <w:pPr>
              <w:spacing w:afterLines="0" w:after="120" w:line="240" w:lineRule="auto"/>
            </w:pPr>
            <w:r>
              <w:t>3</w:t>
            </w:r>
          </w:p>
        </w:tc>
        <w:tc>
          <w:tcPr>
            <w:tcW w:w="1081" w:type="dxa"/>
            <w:shd w:val="clear" w:color="auto" w:fill="auto"/>
          </w:tcPr>
          <w:p w:rsidR="0080146E" w:rsidRPr="00B62635" w:rsidRDefault="0080146E" w:rsidP="00B62635">
            <w:pPr>
              <w:spacing w:afterLines="0" w:after="120" w:line="240" w:lineRule="auto"/>
            </w:pPr>
            <w:r>
              <w:t>5.5</w:t>
            </w:r>
          </w:p>
        </w:tc>
        <w:tc>
          <w:tcPr>
            <w:tcW w:w="1080" w:type="dxa"/>
            <w:shd w:val="clear" w:color="auto" w:fill="auto"/>
          </w:tcPr>
          <w:p w:rsidR="0080146E" w:rsidRPr="00B62635" w:rsidRDefault="0080146E" w:rsidP="00B62635">
            <w:pPr>
              <w:spacing w:afterLines="0" w:after="120" w:line="240" w:lineRule="auto"/>
            </w:pPr>
            <w:r>
              <w:t>0</w:t>
            </w:r>
          </w:p>
        </w:tc>
        <w:tc>
          <w:tcPr>
            <w:tcW w:w="1081" w:type="dxa"/>
            <w:shd w:val="clear" w:color="auto" w:fill="auto"/>
          </w:tcPr>
          <w:p w:rsidR="0080146E" w:rsidRPr="00B62635" w:rsidRDefault="0080146E" w:rsidP="00B62635">
            <w:pPr>
              <w:spacing w:afterLines="0" w:after="120" w:line="240" w:lineRule="auto"/>
            </w:pPr>
            <w:r>
              <w:t>0.0</w:t>
            </w:r>
          </w:p>
        </w:tc>
      </w:tr>
    </w:tbl>
    <w:p w:rsidR="00B62635" w:rsidRDefault="00B62635" w:rsidP="00B62635">
      <w:pPr>
        <w:spacing w:after="336"/>
      </w:pPr>
    </w:p>
    <w:p w:rsidR="008176F5" w:rsidRDefault="008176F5" w:rsidP="00B62635">
      <w:pPr>
        <w:spacing w:after="336"/>
      </w:pPr>
    </w:p>
    <w:p w:rsidR="008176F5" w:rsidRPr="00B62635" w:rsidRDefault="008176F5" w:rsidP="00B62635">
      <w:pPr>
        <w:spacing w:after="336"/>
      </w:pPr>
    </w:p>
    <w:p w:rsidR="00B62635" w:rsidRPr="00B62635" w:rsidRDefault="00B62635" w:rsidP="00B62635">
      <w:pPr>
        <w:keepNext/>
        <w:keepLines/>
        <w:spacing w:before="200" w:after="336"/>
        <w:outlineLvl w:val="1"/>
        <w:rPr>
          <w:rFonts w:eastAsiaTheme="majorEastAsia" w:cstheme="majorBidi"/>
          <w:b/>
          <w:bCs/>
          <w:sz w:val="32"/>
          <w:szCs w:val="32"/>
        </w:rPr>
      </w:pPr>
      <w:bookmarkStart w:id="121" w:name="_Toc459796647"/>
      <w:r w:rsidRPr="00B62635">
        <w:rPr>
          <w:rFonts w:eastAsiaTheme="majorEastAsia" w:cstheme="majorBidi"/>
          <w:b/>
          <w:bCs/>
          <w:sz w:val="32"/>
          <w:szCs w:val="32"/>
        </w:rPr>
        <w:t>Vancomycin resistant enterococcus (VRE)</w:t>
      </w:r>
      <w:bookmarkEnd w:id="121"/>
      <w:r w:rsidRPr="00B62635">
        <w:rPr>
          <w:rFonts w:eastAsiaTheme="majorEastAsia" w:cstheme="majorBidi"/>
          <w:b/>
          <w:bCs/>
          <w:sz w:val="32"/>
          <w:szCs w:val="32"/>
        </w:rPr>
        <w:t xml:space="preserve"> </w:t>
      </w:r>
    </w:p>
    <w:p w:rsidR="00B62635" w:rsidRPr="00B62635" w:rsidRDefault="00B62635" w:rsidP="00B62635">
      <w:pPr>
        <w:tabs>
          <w:tab w:val="left" w:pos="567"/>
        </w:tabs>
        <w:spacing w:afterLines="0"/>
        <w:rPr>
          <w:rFonts w:eastAsia="Times New Roman" w:cs="Times New Roman"/>
          <w:bCs/>
        </w:rPr>
      </w:pPr>
      <w:bookmarkStart w:id="122" w:name="_Toc459796764"/>
      <w:r w:rsidRPr="00B62635">
        <w:rPr>
          <w:rFonts w:eastAsia="Times New Roman" w:cs="Times New Roman"/>
          <w:b/>
          <w:bCs/>
        </w:rPr>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556020">
        <w:rPr>
          <w:rFonts w:eastAsia="Times New Roman" w:cs="Times New Roman"/>
          <w:b/>
          <w:bCs/>
          <w:noProof/>
        </w:rPr>
        <w:t>10</w:t>
      </w:r>
      <w:r w:rsidRPr="00B62635">
        <w:rPr>
          <w:rFonts w:eastAsia="Times New Roman" w:cs="Times New Roman"/>
          <w:b/>
          <w:bCs/>
        </w:rPr>
        <w:fldChar w:fldCharType="end"/>
      </w:r>
      <w:r w:rsidRPr="00B62635">
        <w:rPr>
          <w:rFonts w:eastAsia="Times New Roman" w:cs="Times New Roman"/>
          <w:bCs/>
        </w:rPr>
        <w:t xml:space="preserve"> VRE isolates identified per quarter within a) acute public hospitals, b) other healthcare settings (</w:t>
      </w:r>
      <w:r w:rsidRPr="00B62635">
        <w:rPr>
          <w:lang w:eastAsia="en-AU"/>
        </w:rPr>
        <w:t>private hospitals, rural hospitals, GP clinics and long term and residential care facilities</w:t>
      </w:r>
      <w:r w:rsidRPr="00B62635">
        <w:rPr>
          <w:rFonts w:eastAsia="Times New Roman" w:cs="Times New Roman"/>
          <w:bCs/>
        </w:rPr>
        <w:t>) and c) total Tasmanian isolates.</w:t>
      </w:r>
      <w:bookmarkEnd w:id="1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0 VRE isolates identified per quarter"/>
        <w:tblDescription w:val="includes (a) acute public hospitals, (b) other healthcare settings (private hospitals, rural hospitals, GP clinics and long term and residential care facilities) and (c) total Tasmanian isolates."/>
      </w:tblPr>
      <w:tblGrid>
        <w:gridCol w:w="1315"/>
        <w:gridCol w:w="1321"/>
        <w:gridCol w:w="1321"/>
        <w:gridCol w:w="1321"/>
        <w:gridCol w:w="1321"/>
        <w:gridCol w:w="1321"/>
        <w:gridCol w:w="1322"/>
      </w:tblGrid>
      <w:tr w:rsidR="00B62635" w:rsidRPr="00B62635" w:rsidTr="00AD4ECF">
        <w:trPr>
          <w:tblHeader/>
        </w:trPr>
        <w:tc>
          <w:tcPr>
            <w:tcW w:w="1315" w:type="dxa"/>
          </w:tcPr>
          <w:p w:rsidR="00B62635" w:rsidRPr="00B62635" w:rsidRDefault="00B62635" w:rsidP="00B62635">
            <w:pPr>
              <w:spacing w:afterLines="0" w:after="0" w:line="240" w:lineRule="auto"/>
              <w:jc w:val="center"/>
              <w:rPr>
                <w:b/>
              </w:rPr>
            </w:pPr>
          </w:p>
        </w:tc>
        <w:tc>
          <w:tcPr>
            <w:tcW w:w="1321" w:type="dxa"/>
          </w:tcPr>
          <w:p w:rsidR="00B62635" w:rsidRPr="00B62635" w:rsidRDefault="00B62635" w:rsidP="00B62635">
            <w:pPr>
              <w:spacing w:afterLines="0" w:after="0" w:line="240" w:lineRule="auto"/>
              <w:jc w:val="center"/>
              <w:rPr>
                <w:b/>
              </w:rPr>
            </w:pPr>
            <w:r w:rsidRPr="00B62635">
              <w:rPr>
                <w:b/>
              </w:rPr>
              <w:t>RHH</w:t>
            </w:r>
          </w:p>
        </w:tc>
        <w:tc>
          <w:tcPr>
            <w:tcW w:w="1321" w:type="dxa"/>
          </w:tcPr>
          <w:p w:rsidR="00B62635" w:rsidRPr="00B62635" w:rsidRDefault="00B62635" w:rsidP="00B62635">
            <w:pPr>
              <w:spacing w:afterLines="0" w:after="0" w:line="240" w:lineRule="auto"/>
              <w:jc w:val="center"/>
              <w:rPr>
                <w:b/>
              </w:rPr>
            </w:pPr>
            <w:r w:rsidRPr="00B62635">
              <w:rPr>
                <w:b/>
              </w:rPr>
              <w:t>LGH</w:t>
            </w:r>
          </w:p>
        </w:tc>
        <w:tc>
          <w:tcPr>
            <w:tcW w:w="1321" w:type="dxa"/>
          </w:tcPr>
          <w:p w:rsidR="00B62635" w:rsidRPr="00B62635" w:rsidRDefault="00B62635" w:rsidP="00B62635">
            <w:pPr>
              <w:spacing w:afterLines="0" w:after="0" w:line="240" w:lineRule="auto"/>
              <w:jc w:val="center"/>
              <w:rPr>
                <w:b/>
              </w:rPr>
            </w:pPr>
            <w:r w:rsidRPr="00B62635">
              <w:rPr>
                <w:b/>
              </w:rPr>
              <w:t>MCH</w:t>
            </w:r>
          </w:p>
        </w:tc>
        <w:tc>
          <w:tcPr>
            <w:tcW w:w="1321" w:type="dxa"/>
          </w:tcPr>
          <w:p w:rsidR="00B62635" w:rsidRPr="00B62635" w:rsidRDefault="00B62635" w:rsidP="00B62635">
            <w:pPr>
              <w:spacing w:afterLines="0" w:after="0" w:line="240" w:lineRule="auto"/>
              <w:jc w:val="center"/>
              <w:rPr>
                <w:b/>
              </w:rPr>
            </w:pPr>
            <w:r w:rsidRPr="00B62635">
              <w:rPr>
                <w:b/>
              </w:rPr>
              <w:t>NWRH</w:t>
            </w:r>
          </w:p>
        </w:tc>
        <w:tc>
          <w:tcPr>
            <w:tcW w:w="1321" w:type="dxa"/>
          </w:tcPr>
          <w:p w:rsidR="00B62635" w:rsidRPr="00B62635" w:rsidRDefault="00B62635" w:rsidP="00B62635">
            <w:pPr>
              <w:spacing w:afterLines="0" w:after="0" w:line="240" w:lineRule="auto"/>
              <w:jc w:val="center"/>
              <w:rPr>
                <w:b/>
              </w:rPr>
            </w:pPr>
            <w:r w:rsidRPr="00B62635">
              <w:rPr>
                <w:b/>
              </w:rPr>
              <w:t>Other healthcare settings</w:t>
            </w:r>
          </w:p>
        </w:tc>
        <w:tc>
          <w:tcPr>
            <w:tcW w:w="1322" w:type="dxa"/>
          </w:tcPr>
          <w:p w:rsidR="00B62635" w:rsidRPr="00B62635" w:rsidRDefault="00B62635" w:rsidP="00B62635">
            <w:pPr>
              <w:spacing w:afterLines="0" w:after="0" w:line="240" w:lineRule="auto"/>
              <w:jc w:val="center"/>
              <w:rPr>
                <w:b/>
              </w:rPr>
            </w:pPr>
            <w:r w:rsidRPr="00B62635">
              <w:rPr>
                <w:b/>
              </w:rPr>
              <w:t xml:space="preserve">Total </w:t>
            </w:r>
          </w:p>
        </w:tc>
      </w:tr>
      <w:tr w:rsidR="00B62635" w:rsidRPr="00B62635" w:rsidTr="00B62635">
        <w:trPr>
          <w:trHeight w:val="340"/>
        </w:trPr>
        <w:tc>
          <w:tcPr>
            <w:tcW w:w="1315" w:type="dxa"/>
          </w:tcPr>
          <w:p w:rsidR="00B62635" w:rsidRPr="00B62635" w:rsidRDefault="00B62635" w:rsidP="00B62635">
            <w:pPr>
              <w:spacing w:afterLines="0" w:after="0" w:line="240" w:lineRule="auto"/>
            </w:pPr>
            <w:r w:rsidRPr="00B62635">
              <w:t>Q3 2010</w:t>
            </w:r>
          </w:p>
        </w:tc>
        <w:tc>
          <w:tcPr>
            <w:tcW w:w="1321" w:type="dxa"/>
          </w:tcPr>
          <w:p w:rsidR="00B62635" w:rsidRPr="00B62635" w:rsidRDefault="00B62635" w:rsidP="00B62635">
            <w:pPr>
              <w:spacing w:afterLines="0" w:after="0" w:line="240" w:lineRule="auto"/>
              <w:jc w:val="center"/>
            </w:pPr>
            <w:r w:rsidRPr="00B62635">
              <w:t>10</w:t>
            </w:r>
          </w:p>
        </w:tc>
        <w:tc>
          <w:tcPr>
            <w:tcW w:w="1321" w:type="dxa"/>
          </w:tcPr>
          <w:p w:rsidR="00B62635" w:rsidRPr="00B62635" w:rsidRDefault="00B62635" w:rsidP="00B62635">
            <w:pPr>
              <w:spacing w:afterLines="0" w:after="0" w:line="240" w:lineRule="auto"/>
              <w:jc w:val="center"/>
            </w:pPr>
            <w:r w:rsidRPr="00B62635">
              <w:t>-</w:t>
            </w:r>
          </w:p>
        </w:tc>
        <w:tc>
          <w:tcPr>
            <w:tcW w:w="1321" w:type="dxa"/>
          </w:tcPr>
          <w:p w:rsidR="00B62635" w:rsidRPr="00B62635" w:rsidRDefault="00B62635" w:rsidP="00B62635">
            <w:pPr>
              <w:spacing w:afterLines="0" w:after="0" w:line="240" w:lineRule="auto"/>
              <w:jc w:val="center"/>
            </w:pPr>
            <w:r w:rsidRPr="00B62635">
              <w:t>2</w:t>
            </w:r>
          </w:p>
        </w:tc>
        <w:tc>
          <w:tcPr>
            <w:tcW w:w="1321" w:type="dxa"/>
          </w:tcPr>
          <w:p w:rsidR="00B62635" w:rsidRPr="00B62635" w:rsidRDefault="00B62635" w:rsidP="00B62635">
            <w:pPr>
              <w:spacing w:afterLines="0" w:after="0" w:line="240" w:lineRule="auto"/>
              <w:jc w:val="center"/>
            </w:pPr>
            <w:r w:rsidRPr="00B62635">
              <w:t>2</w:t>
            </w:r>
          </w:p>
        </w:tc>
        <w:tc>
          <w:tcPr>
            <w:tcW w:w="1321" w:type="dxa"/>
          </w:tcPr>
          <w:p w:rsidR="00B62635" w:rsidRPr="00B62635" w:rsidRDefault="00B62635" w:rsidP="00B62635">
            <w:pPr>
              <w:spacing w:afterLines="0" w:after="0" w:line="240" w:lineRule="auto"/>
              <w:jc w:val="center"/>
            </w:pPr>
            <w:r w:rsidRPr="00B62635">
              <w:t>-</w:t>
            </w:r>
          </w:p>
        </w:tc>
        <w:tc>
          <w:tcPr>
            <w:tcW w:w="1322" w:type="dxa"/>
          </w:tcPr>
          <w:p w:rsidR="00B62635" w:rsidRPr="00B62635" w:rsidRDefault="00B62635" w:rsidP="00B62635">
            <w:pPr>
              <w:spacing w:afterLines="0" w:after="0" w:line="240" w:lineRule="auto"/>
              <w:jc w:val="center"/>
            </w:pPr>
            <w:r w:rsidRPr="00B62635">
              <w:t>14</w:t>
            </w:r>
          </w:p>
        </w:tc>
      </w:tr>
      <w:tr w:rsidR="00B62635" w:rsidRPr="00B62635" w:rsidTr="00B62635">
        <w:trPr>
          <w:trHeight w:val="340"/>
        </w:trPr>
        <w:tc>
          <w:tcPr>
            <w:tcW w:w="1315" w:type="dxa"/>
          </w:tcPr>
          <w:p w:rsidR="00B62635" w:rsidRPr="00B62635" w:rsidRDefault="00B62635" w:rsidP="00B62635">
            <w:pPr>
              <w:spacing w:afterLines="0" w:after="0" w:line="240" w:lineRule="auto"/>
            </w:pPr>
            <w:r w:rsidRPr="00B62635">
              <w:t>Q4 2010</w:t>
            </w:r>
          </w:p>
        </w:tc>
        <w:tc>
          <w:tcPr>
            <w:tcW w:w="1321" w:type="dxa"/>
          </w:tcPr>
          <w:p w:rsidR="00B62635" w:rsidRPr="00B62635" w:rsidRDefault="00B62635" w:rsidP="00B62635">
            <w:pPr>
              <w:spacing w:afterLines="0" w:after="0" w:line="240" w:lineRule="auto"/>
              <w:jc w:val="center"/>
            </w:pPr>
            <w:r w:rsidRPr="00B62635">
              <w:t>3</w:t>
            </w:r>
          </w:p>
        </w:tc>
        <w:tc>
          <w:tcPr>
            <w:tcW w:w="1321" w:type="dxa"/>
          </w:tcPr>
          <w:p w:rsidR="00B62635" w:rsidRPr="00B62635" w:rsidRDefault="00B62635" w:rsidP="00B62635">
            <w:pPr>
              <w:spacing w:afterLines="0" w:after="0" w:line="240" w:lineRule="auto"/>
              <w:jc w:val="center"/>
            </w:pPr>
            <w:r w:rsidRPr="00B62635">
              <w:t>-</w:t>
            </w:r>
          </w:p>
        </w:tc>
        <w:tc>
          <w:tcPr>
            <w:tcW w:w="1321" w:type="dxa"/>
          </w:tcPr>
          <w:p w:rsidR="00B62635" w:rsidRPr="00B62635" w:rsidRDefault="00B62635" w:rsidP="00B62635">
            <w:pPr>
              <w:spacing w:afterLines="0" w:after="0" w:line="240" w:lineRule="auto"/>
              <w:jc w:val="center"/>
            </w:pPr>
            <w:r w:rsidRPr="00B62635">
              <w:t>3</w:t>
            </w:r>
          </w:p>
        </w:tc>
        <w:tc>
          <w:tcPr>
            <w:tcW w:w="1321" w:type="dxa"/>
          </w:tcPr>
          <w:p w:rsidR="00B62635" w:rsidRPr="00B62635" w:rsidRDefault="00B62635" w:rsidP="00B62635">
            <w:pPr>
              <w:spacing w:afterLines="0" w:after="0" w:line="240" w:lineRule="auto"/>
              <w:jc w:val="center"/>
            </w:pPr>
            <w:r w:rsidRPr="00B62635">
              <w:t>1</w:t>
            </w:r>
          </w:p>
        </w:tc>
        <w:tc>
          <w:tcPr>
            <w:tcW w:w="1321" w:type="dxa"/>
          </w:tcPr>
          <w:p w:rsidR="00B62635" w:rsidRPr="00B62635" w:rsidRDefault="00B62635" w:rsidP="00B62635">
            <w:pPr>
              <w:spacing w:afterLines="0" w:after="0" w:line="240" w:lineRule="auto"/>
              <w:jc w:val="center"/>
            </w:pPr>
            <w:r w:rsidRPr="00B62635">
              <w:t>1</w:t>
            </w:r>
          </w:p>
        </w:tc>
        <w:tc>
          <w:tcPr>
            <w:tcW w:w="1322" w:type="dxa"/>
          </w:tcPr>
          <w:p w:rsidR="00B62635" w:rsidRPr="00B62635" w:rsidRDefault="00B62635" w:rsidP="00B62635">
            <w:pPr>
              <w:spacing w:afterLines="0" w:after="0" w:line="240" w:lineRule="auto"/>
              <w:jc w:val="center"/>
            </w:pPr>
            <w:r w:rsidRPr="00B62635">
              <w:t>8</w:t>
            </w:r>
          </w:p>
        </w:tc>
      </w:tr>
      <w:tr w:rsidR="00B62635" w:rsidRPr="00B62635" w:rsidTr="00B62635">
        <w:trPr>
          <w:trHeight w:val="340"/>
        </w:trPr>
        <w:tc>
          <w:tcPr>
            <w:tcW w:w="1315" w:type="dxa"/>
          </w:tcPr>
          <w:p w:rsidR="00B62635" w:rsidRPr="00B62635" w:rsidRDefault="00B62635" w:rsidP="00B62635">
            <w:pPr>
              <w:spacing w:afterLines="0" w:after="0" w:line="240" w:lineRule="auto"/>
            </w:pPr>
            <w:r w:rsidRPr="00B62635">
              <w:t>Q1 2011</w:t>
            </w:r>
          </w:p>
        </w:tc>
        <w:tc>
          <w:tcPr>
            <w:tcW w:w="1321" w:type="dxa"/>
          </w:tcPr>
          <w:p w:rsidR="00B62635" w:rsidRPr="00B62635" w:rsidRDefault="00B62635" w:rsidP="00B62635">
            <w:pPr>
              <w:spacing w:afterLines="0" w:after="0" w:line="240" w:lineRule="auto"/>
              <w:jc w:val="center"/>
            </w:pPr>
            <w:r w:rsidRPr="00B62635">
              <w:t>-</w:t>
            </w:r>
          </w:p>
        </w:tc>
        <w:tc>
          <w:tcPr>
            <w:tcW w:w="1321" w:type="dxa"/>
          </w:tcPr>
          <w:p w:rsidR="00B62635" w:rsidRPr="00B62635" w:rsidRDefault="00B62635" w:rsidP="00B62635">
            <w:pPr>
              <w:spacing w:afterLines="0" w:after="0" w:line="240" w:lineRule="auto"/>
              <w:jc w:val="center"/>
            </w:pPr>
            <w:r w:rsidRPr="00B62635">
              <w:t>-</w:t>
            </w:r>
          </w:p>
        </w:tc>
        <w:tc>
          <w:tcPr>
            <w:tcW w:w="1321" w:type="dxa"/>
          </w:tcPr>
          <w:p w:rsidR="00B62635" w:rsidRPr="00B62635" w:rsidRDefault="00B62635" w:rsidP="00B62635">
            <w:pPr>
              <w:spacing w:afterLines="0" w:after="0" w:line="240" w:lineRule="auto"/>
              <w:jc w:val="center"/>
            </w:pPr>
            <w:r w:rsidRPr="00B62635">
              <w:t>2</w:t>
            </w:r>
          </w:p>
        </w:tc>
        <w:tc>
          <w:tcPr>
            <w:tcW w:w="1321" w:type="dxa"/>
          </w:tcPr>
          <w:p w:rsidR="00B62635" w:rsidRPr="00B62635" w:rsidRDefault="00B62635" w:rsidP="00B62635">
            <w:pPr>
              <w:spacing w:afterLines="0" w:after="0" w:line="240" w:lineRule="auto"/>
              <w:jc w:val="center"/>
            </w:pPr>
            <w:r w:rsidRPr="00B62635">
              <w:t>1</w:t>
            </w:r>
          </w:p>
        </w:tc>
        <w:tc>
          <w:tcPr>
            <w:tcW w:w="1321" w:type="dxa"/>
          </w:tcPr>
          <w:p w:rsidR="00B62635" w:rsidRPr="00B62635" w:rsidRDefault="00B62635" w:rsidP="00B62635">
            <w:pPr>
              <w:spacing w:afterLines="0" w:after="0" w:line="240" w:lineRule="auto"/>
              <w:jc w:val="center"/>
            </w:pPr>
            <w:r w:rsidRPr="00B62635">
              <w:t>-</w:t>
            </w:r>
          </w:p>
        </w:tc>
        <w:tc>
          <w:tcPr>
            <w:tcW w:w="1322" w:type="dxa"/>
          </w:tcPr>
          <w:p w:rsidR="00B62635" w:rsidRPr="00B62635" w:rsidRDefault="00B62635" w:rsidP="00B62635">
            <w:pPr>
              <w:spacing w:afterLines="0" w:after="0" w:line="240" w:lineRule="auto"/>
              <w:jc w:val="center"/>
            </w:pPr>
            <w:r w:rsidRPr="00B62635">
              <w:t>3</w:t>
            </w:r>
          </w:p>
        </w:tc>
      </w:tr>
      <w:tr w:rsidR="00B62635" w:rsidRPr="00B62635" w:rsidTr="00B62635">
        <w:trPr>
          <w:trHeight w:val="340"/>
        </w:trPr>
        <w:tc>
          <w:tcPr>
            <w:tcW w:w="1315" w:type="dxa"/>
          </w:tcPr>
          <w:p w:rsidR="00B62635" w:rsidRPr="00B62635" w:rsidRDefault="00B62635" w:rsidP="00B62635">
            <w:pPr>
              <w:spacing w:afterLines="0" w:after="0" w:line="240" w:lineRule="auto"/>
            </w:pPr>
            <w:r w:rsidRPr="00B62635">
              <w:t>Q2 2011</w:t>
            </w:r>
          </w:p>
        </w:tc>
        <w:tc>
          <w:tcPr>
            <w:tcW w:w="1321" w:type="dxa"/>
          </w:tcPr>
          <w:p w:rsidR="00B62635" w:rsidRPr="00B62635" w:rsidRDefault="00B62635" w:rsidP="00B62635">
            <w:pPr>
              <w:spacing w:afterLines="0" w:after="0" w:line="240" w:lineRule="auto"/>
              <w:jc w:val="center"/>
            </w:pPr>
            <w:r w:rsidRPr="00B62635">
              <w:t>3</w:t>
            </w:r>
          </w:p>
        </w:tc>
        <w:tc>
          <w:tcPr>
            <w:tcW w:w="1321" w:type="dxa"/>
          </w:tcPr>
          <w:p w:rsidR="00B62635" w:rsidRPr="00B62635" w:rsidRDefault="00B62635" w:rsidP="00B62635">
            <w:pPr>
              <w:spacing w:afterLines="0" w:after="0" w:line="240" w:lineRule="auto"/>
              <w:jc w:val="center"/>
            </w:pPr>
            <w:r w:rsidRPr="00B62635">
              <w:t>1</w:t>
            </w:r>
          </w:p>
        </w:tc>
        <w:tc>
          <w:tcPr>
            <w:tcW w:w="1321" w:type="dxa"/>
          </w:tcPr>
          <w:p w:rsidR="00B62635" w:rsidRPr="00B62635" w:rsidRDefault="00B62635" w:rsidP="00B62635">
            <w:pPr>
              <w:spacing w:afterLines="0" w:after="0" w:line="240" w:lineRule="auto"/>
              <w:jc w:val="center"/>
            </w:pPr>
            <w:r w:rsidRPr="00B62635">
              <w:t>-</w:t>
            </w:r>
          </w:p>
        </w:tc>
        <w:tc>
          <w:tcPr>
            <w:tcW w:w="1321" w:type="dxa"/>
          </w:tcPr>
          <w:p w:rsidR="00B62635" w:rsidRPr="00B62635" w:rsidRDefault="00B62635" w:rsidP="00B62635">
            <w:pPr>
              <w:spacing w:afterLines="0" w:after="0" w:line="240" w:lineRule="auto"/>
              <w:jc w:val="center"/>
            </w:pPr>
            <w:r w:rsidRPr="00B62635">
              <w:t>-</w:t>
            </w:r>
          </w:p>
        </w:tc>
        <w:tc>
          <w:tcPr>
            <w:tcW w:w="1321" w:type="dxa"/>
          </w:tcPr>
          <w:p w:rsidR="00B62635" w:rsidRPr="00B62635" w:rsidRDefault="00B62635" w:rsidP="00B62635">
            <w:pPr>
              <w:spacing w:afterLines="0" w:after="0" w:line="240" w:lineRule="auto"/>
              <w:jc w:val="center"/>
            </w:pPr>
            <w:r w:rsidRPr="00B62635">
              <w:t>4</w:t>
            </w:r>
          </w:p>
        </w:tc>
        <w:tc>
          <w:tcPr>
            <w:tcW w:w="1322" w:type="dxa"/>
          </w:tcPr>
          <w:p w:rsidR="00B62635" w:rsidRPr="00B62635" w:rsidRDefault="00B62635" w:rsidP="00B62635">
            <w:pPr>
              <w:spacing w:afterLines="0" w:after="0" w:line="240" w:lineRule="auto"/>
              <w:jc w:val="center"/>
            </w:pPr>
            <w:r w:rsidRPr="00B62635">
              <w:t>8</w:t>
            </w:r>
          </w:p>
        </w:tc>
      </w:tr>
      <w:tr w:rsidR="00B62635" w:rsidRPr="00B62635" w:rsidTr="00B62635">
        <w:trPr>
          <w:trHeight w:val="340"/>
        </w:trPr>
        <w:tc>
          <w:tcPr>
            <w:tcW w:w="1315" w:type="dxa"/>
          </w:tcPr>
          <w:p w:rsidR="00B62635" w:rsidRPr="00B62635" w:rsidRDefault="00B62635" w:rsidP="00B62635">
            <w:pPr>
              <w:spacing w:afterLines="0" w:after="0" w:line="240" w:lineRule="auto"/>
            </w:pPr>
            <w:r w:rsidRPr="00B62635">
              <w:t>Q3 2011</w:t>
            </w:r>
          </w:p>
        </w:tc>
        <w:tc>
          <w:tcPr>
            <w:tcW w:w="1321" w:type="dxa"/>
          </w:tcPr>
          <w:p w:rsidR="00B62635" w:rsidRPr="00B62635" w:rsidRDefault="00B62635" w:rsidP="00B62635">
            <w:pPr>
              <w:spacing w:afterLines="0" w:after="0" w:line="240" w:lineRule="auto"/>
              <w:jc w:val="center"/>
            </w:pPr>
            <w:r w:rsidRPr="00B62635">
              <w:t>1</w:t>
            </w:r>
          </w:p>
        </w:tc>
        <w:tc>
          <w:tcPr>
            <w:tcW w:w="1321" w:type="dxa"/>
          </w:tcPr>
          <w:p w:rsidR="00B62635" w:rsidRPr="00B62635" w:rsidRDefault="00B62635" w:rsidP="00B62635">
            <w:pPr>
              <w:spacing w:afterLines="0" w:after="0" w:line="240" w:lineRule="auto"/>
              <w:jc w:val="center"/>
            </w:pPr>
            <w:r w:rsidRPr="00B62635">
              <w:t>1</w:t>
            </w:r>
          </w:p>
        </w:tc>
        <w:tc>
          <w:tcPr>
            <w:tcW w:w="1321" w:type="dxa"/>
          </w:tcPr>
          <w:p w:rsidR="00B62635" w:rsidRPr="00B62635" w:rsidRDefault="00B62635" w:rsidP="00B62635">
            <w:pPr>
              <w:spacing w:afterLines="0" w:after="0" w:line="240" w:lineRule="auto"/>
              <w:jc w:val="center"/>
            </w:pPr>
            <w:r w:rsidRPr="00B62635">
              <w:t>-</w:t>
            </w:r>
          </w:p>
        </w:tc>
        <w:tc>
          <w:tcPr>
            <w:tcW w:w="1321" w:type="dxa"/>
          </w:tcPr>
          <w:p w:rsidR="00B62635" w:rsidRPr="00B62635" w:rsidRDefault="00B62635" w:rsidP="00B62635">
            <w:pPr>
              <w:spacing w:afterLines="0" w:after="0" w:line="240" w:lineRule="auto"/>
              <w:jc w:val="center"/>
            </w:pPr>
            <w:r w:rsidRPr="00B62635">
              <w:t>-</w:t>
            </w:r>
          </w:p>
        </w:tc>
        <w:tc>
          <w:tcPr>
            <w:tcW w:w="1321" w:type="dxa"/>
          </w:tcPr>
          <w:p w:rsidR="00B62635" w:rsidRPr="00B62635" w:rsidRDefault="00B62635" w:rsidP="00B62635">
            <w:pPr>
              <w:spacing w:afterLines="0" w:after="0" w:line="240" w:lineRule="auto"/>
              <w:jc w:val="center"/>
            </w:pPr>
            <w:r w:rsidRPr="00B62635">
              <w:t>1</w:t>
            </w:r>
          </w:p>
        </w:tc>
        <w:tc>
          <w:tcPr>
            <w:tcW w:w="1322" w:type="dxa"/>
          </w:tcPr>
          <w:p w:rsidR="00B62635" w:rsidRPr="00B62635" w:rsidRDefault="00B62635" w:rsidP="00B62635">
            <w:pPr>
              <w:spacing w:afterLines="0" w:after="0" w:line="240" w:lineRule="auto"/>
              <w:jc w:val="center"/>
            </w:pPr>
            <w:r w:rsidRPr="00B62635">
              <w:t>3</w:t>
            </w:r>
          </w:p>
        </w:tc>
      </w:tr>
      <w:tr w:rsidR="00B62635" w:rsidRPr="00B62635" w:rsidTr="00B62635">
        <w:trPr>
          <w:trHeight w:val="340"/>
        </w:trPr>
        <w:tc>
          <w:tcPr>
            <w:tcW w:w="1315" w:type="dxa"/>
          </w:tcPr>
          <w:p w:rsidR="00B62635" w:rsidRPr="00B62635" w:rsidRDefault="00B62635" w:rsidP="00B62635">
            <w:pPr>
              <w:spacing w:afterLines="0" w:after="0" w:line="240" w:lineRule="auto"/>
            </w:pPr>
            <w:r w:rsidRPr="00B62635">
              <w:t>Q4 2011</w:t>
            </w:r>
          </w:p>
        </w:tc>
        <w:tc>
          <w:tcPr>
            <w:tcW w:w="1321" w:type="dxa"/>
          </w:tcPr>
          <w:p w:rsidR="00B62635" w:rsidRPr="00B62635" w:rsidRDefault="00B62635" w:rsidP="00B62635">
            <w:pPr>
              <w:spacing w:afterLines="0" w:after="0" w:line="240" w:lineRule="auto"/>
              <w:jc w:val="center"/>
            </w:pPr>
            <w:r w:rsidRPr="00B62635">
              <w:t>3</w:t>
            </w:r>
          </w:p>
        </w:tc>
        <w:tc>
          <w:tcPr>
            <w:tcW w:w="1321" w:type="dxa"/>
          </w:tcPr>
          <w:p w:rsidR="00B62635" w:rsidRPr="00B62635" w:rsidRDefault="00B62635" w:rsidP="00B62635">
            <w:pPr>
              <w:spacing w:afterLines="0" w:after="0" w:line="240" w:lineRule="auto"/>
              <w:jc w:val="center"/>
            </w:pPr>
            <w:r w:rsidRPr="00B62635">
              <w:t>-</w:t>
            </w:r>
          </w:p>
        </w:tc>
        <w:tc>
          <w:tcPr>
            <w:tcW w:w="1321" w:type="dxa"/>
          </w:tcPr>
          <w:p w:rsidR="00B62635" w:rsidRPr="00B62635" w:rsidRDefault="00B62635" w:rsidP="00B62635">
            <w:pPr>
              <w:spacing w:afterLines="0" w:after="0" w:line="240" w:lineRule="auto"/>
              <w:jc w:val="center"/>
            </w:pPr>
            <w:r w:rsidRPr="00B62635">
              <w:t>-</w:t>
            </w:r>
          </w:p>
        </w:tc>
        <w:tc>
          <w:tcPr>
            <w:tcW w:w="1321" w:type="dxa"/>
          </w:tcPr>
          <w:p w:rsidR="00B62635" w:rsidRPr="00B62635" w:rsidRDefault="00B62635" w:rsidP="00B62635">
            <w:pPr>
              <w:spacing w:afterLines="0" w:after="0" w:line="240" w:lineRule="auto"/>
              <w:jc w:val="center"/>
            </w:pPr>
            <w:r w:rsidRPr="00B62635">
              <w:t>-</w:t>
            </w:r>
          </w:p>
        </w:tc>
        <w:tc>
          <w:tcPr>
            <w:tcW w:w="1321" w:type="dxa"/>
          </w:tcPr>
          <w:p w:rsidR="00B62635" w:rsidRPr="00B62635" w:rsidRDefault="00B62635" w:rsidP="00B62635">
            <w:pPr>
              <w:spacing w:afterLines="0" w:after="0" w:line="240" w:lineRule="auto"/>
              <w:jc w:val="center"/>
            </w:pPr>
            <w:r w:rsidRPr="00B62635">
              <w:t>2</w:t>
            </w:r>
          </w:p>
        </w:tc>
        <w:tc>
          <w:tcPr>
            <w:tcW w:w="1322" w:type="dxa"/>
          </w:tcPr>
          <w:p w:rsidR="00B62635" w:rsidRPr="00B62635" w:rsidRDefault="00B62635" w:rsidP="00B62635">
            <w:pPr>
              <w:spacing w:afterLines="0" w:after="0" w:line="240" w:lineRule="auto"/>
              <w:jc w:val="center"/>
            </w:pPr>
            <w:r w:rsidRPr="00B62635">
              <w:t>5</w:t>
            </w:r>
          </w:p>
        </w:tc>
      </w:tr>
      <w:tr w:rsidR="00B62635" w:rsidRPr="00B62635" w:rsidTr="00B62635">
        <w:trPr>
          <w:trHeight w:val="340"/>
        </w:trPr>
        <w:tc>
          <w:tcPr>
            <w:tcW w:w="1315" w:type="dxa"/>
          </w:tcPr>
          <w:p w:rsidR="00B62635" w:rsidRPr="00B62635" w:rsidRDefault="00B62635" w:rsidP="00B62635">
            <w:pPr>
              <w:spacing w:afterLines="0" w:after="0" w:line="240" w:lineRule="auto"/>
            </w:pPr>
            <w:r w:rsidRPr="00B62635">
              <w:t>Q1 2012</w:t>
            </w:r>
          </w:p>
        </w:tc>
        <w:tc>
          <w:tcPr>
            <w:tcW w:w="1321" w:type="dxa"/>
          </w:tcPr>
          <w:p w:rsidR="00B62635" w:rsidRPr="00B62635" w:rsidRDefault="00B62635" w:rsidP="00B62635">
            <w:pPr>
              <w:spacing w:afterLines="0" w:after="0" w:line="240" w:lineRule="auto"/>
              <w:jc w:val="center"/>
            </w:pPr>
            <w:r w:rsidRPr="00B62635">
              <w:t>3</w:t>
            </w:r>
          </w:p>
        </w:tc>
        <w:tc>
          <w:tcPr>
            <w:tcW w:w="1321" w:type="dxa"/>
          </w:tcPr>
          <w:p w:rsidR="00B62635" w:rsidRPr="00B62635" w:rsidRDefault="00B62635" w:rsidP="00B62635">
            <w:pPr>
              <w:spacing w:afterLines="0" w:after="0" w:line="240" w:lineRule="auto"/>
              <w:jc w:val="center"/>
            </w:pPr>
            <w:r w:rsidRPr="00B62635">
              <w:t>2</w:t>
            </w:r>
          </w:p>
        </w:tc>
        <w:tc>
          <w:tcPr>
            <w:tcW w:w="1321" w:type="dxa"/>
          </w:tcPr>
          <w:p w:rsidR="00B62635" w:rsidRPr="00B62635" w:rsidRDefault="00B62635" w:rsidP="00B62635">
            <w:pPr>
              <w:spacing w:afterLines="0" w:after="0" w:line="240" w:lineRule="auto"/>
              <w:jc w:val="center"/>
            </w:pPr>
            <w:r w:rsidRPr="00B62635">
              <w:t>2</w:t>
            </w:r>
          </w:p>
        </w:tc>
        <w:tc>
          <w:tcPr>
            <w:tcW w:w="1321" w:type="dxa"/>
          </w:tcPr>
          <w:p w:rsidR="00B62635" w:rsidRPr="00B62635" w:rsidRDefault="00B62635" w:rsidP="00B62635">
            <w:pPr>
              <w:spacing w:afterLines="0" w:after="0" w:line="240" w:lineRule="auto"/>
              <w:jc w:val="center"/>
            </w:pPr>
            <w:r w:rsidRPr="00B62635">
              <w:t>2</w:t>
            </w:r>
          </w:p>
        </w:tc>
        <w:tc>
          <w:tcPr>
            <w:tcW w:w="1321" w:type="dxa"/>
          </w:tcPr>
          <w:p w:rsidR="00B62635" w:rsidRPr="00B62635" w:rsidRDefault="00B62635" w:rsidP="00B62635">
            <w:pPr>
              <w:spacing w:afterLines="0" w:after="0" w:line="240" w:lineRule="auto"/>
              <w:jc w:val="center"/>
            </w:pPr>
            <w:r w:rsidRPr="00B62635">
              <w:t>1</w:t>
            </w:r>
          </w:p>
        </w:tc>
        <w:tc>
          <w:tcPr>
            <w:tcW w:w="1322" w:type="dxa"/>
          </w:tcPr>
          <w:p w:rsidR="00B62635" w:rsidRPr="00B62635" w:rsidRDefault="00B62635" w:rsidP="00B62635">
            <w:pPr>
              <w:spacing w:afterLines="0" w:after="0" w:line="240" w:lineRule="auto"/>
              <w:jc w:val="center"/>
            </w:pPr>
            <w:r w:rsidRPr="00B62635">
              <w:t>10</w:t>
            </w:r>
          </w:p>
        </w:tc>
      </w:tr>
      <w:tr w:rsidR="00B62635" w:rsidRPr="00B62635" w:rsidTr="00B62635">
        <w:trPr>
          <w:trHeight w:val="340"/>
        </w:trPr>
        <w:tc>
          <w:tcPr>
            <w:tcW w:w="1315" w:type="dxa"/>
          </w:tcPr>
          <w:p w:rsidR="00B62635" w:rsidRPr="00B62635" w:rsidRDefault="00B62635" w:rsidP="00B62635">
            <w:pPr>
              <w:spacing w:afterLines="0" w:after="0" w:line="240" w:lineRule="auto"/>
            </w:pPr>
            <w:r w:rsidRPr="00B62635">
              <w:t>Q2 2012</w:t>
            </w:r>
          </w:p>
        </w:tc>
        <w:tc>
          <w:tcPr>
            <w:tcW w:w="1321" w:type="dxa"/>
          </w:tcPr>
          <w:p w:rsidR="00B62635" w:rsidRPr="00B62635" w:rsidRDefault="00B62635" w:rsidP="00B62635">
            <w:pPr>
              <w:spacing w:afterLines="0" w:after="0" w:line="240" w:lineRule="auto"/>
              <w:jc w:val="center"/>
            </w:pPr>
            <w:r w:rsidRPr="00B62635">
              <w:t>4</w:t>
            </w:r>
          </w:p>
        </w:tc>
        <w:tc>
          <w:tcPr>
            <w:tcW w:w="1321" w:type="dxa"/>
          </w:tcPr>
          <w:p w:rsidR="00B62635" w:rsidRPr="00B62635" w:rsidRDefault="00B62635" w:rsidP="00B62635">
            <w:pPr>
              <w:spacing w:afterLines="0" w:after="0" w:line="240" w:lineRule="auto"/>
              <w:jc w:val="center"/>
            </w:pPr>
            <w:r w:rsidRPr="00B62635">
              <w:t>2</w:t>
            </w:r>
          </w:p>
        </w:tc>
        <w:tc>
          <w:tcPr>
            <w:tcW w:w="1321" w:type="dxa"/>
          </w:tcPr>
          <w:p w:rsidR="00B62635" w:rsidRPr="00B62635" w:rsidRDefault="00B62635" w:rsidP="00B62635">
            <w:pPr>
              <w:spacing w:afterLines="0" w:after="0" w:line="240" w:lineRule="auto"/>
              <w:jc w:val="center"/>
            </w:pPr>
            <w:r w:rsidRPr="00B62635">
              <w:t>-</w:t>
            </w:r>
          </w:p>
        </w:tc>
        <w:tc>
          <w:tcPr>
            <w:tcW w:w="1321" w:type="dxa"/>
          </w:tcPr>
          <w:p w:rsidR="00B62635" w:rsidRPr="00B62635" w:rsidRDefault="00B62635" w:rsidP="00B62635">
            <w:pPr>
              <w:spacing w:afterLines="0" w:after="0" w:line="240" w:lineRule="auto"/>
              <w:jc w:val="center"/>
            </w:pPr>
            <w:r w:rsidRPr="00B62635">
              <w:t>1</w:t>
            </w:r>
          </w:p>
        </w:tc>
        <w:tc>
          <w:tcPr>
            <w:tcW w:w="1321" w:type="dxa"/>
          </w:tcPr>
          <w:p w:rsidR="00B62635" w:rsidRPr="00B62635" w:rsidRDefault="00B62635" w:rsidP="00B62635">
            <w:pPr>
              <w:spacing w:afterLines="0" w:after="0" w:line="240" w:lineRule="auto"/>
              <w:jc w:val="center"/>
            </w:pPr>
            <w:r w:rsidRPr="00B62635">
              <w:t>-</w:t>
            </w:r>
          </w:p>
        </w:tc>
        <w:tc>
          <w:tcPr>
            <w:tcW w:w="1322" w:type="dxa"/>
          </w:tcPr>
          <w:p w:rsidR="00B62635" w:rsidRPr="00B62635" w:rsidRDefault="00B62635" w:rsidP="00B62635">
            <w:pPr>
              <w:spacing w:afterLines="0" w:after="0" w:line="240" w:lineRule="auto"/>
              <w:jc w:val="center"/>
            </w:pPr>
            <w:r w:rsidRPr="00B62635">
              <w:t>7</w:t>
            </w:r>
          </w:p>
        </w:tc>
      </w:tr>
      <w:tr w:rsidR="00B62635" w:rsidRPr="00B62635" w:rsidTr="00B62635">
        <w:trPr>
          <w:trHeight w:val="340"/>
        </w:trPr>
        <w:tc>
          <w:tcPr>
            <w:tcW w:w="1315" w:type="dxa"/>
          </w:tcPr>
          <w:p w:rsidR="00B62635" w:rsidRPr="00B62635" w:rsidRDefault="00B62635" w:rsidP="00B62635">
            <w:pPr>
              <w:spacing w:afterLines="0" w:after="0" w:line="240" w:lineRule="auto"/>
            </w:pPr>
            <w:r w:rsidRPr="00B62635">
              <w:t>Q3 2012</w:t>
            </w:r>
          </w:p>
        </w:tc>
        <w:tc>
          <w:tcPr>
            <w:tcW w:w="1321" w:type="dxa"/>
          </w:tcPr>
          <w:p w:rsidR="00B62635" w:rsidRPr="00B62635" w:rsidRDefault="00B62635" w:rsidP="00B62635">
            <w:pPr>
              <w:spacing w:afterLines="0" w:after="0" w:line="240" w:lineRule="auto"/>
              <w:jc w:val="center"/>
            </w:pPr>
            <w:r w:rsidRPr="00B62635">
              <w:t>3</w:t>
            </w:r>
          </w:p>
        </w:tc>
        <w:tc>
          <w:tcPr>
            <w:tcW w:w="1321" w:type="dxa"/>
          </w:tcPr>
          <w:p w:rsidR="00B62635" w:rsidRPr="00B62635" w:rsidRDefault="00B62635" w:rsidP="00B62635">
            <w:pPr>
              <w:spacing w:afterLines="0" w:after="0" w:line="240" w:lineRule="auto"/>
              <w:jc w:val="center"/>
            </w:pPr>
            <w:r w:rsidRPr="00B62635">
              <w:t>2</w:t>
            </w:r>
          </w:p>
        </w:tc>
        <w:tc>
          <w:tcPr>
            <w:tcW w:w="1321" w:type="dxa"/>
          </w:tcPr>
          <w:p w:rsidR="00B62635" w:rsidRPr="00B62635" w:rsidRDefault="00B62635" w:rsidP="00B62635">
            <w:pPr>
              <w:spacing w:afterLines="0" w:after="0" w:line="240" w:lineRule="auto"/>
              <w:jc w:val="center"/>
            </w:pPr>
            <w:r w:rsidRPr="00B62635">
              <w:t>2</w:t>
            </w:r>
          </w:p>
        </w:tc>
        <w:tc>
          <w:tcPr>
            <w:tcW w:w="1321" w:type="dxa"/>
          </w:tcPr>
          <w:p w:rsidR="00B62635" w:rsidRPr="00B62635" w:rsidRDefault="00B62635" w:rsidP="00B62635">
            <w:pPr>
              <w:spacing w:afterLines="0" w:after="0" w:line="240" w:lineRule="auto"/>
              <w:jc w:val="center"/>
            </w:pPr>
            <w:r w:rsidRPr="00B62635">
              <w:t>-</w:t>
            </w:r>
          </w:p>
        </w:tc>
        <w:tc>
          <w:tcPr>
            <w:tcW w:w="1321" w:type="dxa"/>
          </w:tcPr>
          <w:p w:rsidR="00B62635" w:rsidRPr="00B62635" w:rsidRDefault="00B62635" w:rsidP="00B62635">
            <w:pPr>
              <w:spacing w:afterLines="0" w:after="0" w:line="240" w:lineRule="auto"/>
              <w:jc w:val="center"/>
            </w:pPr>
            <w:r w:rsidRPr="00B62635">
              <w:t>1</w:t>
            </w:r>
          </w:p>
        </w:tc>
        <w:tc>
          <w:tcPr>
            <w:tcW w:w="1322" w:type="dxa"/>
          </w:tcPr>
          <w:p w:rsidR="00B62635" w:rsidRPr="00B62635" w:rsidRDefault="00B62635" w:rsidP="00B62635">
            <w:pPr>
              <w:spacing w:afterLines="0" w:after="0" w:line="240" w:lineRule="auto"/>
              <w:jc w:val="center"/>
            </w:pPr>
            <w:r w:rsidRPr="00B62635">
              <w:t>8</w:t>
            </w:r>
          </w:p>
        </w:tc>
      </w:tr>
      <w:tr w:rsidR="00B62635" w:rsidRPr="00B62635" w:rsidTr="00B62635">
        <w:trPr>
          <w:trHeight w:val="340"/>
        </w:trPr>
        <w:tc>
          <w:tcPr>
            <w:tcW w:w="1315" w:type="dxa"/>
          </w:tcPr>
          <w:p w:rsidR="00B62635" w:rsidRPr="00B62635" w:rsidRDefault="00B62635" w:rsidP="00B62635">
            <w:pPr>
              <w:spacing w:afterLines="0" w:after="0" w:line="240" w:lineRule="auto"/>
            </w:pPr>
            <w:r w:rsidRPr="00B62635">
              <w:t>Q4 2012</w:t>
            </w:r>
          </w:p>
        </w:tc>
        <w:tc>
          <w:tcPr>
            <w:tcW w:w="1321" w:type="dxa"/>
          </w:tcPr>
          <w:p w:rsidR="00B62635" w:rsidRPr="00B62635" w:rsidRDefault="00B62635" w:rsidP="00B62635">
            <w:pPr>
              <w:spacing w:afterLines="0" w:after="0" w:line="240" w:lineRule="auto"/>
              <w:jc w:val="center"/>
            </w:pPr>
            <w:r w:rsidRPr="00B62635">
              <w:t>1</w:t>
            </w:r>
          </w:p>
        </w:tc>
        <w:tc>
          <w:tcPr>
            <w:tcW w:w="1321" w:type="dxa"/>
          </w:tcPr>
          <w:p w:rsidR="00B62635" w:rsidRPr="00B62635" w:rsidRDefault="00B62635" w:rsidP="00B62635">
            <w:pPr>
              <w:spacing w:afterLines="0" w:after="0" w:line="240" w:lineRule="auto"/>
              <w:jc w:val="center"/>
            </w:pPr>
            <w:r w:rsidRPr="00B62635">
              <w:t>7</w:t>
            </w:r>
          </w:p>
        </w:tc>
        <w:tc>
          <w:tcPr>
            <w:tcW w:w="1321" w:type="dxa"/>
          </w:tcPr>
          <w:p w:rsidR="00B62635" w:rsidRPr="00B62635" w:rsidRDefault="00B62635" w:rsidP="00B62635">
            <w:pPr>
              <w:spacing w:afterLines="0" w:after="0" w:line="240" w:lineRule="auto"/>
              <w:jc w:val="center"/>
            </w:pPr>
            <w:r w:rsidRPr="00B62635">
              <w:t>1</w:t>
            </w:r>
          </w:p>
        </w:tc>
        <w:tc>
          <w:tcPr>
            <w:tcW w:w="1321" w:type="dxa"/>
          </w:tcPr>
          <w:p w:rsidR="00B62635" w:rsidRPr="00B62635" w:rsidRDefault="00B62635" w:rsidP="00B62635">
            <w:pPr>
              <w:spacing w:afterLines="0" w:after="0" w:line="240" w:lineRule="auto"/>
              <w:jc w:val="center"/>
            </w:pPr>
            <w:r w:rsidRPr="00B62635">
              <w:t>1</w:t>
            </w:r>
          </w:p>
        </w:tc>
        <w:tc>
          <w:tcPr>
            <w:tcW w:w="1321" w:type="dxa"/>
          </w:tcPr>
          <w:p w:rsidR="00B62635" w:rsidRPr="00B62635" w:rsidRDefault="00B62635" w:rsidP="00B62635">
            <w:pPr>
              <w:spacing w:afterLines="0" w:after="0" w:line="240" w:lineRule="auto"/>
              <w:jc w:val="center"/>
            </w:pPr>
            <w:r w:rsidRPr="00B62635">
              <w:t>2</w:t>
            </w:r>
          </w:p>
        </w:tc>
        <w:tc>
          <w:tcPr>
            <w:tcW w:w="1322" w:type="dxa"/>
          </w:tcPr>
          <w:p w:rsidR="00B62635" w:rsidRPr="00B62635" w:rsidRDefault="00B62635" w:rsidP="00B62635">
            <w:pPr>
              <w:spacing w:afterLines="0" w:after="0" w:line="240" w:lineRule="auto"/>
              <w:jc w:val="center"/>
            </w:pPr>
            <w:r w:rsidRPr="00B62635">
              <w:t>12</w:t>
            </w:r>
          </w:p>
        </w:tc>
      </w:tr>
      <w:tr w:rsidR="00B62635" w:rsidRPr="00B62635" w:rsidTr="00B62635">
        <w:trPr>
          <w:trHeight w:val="340"/>
        </w:trPr>
        <w:tc>
          <w:tcPr>
            <w:tcW w:w="1315" w:type="dxa"/>
          </w:tcPr>
          <w:p w:rsidR="00B62635" w:rsidRPr="00B62635" w:rsidRDefault="00B62635" w:rsidP="00B62635">
            <w:pPr>
              <w:spacing w:afterLines="0" w:after="0" w:line="240" w:lineRule="auto"/>
            </w:pPr>
            <w:r w:rsidRPr="00B62635">
              <w:t>Q1 2013</w:t>
            </w:r>
          </w:p>
        </w:tc>
        <w:tc>
          <w:tcPr>
            <w:tcW w:w="1321" w:type="dxa"/>
          </w:tcPr>
          <w:p w:rsidR="00B62635" w:rsidRPr="00B62635" w:rsidRDefault="00B62635" w:rsidP="00B62635">
            <w:pPr>
              <w:spacing w:afterLines="0" w:after="0" w:line="240" w:lineRule="auto"/>
              <w:jc w:val="center"/>
            </w:pPr>
            <w:r w:rsidRPr="00B62635">
              <w:t>13</w:t>
            </w:r>
          </w:p>
        </w:tc>
        <w:tc>
          <w:tcPr>
            <w:tcW w:w="1321" w:type="dxa"/>
          </w:tcPr>
          <w:p w:rsidR="00B62635" w:rsidRPr="00B62635" w:rsidRDefault="00B62635" w:rsidP="00B62635">
            <w:pPr>
              <w:spacing w:afterLines="0" w:after="0" w:line="240" w:lineRule="auto"/>
              <w:jc w:val="center"/>
            </w:pPr>
            <w:r w:rsidRPr="00B62635">
              <w:t>0</w:t>
            </w:r>
          </w:p>
        </w:tc>
        <w:tc>
          <w:tcPr>
            <w:tcW w:w="1321" w:type="dxa"/>
          </w:tcPr>
          <w:p w:rsidR="00B62635" w:rsidRPr="00B62635" w:rsidRDefault="00B62635" w:rsidP="00B62635">
            <w:pPr>
              <w:spacing w:afterLines="0" w:after="0" w:line="240" w:lineRule="auto"/>
              <w:jc w:val="center"/>
            </w:pPr>
            <w:r w:rsidRPr="00B62635">
              <w:t>3</w:t>
            </w:r>
          </w:p>
        </w:tc>
        <w:tc>
          <w:tcPr>
            <w:tcW w:w="1321" w:type="dxa"/>
          </w:tcPr>
          <w:p w:rsidR="00B62635" w:rsidRPr="00B62635" w:rsidRDefault="00B62635" w:rsidP="00B62635">
            <w:pPr>
              <w:spacing w:afterLines="0" w:after="0" w:line="240" w:lineRule="auto"/>
              <w:jc w:val="center"/>
            </w:pPr>
            <w:r w:rsidRPr="00B62635">
              <w:t>-</w:t>
            </w:r>
          </w:p>
        </w:tc>
        <w:tc>
          <w:tcPr>
            <w:tcW w:w="1321" w:type="dxa"/>
          </w:tcPr>
          <w:p w:rsidR="00B62635" w:rsidRPr="00B62635" w:rsidRDefault="00B62635" w:rsidP="00B62635">
            <w:pPr>
              <w:spacing w:afterLines="0" w:after="0" w:line="240" w:lineRule="auto"/>
              <w:jc w:val="center"/>
            </w:pPr>
            <w:r w:rsidRPr="00B62635">
              <w:t>2</w:t>
            </w:r>
          </w:p>
        </w:tc>
        <w:tc>
          <w:tcPr>
            <w:tcW w:w="1322" w:type="dxa"/>
          </w:tcPr>
          <w:p w:rsidR="00B62635" w:rsidRPr="00B62635" w:rsidRDefault="00B62635" w:rsidP="00B62635">
            <w:pPr>
              <w:spacing w:afterLines="0" w:after="0" w:line="240" w:lineRule="auto"/>
              <w:jc w:val="center"/>
            </w:pPr>
            <w:r w:rsidRPr="00B62635">
              <w:t>18</w:t>
            </w:r>
          </w:p>
        </w:tc>
      </w:tr>
      <w:tr w:rsidR="00B62635" w:rsidRPr="00B62635" w:rsidTr="00B62635">
        <w:trPr>
          <w:trHeight w:val="340"/>
        </w:trPr>
        <w:tc>
          <w:tcPr>
            <w:tcW w:w="1315" w:type="dxa"/>
          </w:tcPr>
          <w:p w:rsidR="00B62635" w:rsidRPr="00B62635" w:rsidRDefault="00B62635" w:rsidP="00B62635">
            <w:pPr>
              <w:spacing w:afterLines="0" w:after="0" w:line="240" w:lineRule="auto"/>
            </w:pPr>
            <w:r w:rsidRPr="00B62635">
              <w:t>Q2 2013</w:t>
            </w:r>
          </w:p>
        </w:tc>
        <w:tc>
          <w:tcPr>
            <w:tcW w:w="1321" w:type="dxa"/>
          </w:tcPr>
          <w:p w:rsidR="00B62635" w:rsidRPr="00B62635" w:rsidRDefault="00B62635" w:rsidP="00B62635">
            <w:pPr>
              <w:spacing w:afterLines="0" w:after="0" w:line="240" w:lineRule="auto"/>
              <w:jc w:val="center"/>
            </w:pPr>
            <w:r w:rsidRPr="00B62635">
              <w:t>8</w:t>
            </w:r>
          </w:p>
        </w:tc>
        <w:tc>
          <w:tcPr>
            <w:tcW w:w="1321" w:type="dxa"/>
          </w:tcPr>
          <w:p w:rsidR="00B62635" w:rsidRPr="00B62635" w:rsidRDefault="00B62635" w:rsidP="00B62635">
            <w:pPr>
              <w:spacing w:afterLines="0" w:after="0" w:line="240" w:lineRule="auto"/>
              <w:jc w:val="center"/>
            </w:pPr>
            <w:r w:rsidRPr="00B62635">
              <w:t>3</w:t>
            </w:r>
          </w:p>
        </w:tc>
        <w:tc>
          <w:tcPr>
            <w:tcW w:w="1321" w:type="dxa"/>
          </w:tcPr>
          <w:p w:rsidR="00B62635" w:rsidRPr="00B62635" w:rsidRDefault="00B62635" w:rsidP="00B62635">
            <w:pPr>
              <w:spacing w:afterLines="0" w:after="0" w:line="240" w:lineRule="auto"/>
              <w:jc w:val="center"/>
            </w:pPr>
            <w:r w:rsidRPr="00B62635">
              <w:t>-</w:t>
            </w:r>
          </w:p>
        </w:tc>
        <w:tc>
          <w:tcPr>
            <w:tcW w:w="1321" w:type="dxa"/>
          </w:tcPr>
          <w:p w:rsidR="00B62635" w:rsidRPr="00B62635" w:rsidRDefault="00B62635" w:rsidP="00B62635">
            <w:pPr>
              <w:spacing w:afterLines="0" w:after="0" w:line="240" w:lineRule="auto"/>
              <w:jc w:val="center"/>
            </w:pPr>
            <w:r w:rsidRPr="00B62635">
              <w:t>1</w:t>
            </w:r>
          </w:p>
        </w:tc>
        <w:tc>
          <w:tcPr>
            <w:tcW w:w="1321" w:type="dxa"/>
          </w:tcPr>
          <w:p w:rsidR="00B62635" w:rsidRPr="00B62635" w:rsidRDefault="00B62635" w:rsidP="00B62635">
            <w:pPr>
              <w:spacing w:afterLines="0" w:after="0" w:line="240" w:lineRule="auto"/>
              <w:jc w:val="center"/>
            </w:pPr>
            <w:r w:rsidRPr="00B62635">
              <w:t>3</w:t>
            </w:r>
          </w:p>
        </w:tc>
        <w:tc>
          <w:tcPr>
            <w:tcW w:w="1322" w:type="dxa"/>
          </w:tcPr>
          <w:p w:rsidR="00B62635" w:rsidRPr="00B62635" w:rsidRDefault="00B62635" w:rsidP="00B62635">
            <w:pPr>
              <w:spacing w:afterLines="0" w:after="0" w:line="240" w:lineRule="auto"/>
              <w:jc w:val="center"/>
            </w:pPr>
            <w:r w:rsidRPr="00B62635">
              <w:t>15</w:t>
            </w:r>
          </w:p>
        </w:tc>
      </w:tr>
      <w:tr w:rsidR="00B62635" w:rsidRPr="00B62635" w:rsidTr="00B62635">
        <w:trPr>
          <w:trHeight w:val="340"/>
        </w:trPr>
        <w:tc>
          <w:tcPr>
            <w:tcW w:w="1315" w:type="dxa"/>
          </w:tcPr>
          <w:p w:rsidR="00B62635" w:rsidRPr="00B62635" w:rsidRDefault="00B62635" w:rsidP="00B62635">
            <w:pPr>
              <w:spacing w:afterLines="0" w:after="0" w:line="240" w:lineRule="auto"/>
            </w:pPr>
            <w:r w:rsidRPr="00B62635">
              <w:t>Q 3 2013</w:t>
            </w:r>
          </w:p>
        </w:tc>
        <w:tc>
          <w:tcPr>
            <w:tcW w:w="1321" w:type="dxa"/>
          </w:tcPr>
          <w:p w:rsidR="00B62635" w:rsidRPr="00B62635" w:rsidRDefault="00B62635" w:rsidP="00B62635">
            <w:pPr>
              <w:spacing w:afterLines="0" w:after="0" w:line="240" w:lineRule="auto"/>
              <w:jc w:val="center"/>
            </w:pPr>
            <w:r w:rsidRPr="00B62635">
              <w:t>8</w:t>
            </w:r>
          </w:p>
        </w:tc>
        <w:tc>
          <w:tcPr>
            <w:tcW w:w="1321" w:type="dxa"/>
          </w:tcPr>
          <w:p w:rsidR="00B62635" w:rsidRPr="00B62635" w:rsidRDefault="00B62635" w:rsidP="00B62635">
            <w:pPr>
              <w:spacing w:afterLines="0" w:after="0" w:line="240" w:lineRule="auto"/>
              <w:jc w:val="center"/>
            </w:pPr>
            <w:r w:rsidRPr="00B62635">
              <w:t>1</w:t>
            </w:r>
          </w:p>
        </w:tc>
        <w:tc>
          <w:tcPr>
            <w:tcW w:w="1321" w:type="dxa"/>
          </w:tcPr>
          <w:p w:rsidR="00B62635" w:rsidRPr="00B62635" w:rsidRDefault="00B62635" w:rsidP="00B62635">
            <w:pPr>
              <w:spacing w:afterLines="0" w:after="0" w:line="240" w:lineRule="auto"/>
              <w:jc w:val="center"/>
            </w:pPr>
            <w:r w:rsidRPr="00B62635">
              <w:t>-</w:t>
            </w:r>
          </w:p>
        </w:tc>
        <w:tc>
          <w:tcPr>
            <w:tcW w:w="1321" w:type="dxa"/>
          </w:tcPr>
          <w:p w:rsidR="00B62635" w:rsidRPr="00B62635" w:rsidRDefault="00B62635" w:rsidP="00B62635">
            <w:pPr>
              <w:spacing w:afterLines="0" w:after="0" w:line="240" w:lineRule="auto"/>
              <w:jc w:val="center"/>
            </w:pPr>
            <w:r w:rsidRPr="00B62635">
              <w:t>2</w:t>
            </w:r>
          </w:p>
        </w:tc>
        <w:tc>
          <w:tcPr>
            <w:tcW w:w="1321" w:type="dxa"/>
          </w:tcPr>
          <w:p w:rsidR="00B62635" w:rsidRPr="00B62635" w:rsidRDefault="00B62635" w:rsidP="00B62635">
            <w:pPr>
              <w:spacing w:afterLines="0" w:after="0" w:line="240" w:lineRule="auto"/>
              <w:jc w:val="center"/>
            </w:pPr>
            <w:r w:rsidRPr="00B62635">
              <w:t>1</w:t>
            </w:r>
          </w:p>
        </w:tc>
        <w:tc>
          <w:tcPr>
            <w:tcW w:w="1322" w:type="dxa"/>
          </w:tcPr>
          <w:p w:rsidR="00B62635" w:rsidRPr="00B62635" w:rsidRDefault="00B62635" w:rsidP="00B62635">
            <w:pPr>
              <w:spacing w:afterLines="0" w:after="0" w:line="240" w:lineRule="auto"/>
              <w:jc w:val="center"/>
            </w:pPr>
            <w:r w:rsidRPr="00B62635">
              <w:t>12</w:t>
            </w:r>
          </w:p>
        </w:tc>
      </w:tr>
      <w:tr w:rsidR="00B62635" w:rsidRPr="00B62635" w:rsidTr="00B62635">
        <w:trPr>
          <w:trHeight w:val="340"/>
        </w:trPr>
        <w:tc>
          <w:tcPr>
            <w:tcW w:w="1315" w:type="dxa"/>
          </w:tcPr>
          <w:p w:rsidR="00B62635" w:rsidRPr="00B62635" w:rsidRDefault="00B62635" w:rsidP="00B62635">
            <w:pPr>
              <w:spacing w:afterLines="0" w:after="0" w:line="240" w:lineRule="auto"/>
            </w:pPr>
            <w:r w:rsidRPr="00B62635">
              <w:t>Q4 2013</w:t>
            </w:r>
          </w:p>
        </w:tc>
        <w:tc>
          <w:tcPr>
            <w:tcW w:w="1321" w:type="dxa"/>
          </w:tcPr>
          <w:p w:rsidR="00B62635" w:rsidRPr="00B62635" w:rsidRDefault="00B62635" w:rsidP="00B62635">
            <w:pPr>
              <w:spacing w:afterLines="0" w:after="0" w:line="240" w:lineRule="auto"/>
              <w:jc w:val="center"/>
            </w:pPr>
            <w:r w:rsidRPr="00B62635">
              <w:t>5</w:t>
            </w:r>
          </w:p>
        </w:tc>
        <w:tc>
          <w:tcPr>
            <w:tcW w:w="1321" w:type="dxa"/>
          </w:tcPr>
          <w:p w:rsidR="00B62635" w:rsidRPr="00B62635" w:rsidRDefault="00B62635" w:rsidP="00B62635">
            <w:pPr>
              <w:spacing w:afterLines="0" w:after="0" w:line="240" w:lineRule="auto"/>
              <w:jc w:val="center"/>
            </w:pPr>
            <w:r w:rsidRPr="00B62635">
              <w:t>3</w:t>
            </w:r>
          </w:p>
        </w:tc>
        <w:tc>
          <w:tcPr>
            <w:tcW w:w="1321" w:type="dxa"/>
          </w:tcPr>
          <w:p w:rsidR="00B62635" w:rsidRPr="00B62635" w:rsidRDefault="00B62635" w:rsidP="00B62635">
            <w:pPr>
              <w:spacing w:afterLines="0" w:after="0" w:line="240" w:lineRule="auto"/>
              <w:jc w:val="center"/>
            </w:pPr>
            <w:r w:rsidRPr="00B62635">
              <w:t>-</w:t>
            </w:r>
          </w:p>
        </w:tc>
        <w:tc>
          <w:tcPr>
            <w:tcW w:w="1321" w:type="dxa"/>
          </w:tcPr>
          <w:p w:rsidR="00B62635" w:rsidRPr="00B62635" w:rsidRDefault="00B62635" w:rsidP="00B62635">
            <w:pPr>
              <w:spacing w:afterLines="0" w:after="0" w:line="240" w:lineRule="auto"/>
              <w:jc w:val="center"/>
            </w:pPr>
            <w:r w:rsidRPr="00B62635">
              <w:t>3</w:t>
            </w:r>
          </w:p>
        </w:tc>
        <w:tc>
          <w:tcPr>
            <w:tcW w:w="1321" w:type="dxa"/>
          </w:tcPr>
          <w:p w:rsidR="00B62635" w:rsidRPr="00B62635" w:rsidRDefault="00B62635" w:rsidP="00B62635">
            <w:pPr>
              <w:spacing w:afterLines="0" w:after="0" w:line="240" w:lineRule="auto"/>
              <w:jc w:val="center"/>
            </w:pPr>
            <w:r w:rsidRPr="00B62635">
              <w:t>5</w:t>
            </w:r>
          </w:p>
        </w:tc>
        <w:tc>
          <w:tcPr>
            <w:tcW w:w="1322" w:type="dxa"/>
          </w:tcPr>
          <w:p w:rsidR="00B62635" w:rsidRPr="00B62635" w:rsidRDefault="00B62635" w:rsidP="00B62635">
            <w:pPr>
              <w:spacing w:afterLines="0" w:after="0" w:line="240" w:lineRule="auto"/>
              <w:jc w:val="center"/>
            </w:pPr>
            <w:r w:rsidRPr="00B62635">
              <w:t>16</w:t>
            </w:r>
          </w:p>
        </w:tc>
      </w:tr>
      <w:tr w:rsidR="00B62635" w:rsidRPr="00B62635" w:rsidTr="00B62635">
        <w:trPr>
          <w:trHeight w:val="340"/>
        </w:trPr>
        <w:tc>
          <w:tcPr>
            <w:tcW w:w="1315" w:type="dxa"/>
          </w:tcPr>
          <w:p w:rsidR="00B62635" w:rsidRPr="00B62635" w:rsidRDefault="00B62635" w:rsidP="00B62635">
            <w:pPr>
              <w:spacing w:afterLines="0" w:after="0" w:line="240" w:lineRule="auto"/>
            </w:pPr>
            <w:r w:rsidRPr="00B62635">
              <w:t>Q1 2014</w:t>
            </w:r>
          </w:p>
        </w:tc>
        <w:tc>
          <w:tcPr>
            <w:tcW w:w="1321" w:type="dxa"/>
          </w:tcPr>
          <w:p w:rsidR="00B62635" w:rsidRPr="00B62635" w:rsidRDefault="00B62635" w:rsidP="00B62635">
            <w:pPr>
              <w:spacing w:afterLines="0" w:after="0" w:line="240" w:lineRule="auto"/>
              <w:jc w:val="center"/>
            </w:pPr>
            <w:r w:rsidRPr="00B62635">
              <w:t>5</w:t>
            </w:r>
          </w:p>
        </w:tc>
        <w:tc>
          <w:tcPr>
            <w:tcW w:w="1321" w:type="dxa"/>
          </w:tcPr>
          <w:p w:rsidR="00B62635" w:rsidRPr="00B62635" w:rsidRDefault="00B62635" w:rsidP="00B62635">
            <w:pPr>
              <w:spacing w:afterLines="0" w:after="0" w:line="240" w:lineRule="auto"/>
              <w:jc w:val="center"/>
            </w:pPr>
            <w:r w:rsidRPr="00B62635">
              <w:t>-</w:t>
            </w:r>
          </w:p>
        </w:tc>
        <w:tc>
          <w:tcPr>
            <w:tcW w:w="1321" w:type="dxa"/>
          </w:tcPr>
          <w:p w:rsidR="00B62635" w:rsidRPr="00B62635" w:rsidRDefault="00B62635" w:rsidP="00B62635">
            <w:pPr>
              <w:spacing w:afterLines="0" w:after="0" w:line="240" w:lineRule="auto"/>
              <w:jc w:val="center"/>
            </w:pPr>
            <w:r w:rsidRPr="00B62635">
              <w:t>1</w:t>
            </w:r>
          </w:p>
        </w:tc>
        <w:tc>
          <w:tcPr>
            <w:tcW w:w="1321" w:type="dxa"/>
          </w:tcPr>
          <w:p w:rsidR="00B62635" w:rsidRPr="00B62635" w:rsidRDefault="00B62635" w:rsidP="00B62635">
            <w:pPr>
              <w:spacing w:afterLines="0" w:after="0" w:line="240" w:lineRule="auto"/>
              <w:jc w:val="center"/>
            </w:pPr>
            <w:r w:rsidRPr="00B62635">
              <w:t>1</w:t>
            </w:r>
          </w:p>
        </w:tc>
        <w:tc>
          <w:tcPr>
            <w:tcW w:w="1321" w:type="dxa"/>
          </w:tcPr>
          <w:p w:rsidR="00B62635" w:rsidRPr="00B62635" w:rsidRDefault="00B62635" w:rsidP="00B62635">
            <w:pPr>
              <w:spacing w:afterLines="0" w:after="0" w:line="240" w:lineRule="auto"/>
              <w:jc w:val="center"/>
            </w:pPr>
            <w:r w:rsidRPr="00B62635">
              <w:t>1</w:t>
            </w:r>
          </w:p>
        </w:tc>
        <w:tc>
          <w:tcPr>
            <w:tcW w:w="1322" w:type="dxa"/>
          </w:tcPr>
          <w:p w:rsidR="00B62635" w:rsidRPr="00B62635" w:rsidRDefault="00B62635" w:rsidP="00B62635">
            <w:pPr>
              <w:spacing w:afterLines="0" w:after="0" w:line="240" w:lineRule="auto"/>
              <w:jc w:val="center"/>
            </w:pPr>
            <w:r w:rsidRPr="00B62635">
              <w:t>8</w:t>
            </w:r>
          </w:p>
        </w:tc>
      </w:tr>
      <w:tr w:rsidR="00B62635" w:rsidRPr="00B62635" w:rsidTr="00B62635">
        <w:trPr>
          <w:trHeight w:val="340"/>
        </w:trPr>
        <w:tc>
          <w:tcPr>
            <w:tcW w:w="1315" w:type="dxa"/>
          </w:tcPr>
          <w:p w:rsidR="00B62635" w:rsidRPr="00B62635" w:rsidRDefault="00B62635" w:rsidP="00B62635">
            <w:pPr>
              <w:spacing w:afterLines="0" w:after="0" w:line="240" w:lineRule="auto"/>
            </w:pPr>
            <w:r w:rsidRPr="00B62635">
              <w:t>Q2 2014</w:t>
            </w:r>
          </w:p>
        </w:tc>
        <w:tc>
          <w:tcPr>
            <w:tcW w:w="1321" w:type="dxa"/>
          </w:tcPr>
          <w:p w:rsidR="00B62635" w:rsidRPr="00B62635" w:rsidRDefault="00B62635" w:rsidP="00B62635">
            <w:pPr>
              <w:spacing w:afterLines="0" w:after="0" w:line="240" w:lineRule="auto"/>
              <w:jc w:val="center"/>
            </w:pPr>
            <w:r w:rsidRPr="00B62635">
              <w:t>3</w:t>
            </w:r>
          </w:p>
        </w:tc>
        <w:tc>
          <w:tcPr>
            <w:tcW w:w="1321" w:type="dxa"/>
          </w:tcPr>
          <w:p w:rsidR="00B62635" w:rsidRPr="00B62635" w:rsidRDefault="00B62635" w:rsidP="00B62635">
            <w:pPr>
              <w:spacing w:afterLines="0" w:after="0" w:line="240" w:lineRule="auto"/>
              <w:jc w:val="center"/>
            </w:pPr>
            <w:r w:rsidRPr="00B62635">
              <w:t>6</w:t>
            </w:r>
          </w:p>
        </w:tc>
        <w:tc>
          <w:tcPr>
            <w:tcW w:w="1321" w:type="dxa"/>
          </w:tcPr>
          <w:p w:rsidR="00B62635" w:rsidRPr="00B62635" w:rsidRDefault="00B62635" w:rsidP="00B62635">
            <w:pPr>
              <w:spacing w:afterLines="0" w:after="0" w:line="240" w:lineRule="auto"/>
              <w:jc w:val="center"/>
            </w:pPr>
            <w:r w:rsidRPr="00B62635">
              <w:t>1</w:t>
            </w:r>
          </w:p>
        </w:tc>
        <w:tc>
          <w:tcPr>
            <w:tcW w:w="1321" w:type="dxa"/>
          </w:tcPr>
          <w:p w:rsidR="00B62635" w:rsidRPr="00B62635" w:rsidRDefault="00B62635" w:rsidP="00B62635">
            <w:pPr>
              <w:spacing w:afterLines="0" w:after="0" w:line="240" w:lineRule="auto"/>
              <w:jc w:val="center"/>
            </w:pPr>
            <w:r w:rsidRPr="00B62635">
              <w:t>1</w:t>
            </w:r>
          </w:p>
        </w:tc>
        <w:tc>
          <w:tcPr>
            <w:tcW w:w="1321" w:type="dxa"/>
          </w:tcPr>
          <w:p w:rsidR="00B62635" w:rsidRPr="00B62635" w:rsidRDefault="00B62635" w:rsidP="00B62635">
            <w:pPr>
              <w:spacing w:afterLines="0" w:after="0" w:line="240" w:lineRule="auto"/>
              <w:jc w:val="center"/>
            </w:pPr>
            <w:r w:rsidRPr="00B62635">
              <w:t>2</w:t>
            </w:r>
          </w:p>
        </w:tc>
        <w:tc>
          <w:tcPr>
            <w:tcW w:w="1322" w:type="dxa"/>
          </w:tcPr>
          <w:p w:rsidR="00B62635" w:rsidRPr="00B62635" w:rsidRDefault="00B62635" w:rsidP="00B62635">
            <w:pPr>
              <w:spacing w:afterLines="0" w:after="0" w:line="240" w:lineRule="auto"/>
              <w:jc w:val="center"/>
            </w:pPr>
            <w:r w:rsidRPr="00B62635">
              <w:t>13</w:t>
            </w:r>
          </w:p>
        </w:tc>
      </w:tr>
      <w:tr w:rsidR="00B62635" w:rsidRPr="00B62635" w:rsidTr="00B62635">
        <w:trPr>
          <w:trHeight w:val="340"/>
        </w:trPr>
        <w:tc>
          <w:tcPr>
            <w:tcW w:w="1315" w:type="dxa"/>
          </w:tcPr>
          <w:p w:rsidR="00B62635" w:rsidRPr="00B62635" w:rsidRDefault="00B62635" w:rsidP="00B62635">
            <w:pPr>
              <w:spacing w:afterLines="0" w:after="0" w:line="240" w:lineRule="auto"/>
            </w:pPr>
            <w:r w:rsidRPr="00B62635">
              <w:t>Q3 2014</w:t>
            </w:r>
          </w:p>
        </w:tc>
        <w:tc>
          <w:tcPr>
            <w:tcW w:w="1321" w:type="dxa"/>
          </w:tcPr>
          <w:p w:rsidR="00B62635" w:rsidRPr="00B62635" w:rsidRDefault="00B62635" w:rsidP="00B62635">
            <w:pPr>
              <w:spacing w:afterLines="0" w:after="0" w:line="240" w:lineRule="auto"/>
              <w:jc w:val="center"/>
            </w:pPr>
            <w:r w:rsidRPr="00B62635">
              <w:t>1</w:t>
            </w:r>
          </w:p>
        </w:tc>
        <w:tc>
          <w:tcPr>
            <w:tcW w:w="1321" w:type="dxa"/>
          </w:tcPr>
          <w:p w:rsidR="00B62635" w:rsidRPr="00B62635" w:rsidRDefault="00B62635" w:rsidP="00B62635">
            <w:pPr>
              <w:spacing w:afterLines="0" w:after="0" w:line="240" w:lineRule="auto"/>
              <w:jc w:val="center"/>
            </w:pPr>
            <w:r w:rsidRPr="00B62635">
              <w:t>2</w:t>
            </w:r>
          </w:p>
        </w:tc>
        <w:tc>
          <w:tcPr>
            <w:tcW w:w="1321" w:type="dxa"/>
          </w:tcPr>
          <w:p w:rsidR="00B62635" w:rsidRPr="00B62635" w:rsidRDefault="00B62635" w:rsidP="00B62635">
            <w:pPr>
              <w:spacing w:afterLines="0" w:after="0" w:line="240" w:lineRule="auto"/>
              <w:jc w:val="center"/>
            </w:pPr>
            <w:r w:rsidRPr="00B62635">
              <w:t>3</w:t>
            </w:r>
          </w:p>
        </w:tc>
        <w:tc>
          <w:tcPr>
            <w:tcW w:w="1321" w:type="dxa"/>
          </w:tcPr>
          <w:p w:rsidR="00B62635" w:rsidRPr="00B62635" w:rsidRDefault="00B62635" w:rsidP="00B62635">
            <w:pPr>
              <w:spacing w:afterLines="0" w:after="0" w:line="240" w:lineRule="auto"/>
              <w:jc w:val="center"/>
            </w:pPr>
            <w:r w:rsidRPr="00B62635">
              <w:t>2</w:t>
            </w:r>
          </w:p>
        </w:tc>
        <w:tc>
          <w:tcPr>
            <w:tcW w:w="1321" w:type="dxa"/>
          </w:tcPr>
          <w:p w:rsidR="00B62635" w:rsidRPr="00B62635" w:rsidRDefault="00B62635" w:rsidP="00B62635">
            <w:pPr>
              <w:spacing w:afterLines="0" w:after="0" w:line="240" w:lineRule="auto"/>
              <w:jc w:val="center"/>
            </w:pPr>
            <w:r w:rsidRPr="00B62635">
              <w:t>-</w:t>
            </w:r>
          </w:p>
        </w:tc>
        <w:tc>
          <w:tcPr>
            <w:tcW w:w="1322" w:type="dxa"/>
          </w:tcPr>
          <w:p w:rsidR="00B62635" w:rsidRPr="00B62635" w:rsidRDefault="00B62635" w:rsidP="00B62635">
            <w:pPr>
              <w:spacing w:afterLines="0" w:after="0" w:line="240" w:lineRule="auto"/>
              <w:jc w:val="center"/>
            </w:pPr>
            <w:r w:rsidRPr="00B62635">
              <w:t>8</w:t>
            </w:r>
          </w:p>
        </w:tc>
      </w:tr>
      <w:tr w:rsidR="00B62635" w:rsidRPr="00B62635" w:rsidTr="00B62635">
        <w:trPr>
          <w:trHeight w:val="340"/>
        </w:trPr>
        <w:tc>
          <w:tcPr>
            <w:tcW w:w="1315" w:type="dxa"/>
          </w:tcPr>
          <w:p w:rsidR="00B62635" w:rsidRPr="00B62635" w:rsidRDefault="00B62635" w:rsidP="00B62635">
            <w:pPr>
              <w:spacing w:afterLines="0" w:after="0" w:line="240" w:lineRule="auto"/>
            </w:pPr>
            <w:r w:rsidRPr="00B62635">
              <w:t>Q4 2014</w:t>
            </w:r>
          </w:p>
        </w:tc>
        <w:tc>
          <w:tcPr>
            <w:tcW w:w="1321" w:type="dxa"/>
          </w:tcPr>
          <w:p w:rsidR="00B62635" w:rsidRPr="00B62635" w:rsidRDefault="00B62635" w:rsidP="00B62635">
            <w:pPr>
              <w:spacing w:afterLines="0" w:after="0" w:line="240" w:lineRule="auto"/>
              <w:jc w:val="center"/>
            </w:pPr>
            <w:r w:rsidRPr="00B62635">
              <w:t>1</w:t>
            </w:r>
          </w:p>
        </w:tc>
        <w:tc>
          <w:tcPr>
            <w:tcW w:w="1321" w:type="dxa"/>
          </w:tcPr>
          <w:p w:rsidR="00B62635" w:rsidRPr="00B62635" w:rsidRDefault="00B62635" w:rsidP="00B62635">
            <w:pPr>
              <w:spacing w:afterLines="0" w:after="0" w:line="240" w:lineRule="auto"/>
              <w:jc w:val="center"/>
            </w:pPr>
            <w:r w:rsidRPr="00B62635">
              <w:t>5</w:t>
            </w:r>
          </w:p>
        </w:tc>
        <w:tc>
          <w:tcPr>
            <w:tcW w:w="1321" w:type="dxa"/>
          </w:tcPr>
          <w:p w:rsidR="00B62635" w:rsidRPr="00B62635" w:rsidRDefault="00B62635" w:rsidP="00B62635">
            <w:pPr>
              <w:spacing w:afterLines="0" w:after="0" w:line="240" w:lineRule="auto"/>
              <w:jc w:val="center"/>
            </w:pPr>
            <w:r w:rsidRPr="00B62635">
              <w:t>1</w:t>
            </w:r>
          </w:p>
        </w:tc>
        <w:tc>
          <w:tcPr>
            <w:tcW w:w="1321" w:type="dxa"/>
          </w:tcPr>
          <w:p w:rsidR="00B62635" w:rsidRPr="00B62635" w:rsidRDefault="00B62635" w:rsidP="00B62635">
            <w:pPr>
              <w:spacing w:afterLines="0" w:after="0" w:line="240" w:lineRule="auto"/>
              <w:jc w:val="center"/>
            </w:pPr>
            <w:r w:rsidRPr="00B62635">
              <w:t>5</w:t>
            </w:r>
          </w:p>
        </w:tc>
        <w:tc>
          <w:tcPr>
            <w:tcW w:w="1321" w:type="dxa"/>
          </w:tcPr>
          <w:p w:rsidR="00B62635" w:rsidRPr="00B62635" w:rsidRDefault="00B62635" w:rsidP="00B62635">
            <w:pPr>
              <w:spacing w:afterLines="0" w:after="0" w:line="240" w:lineRule="auto"/>
              <w:jc w:val="center"/>
            </w:pPr>
            <w:r w:rsidRPr="00B62635">
              <w:t>7</w:t>
            </w:r>
          </w:p>
        </w:tc>
        <w:tc>
          <w:tcPr>
            <w:tcW w:w="1322" w:type="dxa"/>
          </w:tcPr>
          <w:p w:rsidR="00B62635" w:rsidRPr="00B62635" w:rsidRDefault="00B62635" w:rsidP="00B62635">
            <w:pPr>
              <w:spacing w:afterLines="0" w:after="0" w:line="240" w:lineRule="auto"/>
              <w:jc w:val="center"/>
            </w:pPr>
            <w:r w:rsidRPr="00B62635">
              <w:t>19</w:t>
            </w:r>
          </w:p>
        </w:tc>
      </w:tr>
      <w:tr w:rsidR="00B62635" w:rsidRPr="00B62635" w:rsidTr="00B62635">
        <w:trPr>
          <w:trHeight w:val="340"/>
        </w:trPr>
        <w:tc>
          <w:tcPr>
            <w:tcW w:w="1315" w:type="dxa"/>
          </w:tcPr>
          <w:p w:rsidR="00B62635" w:rsidRPr="00B62635" w:rsidRDefault="00B62635" w:rsidP="00B62635">
            <w:pPr>
              <w:spacing w:afterLines="0" w:after="0" w:line="240" w:lineRule="auto"/>
            </w:pPr>
            <w:r w:rsidRPr="00B62635">
              <w:t>Q1 2015</w:t>
            </w:r>
          </w:p>
        </w:tc>
        <w:tc>
          <w:tcPr>
            <w:tcW w:w="1321" w:type="dxa"/>
          </w:tcPr>
          <w:p w:rsidR="00B62635" w:rsidRPr="00B62635" w:rsidRDefault="00B62635" w:rsidP="00B62635">
            <w:pPr>
              <w:spacing w:afterLines="0" w:after="0" w:line="240" w:lineRule="auto"/>
              <w:jc w:val="center"/>
            </w:pPr>
            <w:r w:rsidRPr="00B62635">
              <w:t>10</w:t>
            </w:r>
          </w:p>
        </w:tc>
        <w:tc>
          <w:tcPr>
            <w:tcW w:w="1321" w:type="dxa"/>
          </w:tcPr>
          <w:p w:rsidR="00B62635" w:rsidRPr="00B62635" w:rsidRDefault="00B62635" w:rsidP="00B62635">
            <w:pPr>
              <w:spacing w:afterLines="0" w:after="0" w:line="240" w:lineRule="auto"/>
              <w:jc w:val="center"/>
            </w:pPr>
            <w:r w:rsidRPr="00B62635">
              <w:t>12</w:t>
            </w:r>
          </w:p>
        </w:tc>
        <w:tc>
          <w:tcPr>
            <w:tcW w:w="1321" w:type="dxa"/>
          </w:tcPr>
          <w:p w:rsidR="00B62635" w:rsidRPr="00B62635" w:rsidRDefault="00B62635" w:rsidP="00B62635">
            <w:pPr>
              <w:spacing w:afterLines="0" w:after="0" w:line="240" w:lineRule="auto"/>
              <w:jc w:val="center"/>
            </w:pPr>
            <w:r w:rsidRPr="00B62635">
              <w:t>2</w:t>
            </w:r>
          </w:p>
        </w:tc>
        <w:tc>
          <w:tcPr>
            <w:tcW w:w="1321" w:type="dxa"/>
          </w:tcPr>
          <w:p w:rsidR="00B62635" w:rsidRPr="00B62635" w:rsidRDefault="00B62635" w:rsidP="00B62635">
            <w:pPr>
              <w:spacing w:afterLines="0" w:after="0" w:line="240" w:lineRule="auto"/>
              <w:jc w:val="center"/>
            </w:pPr>
            <w:r w:rsidRPr="00B62635">
              <w:t>5</w:t>
            </w:r>
          </w:p>
        </w:tc>
        <w:tc>
          <w:tcPr>
            <w:tcW w:w="1321" w:type="dxa"/>
          </w:tcPr>
          <w:p w:rsidR="00B62635" w:rsidRPr="00B62635" w:rsidRDefault="00B62635" w:rsidP="00B62635">
            <w:pPr>
              <w:spacing w:afterLines="0" w:after="0" w:line="240" w:lineRule="auto"/>
              <w:jc w:val="center"/>
            </w:pPr>
            <w:r w:rsidRPr="00B62635">
              <w:t>7</w:t>
            </w:r>
          </w:p>
        </w:tc>
        <w:tc>
          <w:tcPr>
            <w:tcW w:w="1322" w:type="dxa"/>
          </w:tcPr>
          <w:p w:rsidR="00B62635" w:rsidRPr="00B62635" w:rsidRDefault="00B62635" w:rsidP="00B62635">
            <w:pPr>
              <w:spacing w:afterLines="0" w:after="0" w:line="240" w:lineRule="auto"/>
              <w:jc w:val="center"/>
            </w:pPr>
            <w:r w:rsidRPr="00B62635">
              <w:t>36</w:t>
            </w:r>
          </w:p>
        </w:tc>
      </w:tr>
      <w:tr w:rsidR="00B62635" w:rsidRPr="00B62635" w:rsidTr="00B62635">
        <w:trPr>
          <w:trHeight w:val="340"/>
        </w:trPr>
        <w:tc>
          <w:tcPr>
            <w:tcW w:w="1315" w:type="dxa"/>
          </w:tcPr>
          <w:p w:rsidR="00B62635" w:rsidRPr="00B62635" w:rsidRDefault="00B62635" w:rsidP="00B62635">
            <w:pPr>
              <w:spacing w:afterLines="0" w:after="0" w:line="240" w:lineRule="auto"/>
            </w:pPr>
            <w:r w:rsidRPr="00B62635">
              <w:t>Q2 2015</w:t>
            </w:r>
          </w:p>
        </w:tc>
        <w:tc>
          <w:tcPr>
            <w:tcW w:w="1321" w:type="dxa"/>
          </w:tcPr>
          <w:p w:rsidR="00B62635" w:rsidRPr="00B62635" w:rsidRDefault="00B62635" w:rsidP="00B62635">
            <w:pPr>
              <w:spacing w:afterLines="0" w:after="0" w:line="240" w:lineRule="auto"/>
              <w:jc w:val="center"/>
            </w:pPr>
            <w:r w:rsidRPr="00B62635">
              <w:t>5</w:t>
            </w:r>
          </w:p>
        </w:tc>
        <w:tc>
          <w:tcPr>
            <w:tcW w:w="1321" w:type="dxa"/>
          </w:tcPr>
          <w:p w:rsidR="00B62635" w:rsidRPr="00B62635" w:rsidRDefault="00B62635" w:rsidP="00B62635">
            <w:pPr>
              <w:spacing w:afterLines="0" w:after="0" w:line="240" w:lineRule="auto"/>
              <w:jc w:val="center"/>
            </w:pPr>
            <w:r w:rsidRPr="00B62635">
              <w:t>13</w:t>
            </w:r>
          </w:p>
        </w:tc>
        <w:tc>
          <w:tcPr>
            <w:tcW w:w="1321" w:type="dxa"/>
          </w:tcPr>
          <w:p w:rsidR="00B62635" w:rsidRPr="00B62635" w:rsidRDefault="00B62635" w:rsidP="00B62635">
            <w:pPr>
              <w:spacing w:afterLines="0" w:after="0" w:line="240" w:lineRule="auto"/>
              <w:jc w:val="center"/>
            </w:pPr>
            <w:r w:rsidRPr="00B62635">
              <w:t>2</w:t>
            </w:r>
          </w:p>
        </w:tc>
        <w:tc>
          <w:tcPr>
            <w:tcW w:w="1321" w:type="dxa"/>
          </w:tcPr>
          <w:p w:rsidR="00B62635" w:rsidRPr="00B62635" w:rsidRDefault="00B62635" w:rsidP="00B62635">
            <w:pPr>
              <w:spacing w:afterLines="0" w:after="0" w:line="240" w:lineRule="auto"/>
              <w:jc w:val="center"/>
            </w:pPr>
            <w:r w:rsidRPr="00B62635">
              <w:t>1</w:t>
            </w:r>
          </w:p>
        </w:tc>
        <w:tc>
          <w:tcPr>
            <w:tcW w:w="1321" w:type="dxa"/>
          </w:tcPr>
          <w:p w:rsidR="00B62635" w:rsidRPr="00B62635" w:rsidRDefault="00B62635" w:rsidP="00B62635">
            <w:pPr>
              <w:spacing w:afterLines="0" w:after="0" w:line="240" w:lineRule="auto"/>
              <w:jc w:val="center"/>
            </w:pPr>
            <w:r w:rsidRPr="00B62635">
              <w:t>8</w:t>
            </w:r>
          </w:p>
        </w:tc>
        <w:tc>
          <w:tcPr>
            <w:tcW w:w="1322" w:type="dxa"/>
          </w:tcPr>
          <w:p w:rsidR="00B62635" w:rsidRPr="00B62635" w:rsidRDefault="00B62635" w:rsidP="00B62635">
            <w:pPr>
              <w:spacing w:afterLines="0" w:after="0" w:line="240" w:lineRule="auto"/>
              <w:jc w:val="center"/>
            </w:pPr>
            <w:r w:rsidRPr="00B62635">
              <w:t>29</w:t>
            </w:r>
          </w:p>
        </w:tc>
      </w:tr>
      <w:tr w:rsidR="00B62635" w:rsidRPr="00B62635" w:rsidTr="00B62635">
        <w:trPr>
          <w:trHeight w:val="340"/>
        </w:trPr>
        <w:tc>
          <w:tcPr>
            <w:tcW w:w="1315" w:type="dxa"/>
          </w:tcPr>
          <w:p w:rsidR="00B62635" w:rsidRPr="00B62635" w:rsidRDefault="00B62635" w:rsidP="00B62635">
            <w:pPr>
              <w:spacing w:afterLines="0" w:after="0" w:line="240" w:lineRule="auto"/>
            </w:pPr>
            <w:r w:rsidRPr="00B62635">
              <w:t>Q3 2015</w:t>
            </w:r>
          </w:p>
        </w:tc>
        <w:tc>
          <w:tcPr>
            <w:tcW w:w="1321" w:type="dxa"/>
          </w:tcPr>
          <w:p w:rsidR="00B62635" w:rsidRPr="00B62635" w:rsidRDefault="00B62635" w:rsidP="00B62635">
            <w:pPr>
              <w:spacing w:afterLines="0" w:after="0" w:line="240" w:lineRule="auto"/>
              <w:jc w:val="center"/>
            </w:pPr>
            <w:r w:rsidRPr="00B62635">
              <w:t>33</w:t>
            </w:r>
          </w:p>
        </w:tc>
        <w:tc>
          <w:tcPr>
            <w:tcW w:w="1321" w:type="dxa"/>
          </w:tcPr>
          <w:p w:rsidR="00B62635" w:rsidRPr="00B62635" w:rsidRDefault="00B62635" w:rsidP="00B62635">
            <w:pPr>
              <w:spacing w:afterLines="0" w:after="0" w:line="240" w:lineRule="auto"/>
              <w:jc w:val="center"/>
            </w:pPr>
            <w:r w:rsidRPr="00B62635">
              <w:t>17</w:t>
            </w:r>
          </w:p>
        </w:tc>
        <w:tc>
          <w:tcPr>
            <w:tcW w:w="1321" w:type="dxa"/>
          </w:tcPr>
          <w:p w:rsidR="00B62635" w:rsidRPr="00B62635" w:rsidRDefault="00B62635" w:rsidP="00B62635">
            <w:pPr>
              <w:spacing w:afterLines="0" w:after="0" w:line="240" w:lineRule="auto"/>
              <w:jc w:val="center"/>
            </w:pPr>
            <w:r w:rsidRPr="00B62635">
              <w:t>9</w:t>
            </w:r>
          </w:p>
        </w:tc>
        <w:tc>
          <w:tcPr>
            <w:tcW w:w="1321" w:type="dxa"/>
          </w:tcPr>
          <w:p w:rsidR="00B62635" w:rsidRPr="00B62635" w:rsidRDefault="00B62635" w:rsidP="00B62635">
            <w:pPr>
              <w:spacing w:afterLines="0" w:after="0" w:line="240" w:lineRule="auto"/>
              <w:jc w:val="center"/>
            </w:pPr>
            <w:r w:rsidRPr="00B62635">
              <w:t>5</w:t>
            </w:r>
          </w:p>
        </w:tc>
        <w:tc>
          <w:tcPr>
            <w:tcW w:w="1321" w:type="dxa"/>
          </w:tcPr>
          <w:p w:rsidR="00B62635" w:rsidRPr="00B62635" w:rsidRDefault="00B62635" w:rsidP="00B62635">
            <w:pPr>
              <w:spacing w:afterLines="0" w:after="0" w:line="240" w:lineRule="auto"/>
              <w:jc w:val="center"/>
            </w:pPr>
            <w:r w:rsidRPr="00B62635">
              <w:t>19</w:t>
            </w:r>
          </w:p>
        </w:tc>
        <w:tc>
          <w:tcPr>
            <w:tcW w:w="1322" w:type="dxa"/>
          </w:tcPr>
          <w:p w:rsidR="00B62635" w:rsidRPr="00B62635" w:rsidRDefault="00B62635" w:rsidP="00B62635">
            <w:pPr>
              <w:spacing w:afterLines="0" w:after="0" w:line="240" w:lineRule="auto"/>
              <w:jc w:val="center"/>
            </w:pPr>
            <w:r w:rsidRPr="00B62635">
              <w:t>83</w:t>
            </w:r>
          </w:p>
        </w:tc>
      </w:tr>
      <w:tr w:rsidR="00B62635" w:rsidRPr="00B62635" w:rsidTr="00B62635">
        <w:trPr>
          <w:trHeight w:val="340"/>
        </w:trPr>
        <w:tc>
          <w:tcPr>
            <w:tcW w:w="1315" w:type="dxa"/>
          </w:tcPr>
          <w:p w:rsidR="00B62635" w:rsidRPr="00B62635" w:rsidRDefault="00B62635" w:rsidP="00B62635">
            <w:pPr>
              <w:spacing w:afterLines="0" w:after="0" w:line="240" w:lineRule="auto"/>
            </w:pPr>
            <w:r w:rsidRPr="00B62635">
              <w:t>Q4 2015</w:t>
            </w:r>
          </w:p>
        </w:tc>
        <w:tc>
          <w:tcPr>
            <w:tcW w:w="1321" w:type="dxa"/>
          </w:tcPr>
          <w:p w:rsidR="00B62635" w:rsidRPr="00B62635" w:rsidRDefault="00B62635" w:rsidP="00B62635">
            <w:pPr>
              <w:spacing w:afterLines="0" w:after="0" w:line="240" w:lineRule="auto"/>
              <w:jc w:val="center"/>
            </w:pPr>
            <w:r w:rsidRPr="00B62635">
              <w:t>36</w:t>
            </w:r>
          </w:p>
        </w:tc>
        <w:tc>
          <w:tcPr>
            <w:tcW w:w="1321" w:type="dxa"/>
          </w:tcPr>
          <w:p w:rsidR="00B62635" w:rsidRPr="00B62635" w:rsidRDefault="00B62635" w:rsidP="00B62635">
            <w:pPr>
              <w:spacing w:afterLines="0" w:after="0" w:line="240" w:lineRule="auto"/>
              <w:jc w:val="center"/>
            </w:pPr>
            <w:r w:rsidRPr="00B62635">
              <w:t>22</w:t>
            </w:r>
          </w:p>
        </w:tc>
        <w:tc>
          <w:tcPr>
            <w:tcW w:w="1321" w:type="dxa"/>
          </w:tcPr>
          <w:p w:rsidR="00B62635" w:rsidRPr="00B62635" w:rsidRDefault="00B62635" w:rsidP="00B62635">
            <w:pPr>
              <w:spacing w:afterLines="0" w:after="0" w:line="240" w:lineRule="auto"/>
              <w:jc w:val="center"/>
            </w:pPr>
            <w:r w:rsidRPr="00B62635">
              <w:t>0</w:t>
            </w:r>
          </w:p>
        </w:tc>
        <w:tc>
          <w:tcPr>
            <w:tcW w:w="1321" w:type="dxa"/>
          </w:tcPr>
          <w:p w:rsidR="00B62635" w:rsidRPr="00B62635" w:rsidRDefault="00B62635" w:rsidP="00B62635">
            <w:pPr>
              <w:spacing w:afterLines="0" w:after="0" w:line="240" w:lineRule="auto"/>
              <w:jc w:val="center"/>
            </w:pPr>
            <w:r w:rsidRPr="00B62635">
              <w:t>11</w:t>
            </w:r>
          </w:p>
        </w:tc>
        <w:tc>
          <w:tcPr>
            <w:tcW w:w="1321" w:type="dxa"/>
          </w:tcPr>
          <w:p w:rsidR="00B62635" w:rsidRPr="00B62635" w:rsidRDefault="00B62635" w:rsidP="00B62635">
            <w:pPr>
              <w:spacing w:afterLines="0" w:after="0" w:line="240" w:lineRule="auto"/>
              <w:jc w:val="center"/>
            </w:pPr>
            <w:r w:rsidRPr="00B62635">
              <w:t>13</w:t>
            </w:r>
          </w:p>
        </w:tc>
        <w:tc>
          <w:tcPr>
            <w:tcW w:w="1322" w:type="dxa"/>
          </w:tcPr>
          <w:p w:rsidR="00B62635" w:rsidRPr="00B62635" w:rsidRDefault="00B62635" w:rsidP="00B62635">
            <w:pPr>
              <w:spacing w:afterLines="0" w:after="0" w:line="240" w:lineRule="auto"/>
              <w:jc w:val="center"/>
            </w:pPr>
            <w:r w:rsidRPr="00B62635">
              <w:t>82</w:t>
            </w:r>
          </w:p>
        </w:tc>
      </w:tr>
      <w:tr w:rsidR="00B62635" w:rsidRPr="00B62635" w:rsidTr="00B62635">
        <w:trPr>
          <w:trHeight w:val="340"/>
        </w:trPr>
        <w:tc>
          <w:tcPr>
            <w:tcW w:w="1315" w:type="dxa"/>
          </w:tcPr>
          <w:p w:rsidR="00B62635" w:rsidRPr="00B62635" w:rsidRDefault="00B62635" w:rsidP="00B62635">
            <w:pPr>
              <w:spacing w:afterLines="0" w:after="0" w:line="240" w:lineRule="auto"/>
            </w:pPr>
            <w:r w:rsidRPr="00B62635">
              <w:t>Q1 2016</w:t>
            </w:r>
          </w:p>
        </w:tc>
        <w:tc>
          <w:tcPr>
            <w:tcW w:w="1321" w:type="dxa"/>
          </w:tcPr>
          <w:p w:rsidR="00B62635" w:rsidRPr="00B62635" w:rsidRDefault="00B62635" w:rsidP="00B62635">
            <w:pPr>
              <w:spacing w:afterLines="0" w:after="0" w:line="240" w:lineRule="auto"/>
              <w:jc w:val="center"/>
            </w:pPr>
            <w:r w:rsidRPr="00B62635">
              <w:t>28</w:t>
            </w:r>
          </w:p>
        </w:tc>
        <w:tc>
          <w:tcPr>
            <w:tcW w:w="1321" w:type="dxa"/>
          </w:tcPr>
          <w:p w:rsidR="00B62635" w:rsidRPr="00B62635" w:rsidRDefault="00B62635" w:rsidP="00B62635">
            <w:pPr>
              <w:spacing w:afterLines="0" w:after="0" w:line="240" w:lineRule="auto"/>
              <w:jc w:val="center"/>
            </w:pPr>
            <w:r w:rsidRPr="00B62635">
              <w:t>26</w:t>
            </w:r>
          </w:p>
        </w:tc>
        <w:tc>
          <w:tcPr>
            <w:tcW w:w="1321" w:type="dxa"/>
          </w:tcPr>
          <w:p w:rsidR="00B62635" w:rsidRPr="00B62635" w:rsidRDefault="00B62635" w:rsidP="00B62635">
            <w:pPr>
              <w:spacing w:afterLines="0" w:after="0" w:line="240" w:lineRule="auto"/>
              <w:jc w:val="center"/>
            </w:pPr>
            <w:r w:rsidRPr="00B62635">
              <w:t>7</w:t>
            </w:r>
          </w:p>
        </w:tc>
        <w:tc>
          <w:tcPr>
            <w:tcW w:w="1321" w:type="dxa"/>
          </w:tcPr>
          <w:p w:rsidR="00B62635" w:rsidRPr="00B62635" w:rsidRDefault="00B62635" w:rsidP="00B62635">
            <w:pPr>
              <w:spacing w:afterLines="0" w:after="0" w:line="240" w:lineRule="auto"/>
              <w:jc w:val="center"/>
            </w:pPr>
            <w:r w:rsidRPr="00B62635">
              <w:t>4</w:t>
            </w:r>
          </w:p>
        </w:tc>
        <w:tc>
          <w:tcPr>
            <w:tcW w:w="1321" w:type="dxa"/>
          </w:tcPr>
          <w:p w:rsidR="00B62635" w:rsidRPr="00B62635" w:rsidRDefault="00B62635" w:rsidP="00B62635">
            <w:pPr>
              <w:spacing w:afterLines="0" w:after="0" w:line="240" w:lineRule="auto"/>
              <w:jc w:val="center"/>
            </w:pPr>
            <w:r w:rsidRPr="00B62635">
              <w:t>8</w:t>
            </w:r>
          </w:p>
        </w:tc>
        <w:tc>
          <w:tcPr>
            <w:tcW w:w="1322" w:type="dxa"/>
          </w:tcPr>
          <w:p w:rsidR="00B62635" w:rsidRPr="00B62635" w:rsidRDefault="00B62635" w:rsidP="00B62635">
            <w:pPr>
              <w:spacing w:afterLines="0" w:after="0" w:line="240" w:lineRule="auto"/>
              <w:jc w:val="center"/>
            </w:pPr>
            <w:r w:rsidRPr="00B62635">
              <w:t>73</w:t>
            </w:r>
          </w:p>
        </w:tc>
      </w:tr>
      <w:tr w:rsidR="008176F5" w:rsidRPr="00B62635" w:rsidTr="00B62635">
        <w:trPr>
          <w:trHeight w:val="340"/>
        </w:trPr>
        <w:tc>
          <w:tcPr>
            <w:tcW w:w="1315" w:type="dxa"/>
          </w:tcPr>
          <w:p w:rsidR="008176F5" w:rsidRPr="00B62635" w:rsidRDefault="008176F5" w:rsidP="00B62635">
            <w:pPr>
              <w:spacing w:afterLines="0" w:after="0" w:line="240" w:lineRule="auto"/>
            </w:pPr>
            <w:r>
              <w:t>Q2 2016</w:t>
            </w:r>
          </w:p>
        </w:tc>
        <w:tc>
          <w:tcPr>
            <w:tcW w:w="1321" w:type="dxa"/>
          </w:tcPr>
          <w:p w:rsidR="008176F5" w:rsidRPr="00B62635" w:rsidRDefault="00C43AB0" w:rsidP="00B62635">
            <w:pPr>
              <w:spacing w:afterLines="0" w:after="0" w:line="240" w:lineRule="auto"/>
              <w:jc w:val="center"/>
            </w:pPr>
            <w:r>
              <w:t>51</w:t>
            </w:r>
          </w:p>
        </w:tc>
        <w:tc>
          <w:tcPr>
            <w:tcW w:w="1321" w:type="dxa"/>
          </w:tcPr>
          <w:p w:rsidR="008176F5" w:rsidRPr="00B62635" w:rsidRDefault="00C43AB0" w:rsidP="00B62635">
            <w:pPr>
              <w:spacing w:afterLines="0" w:after="0" w:line="240" w:lineRule="auto"/>
              <w:jc w:val="center"/>
            </w:pPr>
            <w:r>
              <w:t>48</w:t>
            </w:r>
          </w:p>
        </w:tc>
        <w:tc>
          <w:tcPr>
            <w:tcW w:w="1321" w:type="dxa"/>
          </w:tcPr>
          <w:p w:rsidR="008176F5" w:rsidRPr="00B62635" w:rsidRDefault="00C43AB0" w:rsidP="00B62635">
            <w:pPr>
              <w:spacing w:afterLines="0" w:after="0" w:line="240" w:lineRule="auto"/>
              <w:jc w:val="center"/>
            </w:pPr>
            <w:r>
              <w:t>12</w:t>
            </w:r>
          </w:p>
        </w:tc>
        <w:tc>
          <w:tcPr>
            <w:tcW w:w="1321" w:type="dxa"/>
          </w:tcPr>
          <w:p w:rsidR="008176F5" w:rsidRPr="00B62635" w:rsidRDefault="00C43AB0" w:rsidP="00B62635">
            <w:pPr>
              <w:spacing w:afterLines="0" w:after="0" w:line="240" w:lineRule="auto"/>
              <w:jc w:val="center"/>
            </w:pPr>
            <w:r>
              <w:t>14</w:t>
            </w:r>
          </w:p>
        </w:tc>
        <w:tc>
          <w:tcPr>
            <w:tcW w:w="1321" w:type="dxa"/>
          </w:tcPr>
          <w:p w:rsidR="008176F5" w:rsidRPr="00B62635" w:rsidRDefault="00C43AB0" w:rsidP="00B62635">
            <w:pPr>
              <w:spacing w:afterLines="0" w:after="0" w:line="240" w:lineRule="auto"/>
              <w:jc w:val="center"/>
            </w:pPr>
            <w:r>
              <w:t>12</w:t>
            </w:r>
          </w:p>
        </w:tc>
        <w:tc>
          <w:tcPr>
            <w:tcW w:w="1322" w:type="dxa"/>
          </w:tcPr>
          <w:p w:rsidR="008176F5" w:rsidRPr="00B62635" w:rsidRDefault="00C43AB0" w:rsidP="00B62635">
            <w:pPr>
              <w:spacing w:afterLines="0" w:after="0" w:line="240" w:lineRule="auto"/>
              <w:jc w:val="center"/>
            </w:pPr>
            <w:r>
              <w:t>138</w:t>
            </w:r>
          </w:p>
        </w:tc>
      </w:tr>
    </w:tbl>
    <w:p w:rsidR="0035443D" w:rsidRDefault="0035443D" w:rsidP="00B62635">
      <w:pPr>
        <w:tabs>
          <w:tab w:val="left" w:pos="567"/>
        </w:tabs>
        <w:spacing w:afterLines="0"/>
        <w:rPr>
          <w:rFonts w:eastAsia="Times New Roman" w:cs="Times New Roman"/>
          <w:bCs/>
        </w:rPr>
      </w:pPr>
      <w:bookmarkStart w:id="123" w:name="_Toc459796765"/>
    </w:p>
    <w:p w:rsidR="0035443D" w:rsidRDefault="0035443D" w:rsidP="0035443D">
      <w:pPr>
        <w:spacing w:after="336"/>
        <w:rPr>
          <w:rFonts w:eastAsia="Times New Roman" w:cs="Times New Roman"/>
          <w:bCs/>
        </w:rPr>
      </w:pPr>
      <w:r>
        <w:rPr>
          <w:rFonts w:eastAsia="Times New Roman" w:cs="Times New Roman"/>
          <w:bCs/>
        </w:rPr>
        <w:br w:type="page"/>
      </w:r>
    </w:p>
    <w:p w:rsidR="00B62635" w:rsidRPr="00B62635" w:rsidRDefault="00B62635" w:rsidP="00B62635">
      <w:pPr>
        <w:tabs>
          <w:tab w:val="left" w:pos="567"/>
        </w:tabs>
        <w:spacing w:afterLines="0"/>
        <w:rPr>
          <w:rFonts w:eastAsia="Times New Roman" w:cs="Times New Roman"/>
          <w:bCs/>
        </w:rPr>
      </w:pPr>
      <w:r w:rsidRPr="00B62635">
        <w:rPr>
          <w:rFonts w:eastAsia="Times New Roman" w:cs="Times New Roman"/>
          <w:b/>
          <w:bCs/>
        </w:rPr>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556020">
        <w:rPr>
          <w:rFonts w:eastAsia="Times New Roman" w:cs="Times New Roman"/>
          <w:b/>
          <w:bCs/>
          <w:noProof/>
        </w:rPr>
        <w:t>11</w:t>
      </w:r>
      <w:r w:rsidRPr="00B62635">
        <w:rPr>
          <w:rFonts w:eastAsia="Times New Roman" w:cs="Times New Roman"/>
          <w:b/>
          <w:bCs/>
          <w:noProof/>
        </w:rPr>
        <w:fldChar w:fldCharType="end"/>
      </w:r>
      <w:r w:rsidRPr="00B62635">
        <w:rPr>
          <w:rFonts w:eastAsia="Times New Roman" w:cs="Times New Roman"/>
          <w:b/>
          <w:bCs/>
        </w:rPr>
        <w:t xml:space="preserve"> </w:t>
      </w:r>
      <w:r w:rsidRPr="00B62635">
        <w:rPr>
          <w:rFonts w:eastAsia="Times New Roman" w:cs="Times New Roman"/>
          <w:bCs/>
        </w:rPr>
        <w:t>Classification o</w:t>
      </w:r>
      <w:r w:rsidRPr="00066DCB">
        <w:rPr>
          <w:rFonts w:eastAsia="Times New Roman" w:cs="Times New Roman"/>
          <w:bCs/>
        </w:rPr>
        <w:t xml:space="preserve">f </w:t>
      </w:r>
      <w:r w:rsidR="00066DCB" w:rsidRPr="00066DCB">
        <w:rPr>
          <w:rFonts w:eastAsia="Times New Roman" w:cs="Times New Roman"/>
          <w:bCs/>
        </w:rPr>
        <w:t xml:space="preserve">first </w:t>
      </w:r>
      <w:r w:rsidRPr="00B62635">
        <w:rPr>
          <w:rFonts w:eastAsia="Times New Roman" w:cs="Times New Roman"/>
          <w:bCs/>
        </w:rPr>
        <w:t>VRE isolates – number of screening and clinical specimens; and of clinical specimens that indicate an infection</w:t>
      </w:r>
      <w:bookmarkEnd w:id="123"/>
      <w:r w:rsidRPr="00B62635">
        <w:rPr>
          <w:rFonts w:eastAsia="Times New Roman" w:cs="Times New Roman"/>
          <w:bCs/>
        </w:rPr>
        <w:t xml:space="preserve"> </w:t>
      </w: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1 Classification of first VRE isolates "/>
        <w:tblDescription w:val="Shows number of screening and clinical specimens; and of clinical specimens that indicate an infection"/>
      </w:tblPr>
      <w:tblGrid>
        <w:gridCol w:w="2268"/>
        <w:gridCol w:w="2268"/>
        <w:gridCol w:w="2268"/>
        <w:gridCol w:w="2269"/>
      </w:tblGrid>
      <w:tr w:rsidR="00066DCB" w:rsidRPr="00B62635" w:rsidTr="00AD4ECF">
        <w:trPr>
          <w:trHeight w:val="70"/>
          <w:tblHeader/>
        </w:trPr>
        <w:tc>
          <w:tcPr>
            <w:tcW w:w="2268" w:type="dxa"/>
            <w:shd w:val="clear" w:color="auto" w:fill="auto"/>
          </w:tcPr>
          <w:p w:rsidR="00066DCB" w:rsidRPr="008176F5" w:rsidRDefault="00066DCB" w:rsidP="00C43AB0">
            <w:pPr>
              <w:spacing w:before="140" w:afterLines="0" w:after="0"/>
              <w:rPr>
                <w:b/>
              </w:rPr>
            </w:pPr>
            <w:r w:rsidRPr="008176F5">
              <w:rPr>
                <w:b/>
              </w:rPr>
              <w:t>Quarter</w:t>
            </w:r>
          </w:p>
        </w:tc>
        <w:tc>
          <w:tcPr>
            <w:tcW w:w="2268" w:type="dxa"/>
            <w:shd w:val="clear" w:color="auto" w:fill="auto"/>
          </w:tcPr>
          <w:p w:rsidR="00066DCB" w:rsidRPr="008176F5" w:rsidRDefault="00066DCB" w:rsidP="00C43AB0">
            <w:pPr>
              <w:spacing w:before="140" w:afterLines="0" w:after="0"/>
              <w:rPr>
                <w:b/>
              </w:rPr>
            </w:pPr>
            <w:r w:rsidRPr="008176F5">
              <w:rPr>
                <w:b/>
              </w:rPr>
              <w:t>Total VRE</w:t>
            </w:r>
          </w:p>
        </w:tc>
        <w:tc>
          <w:tcPr>
            <w:tcW w:w="2268" w:type="dxa"/>
            <w:shd w:val="clear" w:color="auto" w:fill="auto"/>
          </w:tcPr>
          <w:p w:rsidR="00066DCB" w:rsidRPr="008176F5" w:rsidRDefault="00066DCB" w:rsidP="00C43AB0">
            <w:pPr>
              <w:spacing w:before="140" w:afterLines="0" w:after="0"/>
              <w:rPr>
                <w:b/>
              </w:rPr>
            </w:pPr>
            <w:r w:rsidRPr="008176F5">
              <w:rPr>
                <w:b/>
              </w:rPr>
              <w:t>Screening specimens</w:t>
            </w:r>
          </w:p>
        </w:tc>
        <w:tc>
          <w:tcPr>
            <w:tcW w:w="2269" w:type="dxa"/>
          </w:tcPr>
          <w:p w:rsidR="00066DCB" w:rsidRPr="008176F5" w:rsidRDefault="00066DCB" w:rsidP="00C43AB0">
            <w:pPr>
              <w:spacing w:before="140" w:afterLines="0" w:after="0"/>
              <w:rPr>
                <w:b/>
              </w:rPr>
            </w:pPr>
            <w:r w:rsidRPr="008176F5">
              <w:rPr>
                <w:b/>
              </w:rPr>
              <w:t xml:space="preserve">Clinical specimens </w:t>
            </w:r>
          </w:p>
        </w:tc>
      </w:tr>
      <w:tr w:rsidR="00066DCB" w:rsidRPr="00B62635" w:rsidTr="00066DCB">
        <w:tc>
          <w:tcPr>
            <w:tcW w:w="2268" w:type="dxa"/>
            <w:vAlign w:val="center"/>
          </w:tcPr>
          <w:p w:rsidR="00066DCB" w:rsidRPr="008176F5" w:rsidRDefault="00066DCB" w:rsidP="00C43AB0">
            <w:pPr>
              <w:spacing w:before="140" w:afterLines="0" w:after="0"/>
            </w:pPr>
            <w:r w:rsidRPr="008176F5">
              <w:t>Q3 2010</w:t>
            </w:r>
          </w:p>
        </w:tc>
        <w:tc>
          <w:tcPr>
            <w:tcW w:w="2268" w:type="dxa"/>
            <w:shd w:val="clear" w:color="auto" w:fill="auto"/>
            <w:vAlign w:val="bottom"/>
          </w:tcPr>
          <w:p w:rsidR="00066DCB" w:rsidRPr="008176F5" w:rsidRDefault="00066DCB" w:rsidP="00C43AB0">
            <w:pPr>
              <w:spacing w:before="140" w:afterLines="0" w:after="0"/>
            </w:pPr>
            <w:r w:rsidRPr="008176F5">
              <w:t>14</w:t>
            </w:r>
          </w:p>
        </w:tc>
        <w:tc>
          <w:tcPr>
            <w:tcW w:w="2268" w:type="dxa"/>
            <w:shd w:val="clear" w:color="auto" w:fill="auto"/>
            <w:vAlign w:val="bottom"/>
          </w:tcPr>
          <w:p w:rsidR="00066DCB" w:rsidRPr="008176F5" w:rsidRDefault="00066DCB" w:rsidP="00C43AB0">
            <w:pPr>
              <w:spacing w:before="140" w:afterLines="0" w:after="0"/>
            </w:pPr>
            <w:r w:rsidRPr="008176F5">
              <w:t>13</w:t>
            </w:r>
          </w:p>
        </w:tc>
        <w:tc>
          <w:tcPr>
            <w:tcW w:w="2269" w:type="dxa"/>
            <w:vAlign w:val="bottom"/>
          </w:tcPr>
          <w:p w:rsidR="00066DCB" w:rsidRPr="008176F5" w:rsidRDefault="00066DCB" w:rsidP="00C43AB0">
            <w:pPr>
              <w:spacing w:before="140" w:afterLines="0" w:after="0"/>
              <w:rPr>
                <w:rFonts w:cs="Arial"/>
              </w:rPr>
            </w:pPr>
            <w:r w:rsidRPr="008176F5">
              <w:t>1</w:t>
            </w:r>
          </w:p>
        </w:tc>
      </w:tr>
      <w:tr w:rsidR="00066DCB" w:rsidRPr="00B62635" w:rsidTr="00066DCB">
        <w:tc>
          <w:tcPr>
            <w:tcW w:w="2268" w:type="dxa"/>
            <w:vAlign w:val="center"/>
          </w:tcPr>
          <w:p w:rsidR="00066DCB" w:rsidRPr="008176F5" w:rsidRDefault="00066DCB" w:rsidP="00C43AB0">
            <w:pPr>
              <w:spacing w:before="140" w:afterLines="0" w:after="0"/>
            </w:pPr>
            <w:r w:rsidRPr="008176F5">
              <w:t>Q4 2010</w:t>
            </w:r>
          </w:p>
        </w:tc>
        <w:tc>
          <w:tcPr>
            <w:tcW w:w="2268" w:type="dxa"/>
            <w:shd w:val="clear" w:color="auto" w:fill="auto"/>
            <w:vAlign w:val="bottom"/>
          </w:tcPr>
          <w:p w:rsidR="00066DCB" w:rsidRPr="008176F5" w:rsidRDefault="00066DCB" w:rsidP="00C43AB0">
            <w:pPr>
              <w:spacing w:before="140" w:afterLines="0" w:after="0"/>
            </w:pPr>
            <w:r w:rsidRPr="008176F5">
              <w:t>8</w:t>
            </w:r>
          </w:p>
        </w:tc>
        <w:tc>
          <w:tcPr>
            <w:tcW w:w="2268" w:type="dxa"/>
            <w:shd w:val="clear" w:color="auto" w:fill="auto"/>
            <w:vAlign w:val="bottom"/>
          </w:tcPr>
          <w:p w:rsidR="00066DCB" w:rsidRPr="008176F5" w:rsidRDefault="00066DCB" w:rsidP="00C43AB0">
            <w:pPr>
              <w:spacing w:before="140" w:afterLines="0" w:after="0"/>
            </w:pPr>
            <w:r w:rsidRPr="008176F5">
              <w:t>5</w:t>
            </w:r>
          </w:p>
        </w:tc>
        <w:tc>
          <w:tcPr>
            <w:tcW w:w="2269" w:type="dxa"/>
            <w:vAlign w:val="bottom"/>
          </w:tcPr>
          <w:p w:rsidR="00066DCB" w:rsidRPr="008176F5" w:rsidRDefault="00066DCB" w:rsidP="00C43AB0">
            <w:pPr>
              <w:spacing w:before="140" w:afterLines="0" w:after="0"/>
              <w:rPr>
                <w:rFonts w:cs="Arial"/>
              </w:rPr>
            </w:pPr>
            <w:r w:rsidRPr="008176F5">
              <w:t>3</w:t>
            </w:r>
          </w:p>
        </w:tc>
      </w:tr>
      <w:tr w:rsidR="00066DCB" w:rsidRPr="00B62635" w:rsidTr="00066DCB">
        <w:tc>
          <w:tcPr>
            <w:tcW w:w="2268" w:type="dxa"/>
            <w:vAlign w:val="center"/>
          </w:tcPr>
          <w:p w:rsidR="00066DCB" w:rsidRPr="008176F5" w:rsidRDefault="00066DCB" w:rsidP="00C43AB0">
            <w:pPr>
              <w:spacing w:before="140" w:afterLines="0" w:after="0"/>
            </w:pPr>
            <w:r w:rsidRPr="008176F5">
              <w:t>Q1 2011</w:t>
            </w:r>
          </w:p>
        </w:tc>
        <w:tc>
          <w:tcPr>
            <w:tcW w:w="2268" w:type="dxa"/>
            <w:shd w:val="clear" w:color="auto" w:fill="auto"/>
            <w:vAlign w:val="bottom"/>
          </w:tcPr>
          <w:p w:rsidR="00066DCB" w:rsidRPr="008176F5" w:rsidRDefault="00066DCB" w:rsidP="00C43AB0">
            <w:pPr>
              <w:spacing w:before="140" w:afterLines="0" w:after="0"/>
            </w:pPr>
            <w:r w:rsidRPr="008176F5">
              <w:t>3</w:t>
            </w:r>
          </w:p>
        </w:tc>
        <w:tc>
          <w:tcPr>
            <w:tcW w:w="2268" w:type="dxa"/>
            <w:shd w:val="clear" w:color="auto" w:fill="auto"/>
            <w:vAlign w:val="bottom"/>
          </w:tcPr>
          <w:p w:rsidR="00066DCB" w:rsidRPr="008176F5" w:rsidRDefault="00066DCB" w:rsidP="00C43AB0">
            <w:pPr>
              <w:spacing w:before="140" w:afterLines="0" w:after="0"/>
            </w:pPr>
            <w:r w:rsidRPr="008176F5">
              <w:t>3</w:t>
            </w:r>
          </w:p>
        </w:tc>
        <w:tc>
          <w:tcPr>
            <w:tcW w:w="2269" w:type="dxa"/>
            <w:vAlign w:val="bottom"/>
          </w:tcPr>
          <w:p w:rsidR="00066DCB" w:rsidRPr="008176F5" w:rsidRDefault="00066DCB" w:rsidP="00C43AB0">
            <w:pPr>
              <w:spacing w:before="140" w:afterLines="0" w:after="0"/>
              <w:rPr>
                <w:rFonts w:cs="Arial"/>
              </w:rPr>
            </w:pPr>
            <w:r w:rsidRPr="008176F5">
              <w:t>0</w:t>
            </w:r>
          </w:p>
        </w:tc>
      </w:tr>
      <w:tr w:rsidR="00066DCB" w:rsidRPr="00B62635" w:rsidTr="00066DCB">
        <w:tc>
          <w:tcPr>
            <w:tcW w:w="2268" w:type="dxa"/>
            <w:vAlign w:val="center"/>
          </w:tcPr>
          <w:p w:rsidR="00066DCB" w:rsidRPr="008176F5" w:rsidRDefault="00066DCB" w:rsidP="00C43AB0">
            <w:pPr>
              <w:spacing w:before="140" w:afterLines="0" w:after="0"/>
            </w:pPr>
            <w:r w:rsidRPr="008176F5">
              <w:t>Q2 2011</w:t>
            </w:r>
          </w:p>
        </w:tc>
        <w:tc>
          <w:tcPr>
            <w:tcW w:w="2268" w:type="dxa"/>
            <w:shd w:val="clear" w:color="auto" w:fill="auto"/>
            <w:vAlign w:val="bottom"/>
          </w:tcPr>
          <w:p w:rsidR="00066DCB" w:rsidRPr="008176F5" w:rsidRDefault="00066DCB" w:rsidP="00C43AB0">
            <w:pPr>
              <w:spacing w:before="140" w:afterLines="0" w:after="0"/>
            </w:pPr>
            <w:r w:rsidRPr="008176F5">
              <w:t>8</w:t>
            </w:r>
          </w:p>
        </w:tc>
        <w:tc>
          <w:tcPr>
            <w:tcW w:w="2268" w:type="dxa"/>
            <w:shd w:val="clear" w:color="auto" w:fill="auto"/>
            <w:vAlign w:val="bottom"/>
          </w:tcPr>
          <w:p w:rsidR="00066DCB" w:rsidRPr="008176F5" w:rsidRDefault="00066DCB" w:rsidP="00C43AB0">
            <w:pPr>
              <w:spacing w:before="140" w:afterLines="0" w:after="0"/>
            </w:pPr>
            <w:r w:rsidRPr="008176F5">
              <w:t>6</w:t>
            </w:r>
          </w:p>
        </w:tc>
        <w:tc>
          <w:tcPr>
            <w:tcW w:w="2269" w:type="dxa"/>
            <w:vAlign w:val="bottom"/>
          </w:tcPr>
          <w:p w:rsidR="00066DCB" w:rsidRPr="008176F5" w:rsidRDefault="00066DCB" w:rsidP="00C43AB0">
            <w:pPr>
              <w:spacing w:before="140" w:afterLines="0" w:after="0"/>
            </w:pPr>
            <w:r w:rsidRPr="008176F5">
              <w:t>2</w:t>
            </w:r>
          </w:p>
        </w:tc>
      </w:tr>
      <w:tr w:rsidR="00066DCB" w:rsidRPr="00B62635" w:rsidTr="00066DCB">
        <w:tc>
          <w:tcPr>
            <w:tcW w:w="2268" w:type="dxa"/>
            <w:vAlign w:val="center"/>
          </w:tcPr>
          <w:p w:rsidR="00066DCB" w:rsidRPr="008176F5" w:rsidRDefault="00066DCB" w:rsidP="00C43AB0">
            <w:pPr>
              <w:spacing w:before="140" w:afterLines="0" w:after="0"/>
            </w:pPr>
            <w:r w:rsidRPr="008176F5">
              <w:t>Q3 2011</w:t>
            </w:r>
          </w:p>
        </w:tc>
        <w:tc>
          <w:tcPr>
            <w:tcW w:w="2268" w:type="dxa"/>
            <w:shd w:val="clear" w:color="auto" w:fill="auto"/>
            <w:vAlign w:val="bottom"/>
          </w:tcPr>
          <w:p w:rsidR="00066DCB" w:rsidRPr="008176F5" w:rsidRDefault="00066DCB" w:rsidP="00C43AB0">
            <w:pPr>
              <w:spacing w:before="140" w:afterLines="0" w:after="0"/>
            </w:pPr>
            <w:r w:rsidRPr="008176F5">
              <w:t>3</w:t>
            </w:r>
          </w:p>
        </w:tc>
        <w:tc>
          <w:tcPr>
            <w:tcW w:w="2268" w:type="dxa"/>
            <w:shd w:val="clear" w:color="auto" w:fill="auto"/>
            <w:vAlign w:val="bottom"/>
          </w:tcPr>
          <w:p w:rsidR="00066DCB" w:rsidRPr="008176F5" w:rsidRDefault="00066DCB" w:rsidP="00C43AB0">
            <w:pPr>
              <w:spacing w:before="140" w:afterLines="0" w:after="0"/>
            </w:pPr>
            <w:r w:rsidRPr="008176F5">
              <w:t>3</w:t>
            </w:r>
          </w:p>
        </w:tc>
        <w:tc>
          <w:tcPr>
            <w:tcW w:w="2269" w:type="dxa"/>
            <w:vAlign w:val="bottom"/>
          </w:tcPr>
          <w:p w:rsidR="00066DCB" w:rsidRPr="008176F5" w:rsidRDefault="00066DCB" w:rsidP="00C43AB0">
            <w:pPr>
              <w:spacing w:before="140" w:afterLines="0" w:after="0"/>
            </w:pPr>
            <w:r w:rsidRPr="008176F5">
              <w:t>0</w:t>
            </w:r>
          </w:p>
        </w:tc>
      </w:tr>
      <w:tr w:rsidR="00066DCB" w:rsidRPr="00B62635" w:rsidTr="00066DCB">
        <w:tc>
          <w:tcPr>
            <w:tcW w:w="2268" w:type="dxa"/>
            <w:vAlign w:val="center"/>
          </w:tcPr>
          <w:p w:rsidR="00066DCB" w:rsidRPr="008176F5" w:rsidRDefault="00066DCB" w:rsidP="00C43AB0">
            <w:pPr>
              <w:spacing w:before="140" w:afterLines="0" w:after="0"/>
            </w:pPr>
            <w:r w:rsidRPr="008176F5">
              <w:t>Q4 2011</w:t>
            </w:r>
          </w:p>
        </w:tc>
        <w:tc>
          <w:tcPr>
            <w:tcW w:w="2268" w:type="dxa"/>
            <w:shd w:val="clear" w:color="auto" w:fill="auto"/>
            <w:vAlign w:val="bottom"/>
          </w:tcPr>
          <w:p w:rsidR="00066DCB" w:rsidRPr="008176F5" w:rsidRDefault="00066DCB" w:rsidP="00C43AB0">
            <w:pPr>
              <w:spacing w:before="140" w:afterLines="0" w:after="0"/>
            </w:pPr>
            <w:r w:rsidRPr="008176F5">
              <w:t>5</w:t>
            </w:r>
          </w:p>
        </w:tc>
        <w:tc>
          <w:tcPr>
            <w:tcW w:w="2268" w:type="dxa"/>
            <w:shd w:val="clear" w:color="auto" w:fill="auto"/>
            <w:vAlign w:val="bottom"/>
          </w:tcPr>
          <w:p w:rsidR="00066DCB" w:rsidRPr="008176F5" w:rsidRDefault="00066DCB" w:rsidP="00C43AB0">
            <w:pPr>
              <w:spacing w:before="140" w:afterLines="0" w:after="0"/>
            </w:pPr>
            <w:r w:rsidRPr="008176F5">
              <w:t>3</w:t>
            </w:r>
          </w:p>
        </w:tc>
        <w:tc>
          <w:tcPr>
            <w:tcW w:w="2269" w:type="dxa"/>
            <w:vAlign w:val="bottom"/>
          </w:tcPr>
          <w:p w:rsidR="00066DCB" w:rsidRPr="008176F5" w:rsidRDefault="00066DCB" w:rsidP="00C43AB0">
            <w:pPr>
              <w:spacing w:before="140" w:afterLines="0" w:after="0"/>
            </w:pPr>
            <w:r w:rsidRPr="008176F5">
              <w:t>2</w:t>
            </w:r>
          </w:p>
        </w:tc>
      </w:tr>
      <w:tr w:rsidR="00066DCB" w:rsidRPr="00B62635" w:rsidTr="00066DCB">
        <w:tc>
          <w:tcPr>
            <w:tcW w:w="2268" w:type="dxa"/>
            <w:vAlign w:val="center"/>
          </w:tcPr>
          <w:p w:rsidR="00066DCB" w:rsidRPr="008176F5" w:rsidRDefault="00066DCB" w:rsidP="00C43AB0">
            <w:pPr>
              <w:spacing w:before="140" w:afterLines="0" w:after="0"/>
            </w:pPr>
            <w:r w:rsidRPr="008176F5">
              <w:t>Q1 2012</w:t>
            </w:r>
          </w:p>
        </w:tc>
        <w:tc>
          <w:tcPr>
            <w:tcW w:w="2268" w:type="dxa"/>
            <w:shd w:val="clear" w:color="auto" w:fill="auto"/>
            <w:vAlign w:val="bottom"/>
          </w:tcPr>
          <w:p w:rsidR="00066DCB" w:rsidRPr="008176F5" w:rsidRDefault="00066DCB" w:rsidP="00C43AB0">
            <w:pPr>
              <w:spacing w:before="140" w:afterLines="0" w:after="0"/>
            </w:pPr>
            <w:r w:rsidRPr="008176F5">
              <w:t>10</w:t>
            </w:r>
          </w:p>
        </w:tc>
        <w:tc>
          <w:tcPr>
            <w:tcW w:w="2268" w:type="dxa"/>
            <w:shd w:val="clear" w:color="auto" w:fill="auto"/>
            <w:vAlign w:val="bottom"/>
          </w:tcPr>
          <w:p w:rsidR="00066DCB" w:rsidRPr="008176F5" w:rsidRDefault="00066DCB" w:rsidP="00C43AB0">
            <w:pPr>
              <w:spacing w:before="140" w:afterLines="0" w:after="0"/>
            </w:pPr>
            <w:r w:rsidRPr="008176F5">
              <w:t>8</w:t>
            </w:r>
          </w:p>
        </w:tc>
        <w:tc>
          <w:tcPr>
            <w:tcW w:w="2269" w:type="dxa"/>
            <w:vAlign w:val="bottom"/>
          </w:tcPr>
          <w:p w:rsidR="00066DCB" w:rsidRPr="008176F5" w:rsidRDefault="00066DCB" w:rsidP="00C43AB0">
            <w:pPr>
              <w:spacing w:before="140" w:afterLines="0" w:after="0"/>
            </w:pPr>
            <w:r w:rsidRPr="008176F5">
              <w:t>2</w:t>
            </w:r>
          </w:p>
        </w:tc>
      </w:tr>
      <w:tr w:rsidR="00066DCB" w:rsidRPr="00B62635" w:rsidTr="00066DCB">
        <w:tc>
          <w:tcPr>
            <w:tcW w:w="2268" w:type="dxa"/>
            <w:vAlign w:val="center"/>
          </w:tcPr>
          <w:p w:rsidR="00066DCB" w:rsidRPr="008176F5" w:rsidRDefault="00066DCB" w:rsidP="00C43AB0">
            <w:pPr>
              <w:spacing w:before="140" w:afterLines="0" w:after="0"/>
            </w:pPr>
            <w:r w:rsidRPr="008176F5">
              <w:t>Q2 2012</w:t>
            </w:r>
          </w:p>
        </w:tc>
        <w:tc>
          <w:tcPr>
            <w:tcW w:w="2268" w:type="dxa"/>
            <w:shd w:val="clear" w:color="auto" w:fill="auto"/>
            <w:vAlign w:val="bottom"/>
          </w:tcPr>
          <w:p w:rsidR="00066DCB" w:rsidRPr="008176F5" w:rsidRDefault="00066DCB" w:rsidP="00C43AB0">
            <w:pPr>
              <w:spacing w:before="140" w:afterLines="0" w:after="0"/>
            </w:pPr>
            <w:r w:rsidRPr="008176F5">
              <w:t>7</w:t>
            </w:r>
          </w:p>
        </w:tc>
        <w:tc>
          <w:tcPr>
            <w:tcW w:w="2268" w:type="dxa"/>
            <w:shd w:val="clear" w:color="auto" w:fill="auto"/>
            <w:vAlign w:val="bottom"/>
          </w:tcPr>
          <w:p w:rsidR="00066DCB" w:rsidRPr="008176F5" w:rsidRDefault="00066DCB" w:rsidP="00C43AB0">
            <w:pPr>
              <w:spacing w:before="140" w:afterLines="0" w:after="0"/>
            </w:pPr>
            <w:r w:rsidRPr="008176F5">
              <w:t>7</w:t>
            </w:r>
          </w:p>
        </w:tc>
        <w:tc>
          <w:tcPr>
            <w:tcW w:w="2269" w:type="dxa"/>
            <w:vAlign w:val="bottom"/>
          </w:tcPr>
          <w:p w:rsidR="00066DCB" w:rsidRPr="008176F5" w:rsidRDefault="00066DCB" w:rsidP="00C43AB0">
            <w:pPr>
              <w:spacing w:before="140" w:afterLines="0" w:after="0"/>
            </w:pPr>
            <w:r w:rsidRPr="008176F5">
              <w:t>0</w:t>
            </w:r>
          </w:p>
        </w:tc>
      </w:tr>
      <w:tr w:rsidR="00066DCB" w:rsidRPr="00B62635" w:rsidTr="00066DCB">
        <w:tc>
          <w:tcPr>
            <w:tcW w:w="2268" w:type="dxa"/>
            <w:vAlign w:val="center"/>
          </w:tcPr>
          <w:p w:rsidR="00066DCB" w:rsidRPr="008176F5" w:rsidRDefault="00066DCB" w:rsidP="00C43AB0">
            <w:pPr>
              <w:spacing w:before="140" w:afterLines="0" w:after="0"/>
            </w:pPr>
            <w:r w:rsidRPr="008176F5">
              <w:t>Q3 2012</w:t>
            </w:r>
          </w:p>
        </w:tc>
        <w:tc>
          <w:tcPr>
            <w:tcW w:w="2268" w:type="dxa"/>
            <w:shd w:val="clear" w:color="auto" w:fill="auto"/>
            <w:vAlign w:val="bottom"/>
          </w:tcPr>
          <w:p w:rsidR="00066DCB" w:rsidRPr="008176F5" w:rsidRDefault="00066DCB" w:rsidP="00C43AB0">
            <w:pPr>
              <w:spacing w:before="140" w:afterLines="0" w:after="0"/>
            </w:pPr>
            <w:r w:rsidRPr="008176F5">
              <w:t>8</w:t>
            </w:r>
          </w:p>
        </w:tc>
        <w:tc>
          <w:tcPr>
            <w:tcW w:w="2268" w:type="dxa"/>
            <w:shd w:val="clear" w:color="auto" w:fill="auto"/>
            <w:vAlign w:val="bottom"/>
          </w:tcPr>
          <w:p w:rsidR="00066DCB" w:rsidRPr="008176F5" w:rsidRDefault="00066DCB" w:rsidP="00C43AB0">
            <w:pPr>
              <w:spacing w:before="140" w:afterLines="0" w:after="0"/>
            </w:pPr>
            <w:r w:rsidRPr="008176F5">
              <w:t>8</w:t>
            </w:r>
          </w:p>
        </w:tc>
        <w:tc>
          <w:tcPr>
            <w:tcW w:w="2269" w:type="dxa"/>
            <w:vAlign w:val="bottom"/>
          </w:tcPr>
          <w:p w:rsidR="00066DCB" w:rsidRPr="008176F5" w:rsidRDefault="00066DCB" w:rsidP="00C43AB0">
            <w:pPr>
              <w:spacing w:before="140" w:afterLines="0" w:after="0"/>
            </w:pPr>
            <w:r w:rsidRPr="008176F5">
              <w:t>0</w:t>
            </w:r>
          </w:p>
        </w:tc>
      </w:tr>
      <w:tr w:rsidR="00066DCB" w:rsidRPr="00B62635" w:rsidTr="00066DCB">
        <w:tc>
          <w:tcPr>
            <w:tcW w:w="2268" w:type="dxa"/>
            <w:vAlign w:val="center"/>
          </w:tcPr>
          <w:p w:rsidR="00066DCB" w:rsidRPr="008176F5" w:rsidRDefault="00066DCB" w:rsidP="00C43AB0">
            <w:pPr>
              <w:spacing w:before="140" w:afterLines="0" w:after="0"/>
            </w:pPr>
            <w:r w:rsidRPr="008176F5">
              <w:t>Q4 2012</w:t>
            </w:r>
          </w:p>
        </w:tc>
        <w:tc>
          <w:tcPr>
            <w:tcW w:w="2268" w:type="dxa"/>
            <w:shd w:val="clear" w:color="auto" w:fill="auto"/>
            <w:vAlign w:val="bottom"/>
          </w:tcPr>
          <w:p w:rsidR="00066DCB" w:rsidRPr="008176F5" w:rsidRDefault="00066DCB" w:rsidP="00C43AB0">
            <w:pPr>
              <w:spacing w:before="140" w:afterLines="0" w:after="0"/>
            </w:pPr>
            <w:r w:rsidRPr="008176F5">
              <w:t>12</w:t>
            </w:r>
          </w:p>
        </w:tc>
        <w:tc>
          <w:tcPr>
            <w:tcW w:w="2268" w:type="dxa"/>
            <w:shd w:val="clear" w:color="auto" w:fill="auto"/>
            <w:vAlign w:val="bottom"/>
          </w:tcPr>
          <w:p w:rsidR="00066DCB" w:rsidRPr="008176F5" w:rsidRDefault="00066DCB" w:rsidP="00C43AB0">
            <w:pPr>
              <w:spacing w:before="140" w:afterLines="0" w:after="0"/>
            </w:pPr>
            <w:r w:rsidRPr="008176F5">
              <w:t>9</w:t>
            </w:r>
          </w:p>
        </w:tc>
        <w:tc>
          <w:tcPr>
            <w:tcW w:w="2269" w:type="dxa"/>
            <w:vAlign w:val="bottom"/>
          </w:tcPr>
          <w:p w:rsidR="00066DCB" w:rsidRPr="008176F5" w:rsidRDefault="00066DCB" w:rsidP="00C43AB0">
            <w:pPr>
              <w:spacing w:before="140" w:afterLines="0" w:after="0"/>
            </w:pPr>
            <w:r w:rsidRPr="008176F5">
              <w:t>3</w:t>
            </w:r>
          </w:p>
        </w:tc>
      </w:tr>
      <w:tr w:rsidR="00066DCB" w:rsidRPr="00B62635" w:rsidTr="00066DCB">
        <w:tc>
          <w:tcPr>
            <w:tcW w:w="2268" w:type="dxa"/>
            <w:vAlign w:val="center"/>
          </w:tcPr>
          <w:p w:rsidR="00066DCB" w:rsidRPr="008176F5" w:rsidRDefault="00066DCB" w:rsidP="00C43AB0">
            <w:pPr>
              <w:spacing w:before="140" w:afterLines="0" w:after="0"/>
            </w:pPr>
            <w:r w:rsidRPr="008176F5">
              <w:t>Q1 2013</w:t>
            </w:r>
          </w:p>
        </w:tc>
        <w:tc>
          <w:tcPr>
            <w:tcW w:w="2268" w:type="dxa"/>
            <w:shd w:val="clear" w:color="auto" w:fill="auto"/>
            <w:vAlign w:val="bottom"/>
          </w:tcPr>
          <w:p w:rsidR="00066DCB" w:rsidRPr="008176F5" w:rsidRDefault="00066DCB" w:rsidP="00C43AB0">
            <w:pPr>
              <w:spacing w:before="140" w:afterLines="0" w:after="0"/>
            </w:pPr>
            <w:r w:rsidRPr="008176F5">
              <w:t>18</w:t>
            </w:r>
          </w:p>
        </w:tc>
        <w:tc>
          <w:tcPr>
            <w:tcW w:w="2268" w:type="dxa"/>
            <w:shd w:val="clear" w:color="auto" w:fill="auto"/>
            <w:vAlign w:val="bottom"/>
          </w:tcPr>
          <w:p w:rsidR="00066DCB" w:rsidRPr="008176F5" w:rsidRDefault="00066DCB" w:rsidP="00C43AB0">
            <w:pPr>
              <w:spacing w:before="140" w:afterLines="0" w:after="0"/>
            </w:pPr>
            <w:r w:rsidRPr="008176F5">
              <w:t>17</w:t>
            </w:r>
          </w:p>
        </w:tc>
        <w:tc>
          <w:tcPr>
            <w:tcW w:w="2269" w:type="dxa"/>
            <w:vAlign w:val="bottom"/>
          </w:tcPr>
          <w:p w:rsidR="00066DCB" w:rsidRPr="008176F5" w:rsidRDefault="00066DCB" w:rsidP="00C43AB0">
            <w:pPr>
              <w:spacing w:before="140" w:afterLines="0" w:after="0"/>
            </w:pPr>
            <w:r w:rsidRPr="008176F5">
              <w:t>1</w:t>
            </w:r>
          </w:p>
        </w:tc>
      </w:tr>
      <w:tr w:rsidR="00066DCB" w:rsidRPr="00B62635" w:rsidTr="00066DCB">
        <w:tc>
          <w:tcPr>
            <w:tcW w:w="2268" w:type="dxa"/>
            <w:vAlign w:val="center"/>
          </w:tcPr>
          <w:p w:rsidR="00066DCB" w:rsidRPr="008176F5" w:rsidRDefault="00066DCB" w:rsidP="00C43AB0">
            <w:pPr>
              <w:spacing w:before="140" w:afterLines="0" w:after="0"/>
            </w:pPr>
            <w:r w:rsidRPr="008176F5">
              <w:t>Q2 2013</w:t>
            </w:r>
          </w:p>
        </w:tc>
        <w:tc>
          <w:tcPr>
            <w:tcW w:w="2268" w:type="dxa"/>
            <w:shd w:val="clear" w:color="auto" w:fill="auto"/>
            <w:vAlign w:val="bottom"/>
          </w:tcPr>
          <w:p w:rsidR="00066DCB" w:rsidRPr="008176F5" w:rsidRDefault="00066DCB" w:rsidP="00C43AB0">
            <w:pPr>
              <w:spacing w:before="140" w:afterLines="0" w:after="0"/>
            </w:pPr>
            <w:r w:rsidRPr="008176F5">
              <w:t>15</w:t>
            </w:r>
          </w:p>
        </w:tc>
        <w:tc>
          <w:tcPr>
            <w:tcW w:w="2268" w:type="dxa"/>
            <w:shd w:val="clear" w:color="auto" w:fill="auto"/>
            <w:vAlign w:val="bottom"/>
          </w:tcPr>
          <w:p w:rsidR="00066DCB" w:rsidRPr="008176F5" w:rsidRDefault="00066DCB" w:rsidP="00C43AB0">
            <w:pPr>
              <w:spacing w:before="140" w:afterLines="0" w:after="0"/>
            </w:pPr>
            <w:r w:rsidRPr="008176F5">
              <w:t>13</w:t>
            </w:r>
          </w:p>
        </w:tc>
        <w:tc>
          <w:tcPr>
            <w:tcW w:w="2269" w:type="dxa"/>
            <w:vAlign w:val="bottom"/>
          </w:tcPr>
          <w:p w:rsidR="00066DCB" w:rsidRPr="008176F5" w:rsidRDefault="00066DCB" w:rsidP="00C43AB0">
            <w:pPr>
              <w:spacing w:before="140" w:afterLines="0" w:after="0"/>
            </w:pPr>
            <w:r w:rsidRPr="008176F5">
              <w:t>2</w:t>
            </w:r>
          </w:p>
        </w:tc>
      </w:tr>
      <w:tr w:rsidR="00066DCB" w:rsidRPr="00B62635" w:rsidTr="00066DCB">
        <w:tc>
          <w:tcPr>
            <w:tcW w:w="2268" w:type="dxa"/>
            <w:vAlign w:val="center"/>
          </w:tcPr>
          <w:p w:rsidR="00066DCB" w:rsidRPr="008176F5" w:rsidRDefault="00066DCB" w:rsidP="00C43AB0">
            <w:pPr>
              <w:spacing w:before="140" w:afterLines="0" w:after="0"/>
            </w:pPr>
            <w:r w:rsidRPr="008176F5">
              <w:t>Q3 2013</w:t>
            </w:r>
          </w:p>
        </w:tc>
        <w:tc>
          <w:tcPr>
            <w:tcW w:w="2268" w:type="dxa"/>
            <w:shd w:val="clear" w:color="auto" w:fill="auto"/>
            <w:vAlign w:val="bottom"/>
          </w:tcPr>
          <w:p w:rsidR="00066DCB" w:rsidRPr="008176F5" w:rsidRDefault="00066DCB" w:rsidP="00C43AB0">
            <w:pPr>
              <w:spacing w:before="140" w:afterLines="0" w:after="0"/>
            </w:pPr>
            <w:r w:rsidRPr="008176F5">
              <w:t>12</w:t>
            </w:r>
          </w:p>
        </w:tc>
        <w:tc>
          <w:tcPr>
            <w:tcW w:w="2268" w:type="dxa"/>
            <w:shd w:val="clear" w:color="auto" w:fill="auto"/>
            <w:vAlign w:val="bottom"/>
          </w:tcPr>
          <w:p w:rsidR="00066DCB" w:rsidRPr="008176F5" w:rsidRDefault="00066DCB" w:rsidP="00C43AB0">
            <w:pPr>
              <w:spacing w:before="140" w:afterLines="0" w:after="0"/>
            </w:pPr>
            <w:r w:rsidRPr="008176F5">
              <w:t>10</w:t>
            </w:r>
          </w:p>
        </w:tc>
        <w:tc>
          <w:tcPr>
            <w:tcW w:w="2269" w:type="dxa"/>
            <w:vAlign w:val="bottom"/>
          </w:tcPr>
          <w:p w:rsidR="00066DCB" w:rsidRPr="008176F5" w:rsidRDefault="00066DCB" w:rsidP="00C43AB0">
            <w:pPr>
              <w:spacing w:before="140" w:afterLines="0" w:after="0"/>
            </w:pPr>
            <w:r w:rsidRPr="008176F5">
              <w:t>2</w:t>
            </w:r>
          </w:p>
        </w:tc>
      </w:tr>
      <w:tr w:rsidR="00066DCB" w:rsidRPr="00B62635" w:rsidTr="00066DCB">
        <w:tc>
          <w:tcPr>
            <w:tcW w:w="2268" w:type="dxa"/>
            <w:vAlign w:val="center"/>
          </w:tcPr>
          <w:p w:rsidR="00066DCB" w:rsidRPr="008176F5" w:rsidRDefault="00066DCB" w:rsidP="00C43AB0">
            <w:pPr>
              <w:spacing w:before="140" w:afterLines="0" w:after="0"/>
            </w:pPr>
            <w:r w:rsidRPr="008176F5">
              <w:t>Q4 2013</w:t>
            </w:r>
          </w:p>
        </w:tc>
        <w:tc>
          <w:tcPr>
            <w:tcW w:w="2268" w:type="dxa"/>
            <w:shd w:val="clear" w:color="auto" w:fill="auto"/>
            <w:vAlign w:val="bottom"/>
          </w:tcPr>
          <w:p w:rsidR="00066DCB" w:rsidRPr="008176F5" w:rsidRDefault="00066DCB" w:rsidP="00C43AB0">
            <w:pPr>
              <w:spacing w:before="140" w:afterLines="0" w:after="0"/>
            </w:pPr>
            <w:r w:rsidRPr="008176F5">
              <w:t>16</w:t>
            </w:r>
          </w:p>
        </w:tc>
        <w:tc>
          <w:tcPr>
            <w:tcW w:w="2268" w:type="dxa"/>
            <w:shd w:val="clear" w:color="auto" w:fill="auto"/>
            <w:vAlign w:val="bottom"/>
          </w:tcPr>
          <w:p w:rsidR="00066DCB" w:rsidRPr="008176F5" w:rsidRDefault="00066DCB" w:rsidP="00C43AB0">
            <w:pPr>
              <w:spacing w:before="140" w:afterLines="0" w:after="0"/>
            </w:pPr>
            <w:r w:rsidRPr="008176F5">
              <w:t>14</w:t>
            </w:r>
          </w:p>
        </w:tc>
        <w:tc>
          <w:tcPr>
            <w:tcW w:w="2269" w:type="dxa"/>
            <w:vAlign w:val="bottom"/>
          </w:tcPr>
          <w:p w:rsidR="00066DCB" w:rsidRPr="008176F5" w:rsidRDefault="00066DCB" w:rsidP="00C43AB0">
            <w:pPr>
              <w:spacing w:before="140" w:afterLines="0" w:after="0"/>
            </w:pPr>
            <w:r w:rsidRPr="008176F5">
              <w:t>2</w:t>
            </w:r>
          </w:p>
        </w:tc>
      </w:tr>
      <w:tr w:rsidR="00066DCB" w:rsidRPr="00B62635" w:rsidTr="00066DCB">
        <w:tc>
          <w:tcPr>
            <w:tcW w:w="2268" w:type="dxa"/>
            <w:vAlign w:val="center"/>
          </w:tcPr>
          <w:p w:rsidR="00066DCB" w:rsidRPr="008176F5" w:rsidRDefault="00066DCB" w:rsidP="00C43AB0">
            <w:pPr>
              <w:spacing w:before="140" w:afterLines="0" w:after="0"/>
            </w:pPr>
            <w:r w:rsidRPr="008176F5">
              <w:t>Q1 2014</w:t>
            </w:r>
          </w:p>
        </w:tc>
        <w:tc>
          <w:tcPr>
            <w:tcW w:w="2268" w:type="dxa"/>
            <w:shd w:val="clear" w:color="auto" w:fill="auto"/>
            <w:vAlign w:val="bottom"/>
          </w:tcPr>
          <w:p w:rsidR="00066DCB" w:rsidRPr="008176F5" w:rsidRDefault="00066DCB" w:rsidP="00C43AB0">
            <w:pPr>
              <w:spacing w:before="140" w:afterLines="0" w:after="0"/>
            </w:pPr>
            <w:r w:rsidRPr="008176F5">
              <w:t>8</w:t>
            </w:r>
          </w:p>
        </w:tc>
        <w:tc>
          <w:tcPr>
            <w:tcW w:w="2268" w:type="dxa"/>
            <w:shd w:val="clear" w:color="auto" w:fill="auto"/>
            <w:vAlign w:val="bottom"/>
          </w:tcPr>
          <w:p w:rsidR="00066DCB" w:rsidRPr="008176F5" w:rsidRDefault="00066DCB" w:rsidP="00C43AB0">
            <w:pPr>
              <w:spacing w:before="140" w:afterLines="0" w:after="0"/>
            </w:pPr>
            <w:r w:rsidRPr="008176F5">
              <w:t>6</w:t>
            </w:r>
          </w:p>
        </w:tc>
        <w:tc>
          <w:tcPr>
            <w:tcW w:w="2269" w:type="dxa"/>
            <w:vAlign w:val="bottom"/>
          </w:tcPr>
          <w:p w:rsidR="00066DCB" w:rsidRPr="008176F5" w:rsidRDefault="00066DCB" w:rsidP="00C43AB0">
            <w:pPr>
              <w:spacing w:before="140" w:afterLines="0" w:after="0"/>
            </w:pPr>
            <w:r w:rsidRPr="008176F5">
              <w:t>2</w:t>
            </w:r>
          </w:p>
        </w:tc>
      </w:tr>
      <w:tr w:rsidR="00066DCB" w:rsidRPr="00B62635" w:rsidTr="00066DCB">
        <w:tc>
          <w:tcPr>
            <w:tcW w:w="2268" w:type="dxa"/>
            <w:vAlign w:val="center"/>
          </w:tcPr>
          <w:p w:rsidR="00066DCB" w:rsidRPr="008176F5" w:rsidRDefault="00066DCB" w:rsidP="00C43AB0">
            <w:pPr>
              <w:spacing w:before="140" w:afterLines="0" w:after="0"/>
            </w:pPr>
            <w:r w:rsidRPr="008176F5">
              <w:t>Q2 2014</w:t>
            </w:r>
          </w:p>
        </w:tc>
        <w:tc>
          <w:tcPr>
            <w:tcW w:w="2268" w:type="dxa"/>
            <w:shd w:val="clear" w:color="auto" w:fill="auto"/>
            <w:vAlign w:val="bottom"/>
          </w:tcPr>
          <w:p w:rsidR="00066DCB" w:rsidRPr="008176F5" w:rsidRDefault="00066DCB" w:rsidP="00C43AB0">
            <w:pPr>
              <w:spacing w:before="140" w:afterLines="0" w:after="0"/>
            </w:pPr>
            <w:r w:rsidRPr="008176F5">
              <w:t>13</w:t>
            </w:r>
          </w:p>
        </w:tc>
        <w:tc>
          <w:tcPr>
            <w:tcW w:w="2268" w:type="dxa"/>
            <w:shd w:val="clear" w:color="auto" w:fill="auto"/>
            <w:vAlign w:val="bottom"/>
          </w:tcPr>
          <w:p w:rsidR="00066DCB" w:rsidRPr="008176F5" w:rsidRDefault="00066DCB" w:rsidP="00C43AB0">
            <w:pPr>
              <w:spacing w:before="140" w:afterLines="0" w:after="0"/>
            </w:pPr>
            <w:r w:rsidRPr="008176F5">
              <w:t>11</w:t>
            </w:r>
          </w:p>
        </w:tc>
        <w:tc>
          <w:tcPr>
            <w:tcW w:w="2269" w:type="dxa"/>
            <w:vAlign w:val="bottom"/>
          </w:tcPr>
          <w:p w:rsidR="00066DCB" w:rsidRPr="008176F5" w:rsidRDefault="00066DCB" w:rsidP="00C43AB0">
            <w:pPr>
              <w:spacing w:before="140" w:afterLines="0" w:after="0"/>
            </w:pPr>
            <w:r w:rsidRPr="008176F5">
              <w:t>2</w:t>
            </w:r>
          </w:p>
        </w:tc>
      </w:tr>
      <w:tr w:rsidR="00066DCB" w:rsidRPr="00B62635" w:rsidTr="00066DCB">
        <w:tc>
          <w:tcPr>
            <w:tcW w:w="2268" w:type="dxa"/>
            <w:vAlign w:val="center"/>
          </w:tcPr>
          <w:p w:rsidR="00066DCB" w:rsidRPr="008176F5" w:rsidRDefault="00066DCB" w:rsidP="00C43AB0">
            <w:pPr>
              <w:spacing w:before="140" w:afterLines="0" w:after="0"/>
            </w:pPr>
            <w:r w:rsidRPr="008176F5">
              <w:t>Q3 2014</w:t>
            </w:r>
          </w:p>
        </w:tc>
        <w:tc>
          <w:tcPr>
            <w:tcW w:w="2268" w:type="dxa"/>
            <w:shd w:val="clear" w:color="auto" w:fill="auto"/>
            <w:vAlign w:val="bottom"/>
          </w:tcPr>
          <w:p w:rsidR="00066DCB" w:rsidRPr="008176F5" w:rsidRDefault="00066DCB" w:rsidP="00C43AB0">
            <w:pPr>
              <w:spacing w:before="140" w:afterLines="0" w:after="0"/>
            </w:pPr>
            <w:r w:rsidRPr="008176F5">
              <w:t>8</w:t>
            </w:r>
          </w:p>
        </w:tc>
        <w:tc>
          <w:tcPr>
            <w:tcW w:w="2268" w:type="dxa"/>
            <w:shd w:val="clear" w:color="auto" w:fill="auto"/>
            <w:vAlign w:val="bottom"/>
          </w:tcPr>
          <w:p w:rsidR="00066DCB" w:rsidRPr="008176F5" w:rsidRDefault="00066DCB" w:rsidP="00C43AB0">
            <w:pPr>
              <w:spacing w:before="140" w:afterLines="0" w:after="0"/>
            </w:pPr>
            <w:r w:rsidRPr="008176F5">
              <w:t>8</w:t>
            </w:r>
          </w:p>
        </w:tc>
        <w:tc>
          <w:tcPr>
            <w:tcW w:w="2269" w:type="dxa"/>
            <w:vAlign w:val="bottom"/>
          </w:tcPr>
          <w:p w:rsidR="00066DCB" w:rsidRPr="008176F5" w:rsidRDefault="00066DCB" w:rsidP="00C43AB0">
            <w:pPr>
              <w:spacing w:before="140" w:afterLines="0" w:after="0"/>
            </w:pPr>
            <w:r w:rsidRPr="008176F5">
              <w:t>0</w:t>
            </w:r>
          </w:p>
        </w:tc>
      </w:tr>
      <w:tr w:rsidR="00066DCB" w:rsidRPr="00B62635" w:rsidTr="00066DCB">
        <w:tc>
          <w:tcPr>
            <w:tcW w:w="2268" w:type="dxa"/>
            <w:vAlign w:val="center"/>
          </w:tcPr>
          <w:p w:rsidR="00066DCB" w:rsidRPr="008176F5" w:rsidRDefault="00066DCB" w:rsidP="00C43AB0">
            <w:pPr>
              <w:spacing w:before="140" w:afterLines="0" w:after="0"/>
            </w:pPr>
            <w:r w:rsidRPr="008176F5">
              <w:t>Q4 2014</w:t>
            </w:r>
          </w:p>
        </w:tc>
        <w:tc>
          <w:tcPr>
            <w:tcW w:w="2268" w:type="dxa"/>
            <w:shd w:val="clear" w:color="auto" w:fill="auto"/>
            <w:vAlign w:val="bottom"/>
          </w:tcPr>
          <w:p w:rsidR="00066DCB" w:rsidRPr="008176F5" w:rsidRDefault="00066DCB" w:rsidP="00C43AB0">
            <w:pPr>
              <w:spacing w:before="140" w:afterLines="0" w:after="0"/>
            </w:pPr>
            <w:r w:rsidRPr="008176F5">
              <w:t>19</w:t>
            </w:r>
          </w:p>
        </w:tc>
        <w:tc>
          <w:tcPr>
            <w:tcW w:w="2268" w:type="dxa"/>
            <w:shd w:val="clear" w:color="auto" w:fill="auto"/>
            <w:vAlign w:val="bottom"/>
          </w:tcPr>
          <w:p w:rsidR="00066DCB" w:rsidRPr="008176F5" w:rsidRDefault="00066DCB" w:rsidP="00C43AB0">
            <w:pPr>
              <w:spacing w:before="140" w:afterLines="0" w:after="0"/>
            </w:pPr>
            <w:r w:rsidRPr="008176F5">
              <w:t>19</w:t>
            </w:r>
          </w:p>
        </w:tc>
        <w:tc>
          <w:tcPr>
            <w:tcW w:w="2269" w:type="dxa"/>
            <w:vAlign w:val="bottom"/>
          </w:tcPr>
          <w:p w:rsidR="00066DCB" w:rsidRPr="008176F5" w:rsidRDefault="00066DCB" w:rsidP="00C43AB0">
            <w:pPr>
              <w:spacing w:before="140" w:afterLines="0" w:after="0"/>
            </w:pPr>
            <w:r w:rsidRPr="008176F5">
              <w:t>0</w:t>
            </w:r>
          </w:p>
        </w:tc>
      </w:tr>
      <w:tr w:rsidR="00066DCB" w:rsidRPr="00B62635" w:rsidTr="00066DCB">
        <w:tc>
          <w:tcPr>
            <w:tcW w:w="2268" w:type="dxa"/>
            <w:vAlign w:val="center"/>
          </w:tcPr>
          <w:p w:rsidR="00066DCB" w:rsidRPr="008176F5" w:rsidRDefault="00066DCB" w:rsidP="00C43AB0">
            <w:pPr>
              <w:spacing w:before="140" w:afterLines="0" w:after="0"/>
            </w:pPr>
            <w:r w:rsidRPr="008176F5">
              <w:t>Q1 2015</w:t>
            </w:r>
          </w:p>
        </w:tc>
        <w:tc>
          <w:tcPr>
            <w:tcW w:w="2268" w:type="dxa"/>
            <w:shd w:val="clear" w:color="auto" w:fill="auto"/>
            <w:vAlign w:val="bottom"/>
          </w:tcPr>
          <w:p w:rsidR="00066DCB" w:rsidRPr="008176F5" w:rsidRDefault="00066DCB" w:rsidP="00C43AB0">
            <w:pPr>
              <w:spacing w:before="140" w:afterLines="0" w:after="0"/>
            </w:pPr>
            <w:r w:rsidRPr="008176F5">
              <w:t>36</w:t>
            </w:r>
          </w:p>
        </w:tc>
        <w:tc>
          <w:tcPr>
            <w:tcW w:w="2268" w:type="dxa"/>
            <w:shd w:val="clear" w:color="auto" w:fill="auto"/>
            <w:vAlign w:val="bottom"/>
          </w:tcPr>
          <w:p w:rsidR="00066DCB" w:rsidRPr="008176F5" w:rsidRDefault="00066DCB" w:rsidP="00C43AB0">
            <w:pPr>
              <w:spacing w:before="140" w:afterLines="0" w:after="0"/>
            </w:pPr>
            <w:r w:rsidRPr="008176F5">
              <w:t>27</w:t>
            </w:r>
          </w:p>
        </w:tc>
        <w:tc>
          <w:tcPr>
            <w:tcW w:w="2269" w:type="dxa"/>
            <w:vAlign w:val="bottom"/>
          </w:tcPr>
          <w:p w:rsidR="00066DCB" w:rsidRPr="008176F5" w:rsidRDefault="00066DCB" w:rsidP="00C43AB0">
            <w:pPr>
              <w:spacing w:before="140" w:afterLines="0" w:after="0"/>
            </w:pPr>
            <w:r w:rsidRPr="008176F5">
              <w:t>9</w:t>
            </w:r>
          </w:p>
        </w:tc>
      </w:tr>
      <w:tr w:rsidR="00066DCB" w:rsidRPr="00B62635" w:rsidTr="00066DCB">
        <w:tc>
          <w:tcPr>
            <w:tcW w:w="2268" w:type="dxa"/>
            <w:vAlign w:val="center"/>
          </w:tcPr>
          <w:p w:rsidR="00066DCB" w:rsidRPr="008176F5" w:rsidRDefault="00066DCB" w:rsidP="00C43AB0">
            <w:pPr>
              <w:spacing w:before="140" w:afterLines="0" w:after="0"/>
            </w:pPr>
            <w:r w:rsidRPr="008176F5">
              <w:t>Q2 2015</w:t>
            </w:r>
          </w:p>
        </w:tc>
        <w:tc>
          <w:tcPr>
            <w:tcW w:w="2268" w:type="dxa"/>
            <w:shd w:val="clear" w:color="auto" w:fill="auto"/>
            <w:vAlign w:val="bottom"/>
          </w:tcPr>
          <w:p w:rsidR="00066DCB" w:rsidRPr="008176F5" w:rsidRDefault="00066DCB" w:rsidP="00C43AB0">
            <w:pPr>
              <w:spacing w:before="140" w:afterLines="0" w:after="0"/>
            </w:pPr>
            <w:r w:rsidRPr="008176F5">
              <w:t>29</w:t>
            </w:r>
          </w:p>
        </w:tc>
        <w:tc>
          <w:tcPr>
            <w:tcW w:w="2268" w:type="dxa"/>
            <w:shd w:val="clear" w:color="auto" w:fill="auto"/>
            <w:vAlign w:val="bottom"/>
          </w:tcPr>
          <w:p w:rsidR="00066DCB" w:rsidRPr="008176F5" w:rsidRDefault="00066DCB" w:rsidP="00C43AB0">
            <w:pPr>
              <w:spacing w:before="140" w:afterLines="0" w:after="0"/>
            </w:pPr>
            <w:r w:rsidRPr="008176F5">
              <w:t>16</w:t>
            </w:r>
          </w:p>
        </w:tc>
        <w:tc>
          <w:tcPr>
            <w:tcW w:w="2269" w:type="dxa"/>
            <w:vAlign w:val="bottom"/>
          </w:tcPr>
          <w:p w:rsidR="00066DCB" w:rsidRPr="008176F5" w:rsidRDefault="00066DCB" w:rsidP="00C43AB0">
            <w:pPr>
              <w:spacing w:before="140" w:afterLines="0" w:after="0"/>
            </w:pPr>
            <w:r w:rsidRPr="008176F5">
              <w:t>13</w:t>
            </w:r>
          </w:p>
        </w:tc>
      </w:tr>
      <w:tr w:rsidR="00066DCB" w:rsidRPr="00B62635" w:rsidTr="00066DCB">
        <w:tc>
          <w:tcPr>
            <w:tcW w:w="2268" w:type="dxa"/>
            <w:vAlign w:val="center"/>
          </w:tcPr>
          <w:p w:rsidR="00066DCB" w:rsidRPr="008176F5" w:rsidRDefault="00066DCB" w:rsidP="00C43AB0">
            <w:pPr>
              <w:spacing w:before="140" w:afterLines="0" w:after="0"/>
            </w:pPr>
            <w:r w:rsidRPr="008176F5">
              <w:t>Q3 2015</w:t>
            </w:r>
          </w:p>
        </w:tc>
        <w:tc>
          <w:tcPr>
            <w:tcW w:w="2268" w:type="dxa"/>
            <w:shd w:val="clear" w:color="auto" w:fill="auto"/>
            <w:vAlign w:val="bottom"/>
          </w:tcPr>
          <w:p w:rsidR="00066DCB" w:rsidRPr="008176F5" w:rsidRDefault="00066DCB" w:rsidP="00C43AB0">
            <w:pPr>
              <w:spacing w:before="140" w:afterLines="0" w:after="0"/>
            </w:pPr>
            <w:r w:rsidRPr="008176F5">
              <w:t>83</w:t>
            </w:r>
          </w:p>
        </w:tc>
        <w:tc>
          <w:tcPr>
            <w:tcW w:w="2268" w:type="dxa"/>
            <w:shd w:val="clear" w:color="auto" w:fill="auto"/>
            <w:vAlign w:val="bottom"/>
          </w:tcPr>
          <w:p w:rsidR="00066DCB" w:rsidRPr="008176F5" w:rsidRDefault="00066DCB" w:rsidP="00C43AB0">
            <w:pPr>
              <w:spacing w:before="140" w:afterLines="0" w:after="0"/>
            </w:pPr>
            <w:r w:rsidRPr="008176F5">
              <w:t>72</w:t>
            </w:r>
          </w:p>
        </w:tc>
        <w:tc>
          <w:tcPr>
            <w:tcW w:w="2269" w:type="dxa"/>
            <w:vAlign w:val="bottom"/>
          </w:tcPr>
          <w:p w:rsidR="00066DCB" w:rsidRPr="008176F5" w:rsidRDefault="00066DCB" w:rsidP="00C43AB0">
            <w:pPr>
              <w:spacing w:before="140" w:afterLines="0" w:after="0"/>
            </w:pPr>
            <w:r w:rsidRPr="008176F5">
              <w:t>11</w:t>
            </w:r>
          </w:p>
        </w:tc>
      </w:tr>
      <w:tr w:rsidR="00066DCB" w:rsidRPr="00B62635" w:rsidTr="00066DCB">
        <w:tc>
          <w:tcPr>
            <w:tcW w:w="2268" w:type="dxa"/>
            <w:vAlign w:val="center"/>
          </w:tcPr>
          <w:p w:rsidR="00066DCB" w:rsidRPr="008176F5" w:rsidRDefault="00066DCB" w:rsidP="00C43AB0">
            <w:pPr>
              <w:spacing w:before="140" w:afterLines="0" w:after="0"/>
            </w:pPr>
            <w:r w:rsidRPr="008176F5">
              <w:t>Q4 2015</w:t>
            </w:r>
          </w:p>
        </w:tc>
        <w:tc>
          <w:tcPr>
            <w:tcW w:w="2268" w:type="dxa"/>
            <w:shd w:val="clear" w:color="auto" w:fill="auto"/>
            <w:vAlign w:val="bottom"/>
          </w:tcPr>
          <w:p w:rsidR="00066DCB" w:rsidRPr="008176F5" w:rsidRDefault="00066DCB" w:rsidP="00C43AB0">
            <w:pPr>
              <w:spacing w:before="140" w:afterLines="0" w:after="0"/>
            </w:pPr>
            <w:r w:rsidRPr="008176F5">
              <w:t>82</w:t>
            </w:r>
          </w:p>
        </w:tc>
        <w:tc>
          <w:tcPr>
            <w:tcW w:w="2268" w:type="dxa"/>
            <w:shd w:val="clear" w:color="auto" w:fill="auto"/>
            <w:vAlign w:val="bottom"/>
          </w:tcPr>
          <w:p w:rsidR="00066DCB" w:rsidRPr="008176F5" w:rsidRDefault="00066DCB" w:rsidP="00C43AB0">
            <w:pPr>
              <w:spacing w:before="140" w:afterLines="0" w:after="0"/>
            </w:pPr>
            <w:r w:rsidRPr="008176F5">
              <w:t>70</w:t>
            </w:r>
          </w:p>
        </w:tc>
        <w:tc>
          <w:tcPr>
            <w:tcW w:w="2269" w:type="dxa"/>
            <w:vAlign w:val="bottom"/>
          </w:tcPr>
          <w:p w:rsidR="00066DCB" w:rsidRPr="008176F5" w:rsidRDefault="00066DCB" w:rsidP="00C43AB0">
            <w:pPr>
              <w:spacing w:before="140" w:afterLines="0" w:after="0"/>
            </w:pPr>
            <w:r w:rsidRPr="008176F5">
              <w:t>12</w:t>
            </w:r>
          </w:p>
        </w:tc>
      </w:tr>
      <w:tr w:rsidR="00066DCB" w:rsidRPr="00B62635" w:rsidTr="00066DCB">
        <w:tc>
          <w:tcPr>
            <w:tcW w:w="2268" w:type="dxa"/>
            <w:vAlign w:val="center"/>
          </w:tcPr>
          <w:p w:rsidR="00066DCB" w:rsidRPr="008176F5" w:rsidRDefault="00066DCB" w:rsidP="00C43AB0">
            <w:pPr>
              <w:spacing w:before="140" w:afterLines="0" w:after="0"/>
            </w:pPr>
            <w:r w:rsidRPr="008176F5">
              <w:t>Q1 2016</w:t>
            </w:r>
          </w:p>
        </w:tc>
        <w:tc>
          <w:tcPr>
            <w:tcW w:w="2268" w:type="dxa"/>
            <w:shd w:val="clear" w:color="auto" w:fill="auto"/>
            <w:vAlign w:val="bottom"/>
          </w:tcPr>
          <w:p w:rsidR="00066DCB" w:rsidRPr="008176F5" w:rsidRDefault="00066DCB" w:rsidP="00C43AB0">
            <w:pPr>
              <w:spacing w:before="140" w:afterLines="0" w:after="0"/>
            </w:pPr>
            <w:r w:rsidRPr="008176F5">
              <w:t>73</w:t>
            </w:r>
          </w:p>
        </w:tc>
        <w:tc>
          <w:tcPr>
            <w:tcW w:w="2268" w:type="dxa"/>
            <w:shd w:val="clear" w:color="auto" w:fill="auto"/>
            <w:vAlign w:val="bottom"/>
          </w:tcPr>
          <w:p w:rsidR="00066DCB" w:rsidRPr="008176F5" w:rsidRDefault="00066DCB" w:rsidP="00C43AB0">
            <w:pPr>
              <w:spacing w:before="140" w:afterLines="0" w:after="0"/>
            </w:pPr>
            <w:r w:rsidRPr="008176F5">
              <w:t>65</w:t>
            </w:r>
          </w:p>
        </w:tc>
        <w:tc>
          <w:tcPr>
            <w:tcW w:w="2269" w:type="dxa"/>
            <w:vAlign w:val="bottom"/>
          </w:tcPr>
          <w:p w:rsidR="00066DCB" w:rsidRPr="008176F5" w:rsidRDefault="00066DCB" w:rsidP="00C43AB0">
            <w:pPr>
              <w:spacing w:before="140" w:afterLines="0" w:after="0"/>
            </w:pPr>
            <w:r w:rsidRPr="008176F5">
              <w:t>8</w:t>
            </w:r>
          </w:p>
        </w:tc>
      </w:tr>
      <w:tr w:rsidR="00066DCB" w:rsidRPr="00B62635" w:rsidTr="00066DCB">
        <w:tc>
          <w:tcPr>
            <w:tcW w:w="2268" w:type="dxa"/>
            <w:vAlign w:val="center"/>
          </w:tcPr>
          <w:p w:rsidR="00066DCB" w:rsidRPr="008176F5" w:rsidRDefault="00066DCB" w:rsidP="00C43AB0">
            <w:pPr>
              <w:spacing w:before="140" w:afterLines="0" w:after="0"/>
            </w:pPr>
            <w:r w:rsidRPr="008176F5">
              <w:t>Q2 2016</w:t>
            </w:r>
          </w:p>
        </w:tc>
        <w:tc>
          <w:tcPr>
            <w:tcW w:w="2268" w:type="dxa"/>
            <w:shd w:val="clear" w:color="auto" w:fill="auto"/>
            <w:vAlign w:val="bottom"/>
          </w:tcPr>
          <w:p w:rsidR="00066DCB" w:rsidRPr="008176F5" w:rsidRDefault="00066DCB" w:rsidP="00C43AB0">
            <w:pPr>
              <w:spacing w:before="140" w:afterLines="0" w:after="0"/>
            </w:pPr>
            <w:r>
              <w:t>138</w:t>
            </w:r>
          </w:p>
        </w:tc>
        <w:tc>
          <w:tcPr>
            <w:tcW w:w="2268" w:type="dxa"/>
            <w:shd w:val="clear" w:color="auto" w:fill="auto"/>
            <w:vAlign w:val="bottom"/>
          </w:tcPr>
          <w:p w:rsidR="00066DCB" w:rsidRPr="008176F5" w:rsidRDefault="00066DCB" w:rsidP="00C43AB0">
            <w:pPr>
              <w:spacing w:before="140" w:afterLines="0" w:after="0"/>
            </w:pPr>
            <w:r>
              <w:t>125</w:t>
            </w:r>
          </w:p>
        </w:tc>
        <w:tc>
          <w:tcPr>
            <w:tcW w:w="2269" w:type="dxa"/>
            <w:vAlign w:val="bottom"/>
          </w:tcPr>
          <w:p w:rsidR="00066DCB" w:rsidRPr="008176F5" w:rsidRDefault="00066DCB" w:rsidP="00C43AB0">
            <w:pPr>
              <w:spacing w:before="140" w:afterLines="0" w:after="0"/>
            </w:pPr>
            <w:r>
              <w:t>13</w:t>
            </w:r>
          </w:p>
        </w:tc>
      </w:tr>
    </w:tbl>
    <w:p w:rsidR="00B62635" w:rsidRPr="00B62635" w:rsidRDefault="00B62635" w:rsidP="00B62635">
      <w:pPr>
        <w:spacing w:after="336"/>
        <w:rPr>
          <w:b/>
        </w:rPr>
      </w:pPr>
    </w:p>
    <w:p w:rsidR="00B62635" w:rsidRPr="00B62635" w:rsidRDefault="00B62635" w:rsidP="00B62635">
      <w:pPr>
        <w:keepNext/>
        <w:keepLines/>
        <w:spacing w:before="200" w:after="336"/>
        <w:outlineLvl w:val="1"/>
        <w:rPr>
          <w:rFonts w:eastAsia="Times New Roman" w:cs="Times New Roman"/>
          <w:b/>
          <w:bCs/>
          <w:sz w:val="32"/>
          <w:szCs w:val="32"/>
        </w:rPr>
      </w:pPr>
      <w:bookmarkStart w:id="124" w:name="_Toc436818840"/>
      <w:bookmarkStart w:id="125" w:name="_Toc459796648"/>
      <w:r w:rsidRPr="00B62635">
        <w:rPr>
          <w:rFonts w:eastAsiaTheme="majorEastAsia" w:cstheme="majorBidi"/>
          <w:b/>
          <w:bCs/>
          <w:sz w:val="32"/>
          <w:szCs w:val="32"/>
        </w:rPr>
        <w:t xml:space="preserve">Hand hygiene compliance data </w:t>
      </w:r>
      <w:r w:rsidR="004602BA">
        <w:rPr>
          <w:rFonts w:eastAsiaTheme="majorEastAsia" w:cstheme="majorBidi"/>
          <w:b/>
          <w:bCs/>
          <w:sz w:val="32"/>
          <w:szCs w:val="32"/>
        </w:rPr>
        <w:t xml:space="preserve">June </w:t>
      </w:r>
      <w:r w:rsidRPr="00B62635">
        <w:rPr>
          <w:rFonts w:eastAsiaTheme="majorEastAsia" w:cstheme="majorBidi"/>
          <w:b/>
          <w:bCs/>
          <w:sz w:val="32"/>
          <w:szCs w:val="32"/>
        </w:rPr>
        <w:t>201</w:t>
      </w:r>
      <w:bookmarkEnd w:id="124"/>
      <w:r w:rsidRPr="00B62635">
        <w:rPr>
          <w:rFonts w:eastAsiaTheme="majorEastAsia" w:cstheme="majorBidi"/>
          <w:b/>
          <w:bCs/>
          <w:sz w:val="32"/>
          <w:szCs w:val="32"/>
        </w:rPr>
        <w:t>6</w:t>
      </w:r>
      <w:bookmarkEnd w:id="125"/>
      <w:r w:rsidRPr="00B62635">
        <w:rPr>
          <w:rFonts w:eastAsiaTheme="majorEastAsia" w:cstheme="majorBidi"/>
          <w:b/>
          <w:bCs/>
          <w:sz w:val="32"/>
          <w:szCs w:val="32"/>
        </w:rPr>
        <w:t xml:space="preserve"> </w:t>
      </w:r>
    </w:p>
    <w:p w:rsidR="00B62635" w:rsidRDefault="00B62635" w:rsidP="00B62635">
      <w:pPr>
        <w:tabs>
          <w:tab w:val="left" w:pos="567"/>
        </w:tabs>
        <w:spacing w:afterLines="0"/>
        <w:rPr>
          <w:rFonts w:eastAsia="Times New Roman" w:cs="Times New Roman"/>
          <w:bCs/>
        </w:rPr>
      </w:pPr>
      <w:bookmarkStart w:id="126" w:name="_Toc397505159"/>
      <w:bookmarkStart w:id="127" w:name="_Toc397505406"/>
      <w:bookmarkStart w:id="128" w:name="_Toc397506661"/>
      <w:bookmarkStart w:id="129" w:name="_Toc438212212"/>
      <w:bookmarkStart w:id="130" w:name="_Toc459796766"/>
      <w:r w:rsidRPr="00B62635">
        <w:rPr>
          <w:rFonts w:eastAsia="Times New Roman" w:cs="Times New Roman"/>
          <w:b/>
          <w:bCs/>
        </w:rPr>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556020">
        <w:rPr>
          <w:rFonts w:eastAsia="Times New Roman" w:cs="Times New Roman"/>
          <w:b/>
          <w:bCs/>
          <w:noProof/>
        </w:rPr>
        <w:t>12</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Hand hygiene compliance rates by Tasmanian hospital and state level</w:t>
      </w:r>
      <w:bookmarkEnd w:id="126"/>
      <w:bookmarkEnd w:id="127"/>
      <w:bookmarkEnd w:id="128"/>
      <w:bookmarkEnd w:id="129"/>
      <w:bookmarkEnd w:id="130"/>
    </w:p>
    <w:tbl>
      <w:tblPr>
        <w:tblW w:w="9654" w:type="dxa"/>
        <w:jc w:val="center"/>
        <w:tblLayout w:type="fixed"/>
        <w:tblLook w:val="04A0" w:firstRow="1" w:lastRow="0" w:firstColumn="1" w:lastColumn="0" w:noHBand="0" w:noVBand="1"/>
        <w:tblCaption w:val="Table 13 - Hand hygiene compliance rates by Tasmanian hospital and state level"/>
      </w:tblPr>
      <w:tblGrid>
        <w:gridCol w:w="1716"/>
        <w:gridCol w:w="1587"/>
        <w:gridCol w:w="1588"/>
        <w:gridCol w:w="1587"/>
        <w:gridCol w:w="1588"/>
        <w:gridCol w:w="1588"/>
      </w:tblGrid>
      <w:tr w:rsidR="004602BA" w:rsidRPr="004602BA" w:rsidTr="00AD4ECF">
        <w:trPr>
          <w:trHeight w:val="1109"/>
          <w:tblHeader/>
          <w:jc w:val="center"/>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02BA" w:rsidRPr="004602BA" w:rsidRDefault="004602BA" w:rsidP="00C43AB0">
            <w:pPr>
              <w:spacing w:afterLines="0" w:after="336" w:line="240" w:lineRule="auto"/>
              <w:jc w:val="center"/>
              <w:rPr>
                <w:rFonts w:eastAsia="Times New Roman" w:cs="Arial"/>
                <w:b/>
                <w:bCs/>
                <w:lang w:eastAsia="en-AU"/>
              </w:rPr>
            </w:pPr>
            <w:r w:rsidRPr="004602BA">
              <w:rPr>
                <w:rFonts w:eastAsia="Times New Roman" w:cs="Arial"/>
                <w:b/>
                <w:bCs/>
                <w:lang w:eastAsia="en-AU"/>
              </w:rPr>
              <w:t xml:space="preserve">Hospital </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rsidR="004602BA" w:rsidRPr="004602BA" w:rsidRDefault="004602BA" w:rsidP="004602BA">
            <w:pPr>
              <w:spacing w:afterLines="0" w:after="0" w:line="240" w:lineRule="auto"/>
              <w:jc w:val="center"/>
              <w:rPr>
                <w:rFonts w:eastAsia="Times New Roman" w:cs="Arial"/>
                <w:b/>
                <w:bCs/>
                <w:lang w:eastAsia="en-AU"/>
              </w:rPr>
            </w:pPr>
            <w:r w:rsidRPr="004602BA">
              <w:rPr>
                <w:rFonts w:eastAsia="Times New Roman" w:cs="Arial"/>
                <w:b/>
                <w:bCs/>
                <w:lang w:eastAsia="en-AU"/>
              </w:rPr>
              <w:t>HH Correctly Performed</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4602BA" w:rsidRPr="004602BA" w:rsidRDefault="004602BA" w:rsidP="004602BA">
            <w:pPr>
              <w:spacing w:afterLines="0" w:after="0" w:line="240" w:lineRule="auto"/>
              <w:jc w:val="center"/>
              <w:rPr>
                <w:rFonts w:eastAsia="Times New Roman" w:cs="Arial"/>
                <w:b/>
                <w:bCs/>
                <w:lang w:eastAsia="en-AU"/>
              </w:rPr>
            </w:pPr>
            <w:r w:rsidRPr="004602BA">
              <w:rPr>
                <w:rFonts w:eastAsia="Times New Roman" w:cs="Arial"/>
                <w:b/>
                <w:bCs/>
                <w:lang w:eastAsia="en-AU"/>
              </w:rPr>
              <w:t>HH Moments</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rsidR="004602BA" w:rsidRPr="004602BA" w:rsidRDefault="004602BA" w:rsidP="004602BA">
            <w:pPr>
              <w:spacing w:afterLines="0" w:after="0" w:line="240" w:lineRule="auto"/>
              <w:jc w:val="center"/>
              <w:rPr>
                <w:rFonts w:eastAsia="Times New Roman" w:cs="Arial"/>
                <w:b/>
                <w:bCs/>
                <w:lang w:eastAsia="en-AU"/>
              </w:rPr>
            </w:pPr>
            <w:r w:rsidRPr="004602BA">
              <w:rPr>
                <w:rFonts w:eastAsia="Times New Roman" w:cs="Arial"/>
                <w:b/>
                <w:bCs/>
                <w:lang w:eastAsia="en-AU"/>
              </w:rPr>
              <w:t xml:space="preserve">Compliance </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4602BA" w:rsidRPr="004602BA" w:rsidRDefault="004602BA" w:rsidP="0035443D">
            <w:pPr>
              <w:spacing w:afterLines="0" w:after="0" w:line="240" w:lineRule="auto"/>
              <w:jc w:val="center"/>
              <w:rPr>
                <w:rFonts w:eastAsia="Times New Roman" w:cs="Arial"/>
                <w:b/>
                <w:bCs/>
                <w:lang w:eastAsia="en-AU"/>
              </w:rPr>
            </w:pPr>
            <w:r w:rsidRPr="004602BA">
              <w:rPr>
                <w:rFonts w:eastAsia="Times New Roman" w:cs="Arial"/>
                <w:b/>
                <w:bCs/>
                <w:lang w:eastAsia="en-AU"/>
              </w:rPr>
              <w:t xml:space="preserve">Lower 95% confidence interval </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4602BA" w:rsidRPr="004602BA" w:rsidRDefault="004602BA" w:rsidP="004602BA">
            <w:pPr>
              <w:spacing w:afterLines="0" w:after="0" w:line="240" w:lineRule="auto"/>
              <w:jc w:val="center"/>
              <w:rPr>
                <w:rFonts w:eastAsia="Times New Roman" w:cs="Arial"/>
                <w:b/>
                <w:bCs/>
                <w:lang w:eastAsia="en-AU"/>
              </w:rPr>
            </w:pPr>
            <w:r w:rsidRPr="004602BA">
              <w:rPr>
                <w:rFonts w:eastAsia="Times New Roman" w:cs="Arial"/>
                <w:b/>
                <w:bCs/>
                <w:lang w:eastAsia="en-AU"/>
              </w:rPr>
              <w:t>Upper 95% confidence interval</w:t>
            </w:r>
          </w:p>
        </w:tc>
      </w:tr>
      <w:tr w:rsidR="004602BA" w:rsidRPr="004602BA" w:rsidTr="008E161C">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sz w:val="20"/>
                <w:szCs w:val="20"/>
                <w:lang w:eastAsia="en-AU"/>
              </w:rPr>
            </w:pPr>
            <w:r w:rsidRPr="004602BA">
              <w:rPr>
                <w:rFonts w:eastAsia="Times New Roman" w:cs="Arial"/>
                <w:sz w:val="20"/>
                <w:szCs w:val="20"/>
                <w:lang w:eastAsia="en-AU"/>
              </w:rPr>
              <w:t xml:space="preserve">Royal Hobart </w:t>
            </w:r>
          </w:p>
        </w:tc>
        <w:tc>
          <w:tcPr>
            <w:tcW w:w="1587"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2197</w:t>
            </w:r>
          </w:p>
        </w:tc>
        <w:tc>
          <w:tcPr>
            <w:tcW w:w="1588"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2685</w:t>
            </w:r>
          </w:p>
        </w:tc>
        <w:tc>
          <w:tcPr>
            <w:tcW w:w="1587"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82%</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80%</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83%</w:t>
            </w:r>
          </w:p>
        </w:tc>
      </w:tr>
      <w:tr w:rsidR="004602BA" w:rsidRPr="004602BA" w:rsidTr="008E161C">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sz w:val="20"/>
                <w:szCs w:val="20"/>
                <w:lang w:eastAsia="en-AU"/>
              </w:rPr>
            </w:pPr>
            <w:r w:rsidRPr="004602BA">
              <w:rPr>
                <w:rFonts w:eastAsia="Times New Roman" w:cs="Arial"/>
                <w:sz w:val="20"/>
                <w:szCs w:val="20"/>
                <w:lang w:eastAsia="en-AU"/>
              </w:rPr>
              <w:t xml:space="preserve">LGH  </w:t>
            </w:r>
          </w:p>
        </w:tc>
        <w:tc>
          <w:tcPr>
            <w:tcW w:w="1587"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4369</w:t>
            </w:r>
          </w:p>
        </w:tc>
        <w:tc>
          <w:tcPr>
            <w:tcW w:w="1588"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5468</w:t>
            </w:r>
          </w:p>
        </w:tc>
        <w:tc>
          <w:tcPr>
            <w:tcW w:w="1587"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80%</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79%</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81%</w:t>
            </w:r>
          </w:p>
        </w:tc>
      </w:tr>
      <w:tr w:rsidR="004602BA" w:rsidRPr="004602BA" w:rsidTr="008E161C">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sz w:val="20"/>
                <w:szCs w:val="20"/>
                <w:lang w:eastAsia="en-AU"/>
              </w:rPr>
            </w:pPr>
            <w:r w:rsidRPr="004602BA">
              <w:rPr>
                <w:rFonts w:eastAsia="Times New Roman" w:cs="Arial"/>
                <w:sz w:val="20"/>
                <w:szCs w:val="20"/>
                <w:lang w:eastAsia="en-AU"/>
              </w:rPr>
              <w:t xml:space="preserve">Mersey  </w:t>
            </w:r>
          </w:p>
        </w:tc>
        <w:tc>
          <w:tcPr>
            <w:tcW w:w="1587"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559</w:t>
            </w:r>
          </w:p>
        </w:tc>
        <w:tc>
          <w:tcPr>
            <w:tcW w:w="1588"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719</w:t>
            </w:r>
          </w:p>
        </w:tc>
        <w:tc>
          <w:tcPr>
            <w:tcW w:w="1587"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78%</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75%</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81%</w:t>
            </w:r>
          </w:p>
        </w:tc>
      </w:tr>
      <w:tr w:rsidR="004602BA" w:rsidRPr="004602BA" w:rsidTr="008E161C">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sz w:val="20"/>
                <w:szCs w:val="20"/>
                <w:lang w:eastAsia="en-AU"/>
              </w:rPr>
            </w:pPr>
            <w:r w:rsidRPr="004602BA">
              <w:rPr>
                <w:rFonts w:eastAsia="Times New Roman" w:cs="Arial"/>
                <w:sz w:val="20"/>
                <w:szCs w:val="20"/>
                <w:lang w:eastAsia="en-AU"/>
              </w:rPr>
              <w:t xml:space="preserve">NWRH  </w:t>
            </w:r>
          </w:p>
        </w:tc>
        <w:tc>
          <w:tcPr>
            <w:tcW w:w="1587"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770</w:t>
            </w:r>
          </w:p>
        </w:tc>
        <w:tc>
          <w:tcPr>
            <w:tcW w:w="1588"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1038</w:t>
            </w:r>
          </w:p>
        </w:tc>
        <w:tc>
          <w:tcPr>
            <w:tcW w:w="1587"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74%</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71%</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77%</w:t>
            </w:r>
          </w:p>
        </w:tc>
      </w:tr>
      <w:tr w:rsidR="004602BA" w:rsidRPr="004602BA" w:rsidTr="008E161C">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sz w:val="20"/>
                <w:szCs w:val="20"/>
                <w:lang w:eastAsia="en-AU"/>
              </w:rPr>
            </w:pPr>
            <w:r w:rsidRPr="004602BA">
              <w:rPr>
                <w:rFonts w:eastAsia="Times New Roman" w:cs="Arial"/>
                <w:sz w:val="20"/>
                <w:szCs w:val="20"/>
                <w:lang w:eastAsia="en-AU"/>
              </w:rPr>
              <w:t>Midlands MPC</w:t>
            </w:r>
          </w:p>
        </w:tc>
        <w:tc>
          <w:tcPr>
            <w:tcW w:w="1587" w:type="dxa"/>
            <w:tcBorders>
              <w:top w:val="nil"/>
              <w:left w:val="nil"/>
              <w:bottom w:val="single" w:sz="4" w:space="0" w:color="auto"/>
              <w:right w:val="single" w:sz="4" w:space="0" w:color="auto"/>
            </w:tcBorders>
            <w:shd w:val="clear" w:color="auto" w:fill="auto"/>
            <w:noWrap/>
            <w:vAlign w:val="bottom"/>
            <w:hideMark/>
          </w:tcPr>
          <w:p w:rsidR="004602BA" w:rsidRPr="004602BA" w:rsidRDefault="00066DCB" w:rsidP="004602BA">
            <w:pPr>
              <w:spacing w:afterLines="0" w:after="0" w:line="240" w:lineRule="auto"/>
              <w:jc w:val="right"/>
              <w:rPr>
                <w:rFonts w:eastAsia="Times New Roman" w:cs="Arial"/>
                <w:sz w:val="20"/>
                <w:szCs w:val="20"/>
                <w:lang w:eastAsia="en-AU"/>
              </w:rPr>
            </w:pPr>
            <w:r>
              <w:rPr>
                <w:rFonts w:eastAsia="Times New Roman" w:cs="Arial"/>
                <w:sz w:val="20"/>
                <w:szCs w:val="20"/>
                <w:lang w:eastAsia="en-AU"/>
              </w:rPr>
              <w:t>N/A</w:t>
            </w:r>
          </w:p>
        </w:tc>
        <w:tc>
          <w:tcPr>
            <w:tcW w:w="1588" w:type="dxa"/>
            <w:tcBorders>
              <w:top w:val="nil"/>
              <w:left w:val="nil"/>
              <w:bottom w:val="single" w:sz="4" w:space="0" w:color="auto"/>
              <w:right w:val="single" w:sz="4" w:space="0" w:color="auto"/>
            </w:tcBorders>
            <w:shd w:val="clear" w:color="auto" w:fill="auto"/>
            <w:noWrap/>
            <w:vAlign w:val="bottom"/>
            <w:hideMark/>
          </w:tcPr>
          <w:p w:rsidR="004602BA" w:rsidRPr="004602BA" w:rsidRDefault="00066DCB" w:rsidP="004602BA">
            <w:pPr>
              <w:spacing w:afterLines="0" w:after="0" w:line="240" w:lineRule="auto"/>
              <w:jc w:val="right"/>
              <w:rPr>
                <w:rFonts w:eastAsia="Times New Roman" w:cs="Arial"/>
                <w:sz w:val="20"/>
                <w:szCs w:val="20"/>
                <w:lang w:eastAsia="en-AU"/>
              </w:rPr>
            </w:pPr>
            <w:r>
              <w:rPr>
                <w:rFonts w:eastAsia="Times New Roman" w:cs="Arial"/>
                <w:sz w:val="20"/>
                <w:szCs w:val="20"/>
                <w:lang w:eastAsia="en-AU"/>
              </w:rPr>
              <w:t>N/A</w:t>
            </w:r>
          </w:p>
        </w:tc>
        <w:tc>
          <w:tcPr>
            <w:tcW w:w="1587" w:type="dxa"/>
            <w:tcBorders>
              <w:top w:val="nil"/>
              <w:left w:val="nil"/>
              <w:bottom w:val="single" w:sz="4" w:space="0" w:color="auto"/>
              <w:right w:val="single" w:sz="4" w:space="0" w:color="auto"/>
            </w:tcBorders>
            <w:shd w:val="clear" w:color="auto" w:fill="auto"/>
            <w:vAlign w:val="bottom"/>
            <w:hideMark/>
          </w:tcPr>
          <w:p w:rsidR="004602BA" w:rsidRPr="004602BA" w:rsidRDefault="00066DCB" w:rsidP="004602BA">
            <w:pPr>
              <w:spacing w:afterLines="0" w:after="0" w:line="240" w:lineRule="auto"/>
              <w:jc w:val="center"/>
              <w:rPr>
                <w:rFonts w:eastAsia="Times New Roman" w:cs="Arial"/>
                <w:sz w:val="20"/>
                <w:szCs w:val="20"/>
                <w:lang w:eastAsia="en-AU"/>
              </w:rPr>
            </w:pPr>
            <w:r>
              <w:rPr>
                <w:rFonts w:eastAsia="Times New Roman" w:cs="Arial"/>
                <w:sz w:val="20"/>
                <w:szCs w:val="20"/>
                <w:lang w:eastAsia="en-AU"/>
              </w:rPr>
              <w:t>N/A</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066DCB" w:rsidP="004602BA">
            <w:pPr>
              <w:spacing w:afterLines="0" w:after="0" w:line="240" w:lineRule="auto"/>
              <w:jc w:val="center"/>
              <w:rPr>
                <w:rFonts w:eastAsia="Times New Roman" w:cs="Arial"/>
                <w:sz w:val="20"/>
                <w:szCs w:val="20"/>
                <w:lang w:eastAsia="en-AU"/>
              </w:rPr>
            </w:pPr>
            <w:r>
              <w:rPr>
                <w:rFonts w:eastAsia="Times New Roman" w:cs="Arial"/>
                <w:sz w:val="20"/>
                <w:szCs w:val="20"/>
                <w:lang w:eastAsia="en-AU"/>
              </w:rPr>
              <w:t>N/A</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066DCB" w:rsidP="004602BA">
            <w:pPr>
              <w:spacing w:afterLines="0" w:after="0" w:line="240" w:lineRule="auto"/>
              <w:jc w:val="center"/>
              <w:rPr>
                <w:rFonts w:eastAsia="Times New Roman" w:cs="Arial"/>
                <w:sz w:val="20"/>
                <w:szCs w:val="20"/>
                <w:lang w:eastAsia="en-AU"/>
              </w:rPr>
            </w:pPr>
            <w:r>
              <w:rPr>
                <w:rFonts w:eastAsia="Times New Roman" w:cs="Arial"/>
                <w:sz w:val="20"/>
                <w:szCs w:val="20"/>
                <w:lang w:eastAsia="en-AU"/>
              </w:rPr>
              <w:t>N/A</w:t>
            </w:r>
          </w:p>
        </w:tc>
      </w:tr>
      <w:tr w:rsidR="004602BA" w:rsidRPr="004602BA" w:rsidTr="008E161C">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sz w:val="20"/>
                <w:szCs w:val="20"/>
                <w:lang w:eastAsia="en-AU"/>
              </w:rPr>
            </w:pPr>
            <w:r w:rsidRPr="004602BA">
              <w:rPr>
                <w:rFonts w:eastAsia="Times New Roman" w:cs="Arial"/>
                <w:sz w:val="20"/>
                <w:szCs w:val="20"/>
                <w:lang w:eastAsia="en-AU"/>
              </w:rPr>
              <w:t xml:space="preserve">New Norfolk </w:t>
            </w:r>
          </w:p>
        </w:tc>
        <w:tc>
          <w:tcPr>
            <w:tcW w:w="1587"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51</w:t>
            </w:r>
          </w:p>
        </w:tc>
        <w:tc>
          <w:tcPr>
            <w:tcW w:w="1588"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57</w:t>
            </w:r>
          </w:p>
        </w:tc>
        <w:tc>
          <w:tcPr>
            <w:tcW w:w="1587"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89%</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79%</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95%</w:t>
            </w:r>
          </w:p>
        </w:tc>
      </w:tr>
      <w:tr w:rsidR="004602BA" w:rsidRPr="004602BA" w:rsidTr="008E161C">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sz w:val="20"/>
                <w:szCs w:val="20"/>
                <w:lang w:eastAsia="en-AU"/>
              </w:rPr>
            </w:pPr>
            <w:r w:rsidRPr="004602BA">
              <w:rPr>
                <w:rFonts w:eastAsia="Times New Roman" w:cs="Arial"/>
                <w:sz w:val="20"/>
                <w:szCs w:val="20"/>
                <w:lang w:eastAsia="en-AU"/>
              </w:rPr>
              <w:t xml:space="preserve">Beaconsfield </w:t>
            </w:r>
          </w:p>
        </w:tc>
        <w:tc>
          <w:tcPr>
            <w:tcW w:w="1587"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53</w:t>
            </w:r>
          </w:p>
        </w:tc>
        <w:tc>
          <w:tcPr>
            <w:tcW w:w="1588"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58</w:t>
            </w:r>
          </w:p>
        </w:tc>
        <w:tc>
          <w:tcPr>
            <w:tcW w:w="1587"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91%</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81%</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96%</w:t>
            </w:r>
          </w:p>
        </w:tc>
      </w:tr>
      <w:tr w:rsidR="004602BA" w:rsidRPr="004602BA" w:rsidTr="008E161C">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sz w:val="20"/>
                <w:szCs w:val="20"/>
                <w:lang w:eastAsia="en-AU"/>
              </w:rPr>
            </w:pPr>
            <w:r w:rsidRPr="004602BA">
              <w:rPr>
                <w:rFonts w:eastAsia="Times New Roman" w:cs="Arial"/>
                <w:sz w:val="20"/>
                <w:szCs w:val="20"/>
                <w:lang w:eastAsia="en-AU"/>
              </w:rPr>
              <w:t xml:space="preserve">Campbell Town </w:t>
            </w:r>
          </w:p>
        </w:tc>
        <w:tc>
          <w:tcPr>
            <w:tcW w:w="1587"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47</w:t>
            </w:r>
          </w:p>
        </w:tc>
        <w:tc>
          <w:tcPr>
            <w:tcW w:w="1588"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52</w:t>
            </w:r>
          </w:p>
        </w:tc>
        <w:tc>
          <w:tcPr>
            <w:tcW w:w="1587"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90%</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79%</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96%</w:t>
            </w:r>
          </w:p>
        </w:tc>
      </w:tr>
      <w:tr w:rsidR="004602BA" w:rsidRPr="004602BA" w:rsidTr="008E161C">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sz w:val="20"/>
                <w:szCs w:val="20"/>
                <w:lang w:eastAsia="en-AU"/>
              </w:rPr>
            </w:pPr>
            <w:r w:rsidRPr="004602BA">
              <w:rPr>
                <w:rFonts w:eastAsia="Times New Roman" w:cs="Arial"/>
                <w:sz w:val="20"/>
                <w:szCs w:val="20"/>
                <w:lang w:eastAsia="en-AU"/>
              </w:rPr>
              <w:t xml:space="preserve">Deloraine </w:t>
            </w:r>
          </w:p>
        </w:tc>
        <w:tc>
          <w:tcPr>
            <w:tcW w:w="1587"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121</w:t>
            </w:r>
          </w:p>
        </w:tc>
        <w:tc>
          <w:tcPr>
            <w:tcW w:w="1588"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131</w:t>
            </w:r>
          </w:p>
        </w:tc>
        <w:tc>
          <w:tcPr>
            <w:tcW w:w="1587"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92%</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87%</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96%</w:t>
            </w:r>
          </w:p>
        </w:tc>
      </w:tr>
      <w:tr w:rsidR="004602BA" w:rsidRPr="004602BA" w:rsidTr="008E161C">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sz w:val="20"/>
                <w:szCs w:val="20"/>
                <w:lang w:eastAsia="en-AU"/>
              </w:rPr>
            </w:pPr>
            <w:r w:rsidRPr="004602BA">
              <w:rPr>
                <w:rFonts w:eastAsia="Times New Roman" w:cs="Arial"/>
                <w:sz w:val="20"/>
                <w:szCs w:val="20"/>
                <w:lang w:eastAsia="en-AU"/>
              </w:rPr>
              <w:t xml:space="preserve">Flinders Is. MPC </w:t>
            </w:r>
          </w:p>
        </w:tc>
        <w:tc>
          <w:tcPr>
            <w:tcW w:w="1587"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40</w:t>
            </w:r>
          </w:p>
        </w:tc>
        <w:tc>
          <w:tcPr>
            <w:tcW w:w="1588"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53</w:t>
            </w:r>
          </w:p>
        </w:tc>
        <w:tc>
          <w:tcPr>
            <w:tcW w:w="1587"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75%</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62%</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85%</w:t>
            </w:r>
          </w:p>
        </w:tc>
      </w:tr>
      <w:tr w:rsidR="004602BA" w:rsidRPr="004602BA" w:rsidTr="008E161C">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sz w:val="20"/>
                <w:szCs w:val="20"/>
                <w:lang w:eastAsia="en-AU"/>
              </w:rPr>
            </w:pPr>
            <w:r w:rsidRPr="004602BA">
              <w:rPr>
                <w:rFonts w:eastAsia="Times New Roman" w:cs="Arial"/>
                <w:sz w:val="20"/>
                <w:szCs w:val="20"/>
                <w:lang w:eastAsia="en-AU"/>
              </w:rPr>
              <w:t xml:space="preserve">George Town </w:t>
            </w:r>
          </w:p>
        </w:tc>
        <w:tc>
          <w:tcPr>
            <w:tcW w:w="1587"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54</w:t>
            </w:r>
          </w:p>
        </w:tc>
        <w:tc>
          <w:tcPr>
            <w:tcW w:w="1588"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65</w:t>
            </w:r>
          </w:p>
        </w:tc>
        <w:tc>
          <w:tcPr>
            <w:tcW w:w="1587"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83%</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72%</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90%</w:t>
            </w:r>
          </w:p>
        </w:tc>
      </w:tr>
      <w:tr w:rsidR="004602BA" w:rsidRPr="004602BA" w:rsidTr="008E161C">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sz w:val="20"/>
                <w:szCs w:val="20"/>
                <w:lang w:eastAsia="en-AU"/>
              </w:rPr>
            </w:pPr>
            <w:r w:rsidRPr="004602BA">
              <w:rPr>
                <w:rFonts w:eastAsia="Times New Roman" w:cs="Arial"/>
                <w:sz w:val="20"/>
                <w:szCs w:val="20"/>
                <w:lang w:eastAsia="en-AU"/>
              </w:rPr>
              <w:t>NESM Scottsdale</w:t>
            </w:r>
          </w:p>
        </w:tc>
        <w:tc>
          <w:tcPr>
            <w:tcW w:w="1587"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61</w:t>
            </w:r>
          </w:p>
        </w:tc>
        <w:tc>
          <w:tcPr>
            <w:tcW w:w="1588"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68</w:t>
            </w:r>
          </w:p>
        </w:tc>
        <w:tc>
          <w:tcPr>
            <w:tcW w:w="1587"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90%</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80%</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95%</w:t>
            </w:r>
          </w:p>
        </w:tc>
      </w:tr>
      <w:tr w:rsidR="004602BA" w:rsidRPr="004602BA" w:rsidTr="008E161C">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sz w:val="20"/>
                <w:szCs w:val="20"/>
                <w:lang w:eastAsia="en-AU"/>
              </w:rPr>
            </w:pPr>
            <w:r w:rsidRPr="004602BA">
              <w:rPr>
                <w:rFonts w:eastAsia="Times New Roman" w:cs="Arial"/>
                <w:sz w:val="20"/>
                <w:szCs w:val="20"/>
                <w:lang w:eastAsia="en-AU"/>
              </w:rPr>
              <w:t>St Helens</w:t>
            </w:r>
          </w:p>
        </w:tc>
        <w:tc>
          <w:tcPr>
            <w:tcW w:w="1587"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48</w:t>
            </w:r>
          </w:p>
        </w:tc>
        <w:tc>
          <w:tcPr>
            <w:tcW w:w="1588"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52</w:t>
            </w:r>
          </w:p>
        </w:tc>
        <w:tc>
          <w:tcPr>
            <w:tcW w:w="1587"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92%</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82%</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97%</w:t>
            </w:r>
          </w:p>
        </w:tc>
      </w:tr>
      <w:tr w:rsidR="004602BA" w:rsidRPr="004602BA" w:rsidTr="008E161C">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sz w:val="20"/>
                <w:szCs w:val="20"/>
                <w:lang w:eastAsia="en-AU"/>
              </w:rPr>
            </w:pPr>
            <w:r w:rsidRPr="004602BA">
              <w:rPr>
                <w:rFonts w:eastAsia="Times New Roman" w:cs="Arial"/>
                <w:sz w:val="20"/>
                <w:szCs w:val="20"/>
                <w:lang w:eastAsia="en-AU"/>
              </w:rPr>
              <w:t>St Marys CHC</w:t>
            </w:r>
          </w:p>
        </w:tc>
        <w:tc>
          <w:tcPr>
            <w:tcW w:w="1587"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60</w:t>
            </w:r>
          </w:p>
        </w:tc>
        <w:tc>
          <w:tcPr>
            <w:tcW w:w="1588"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73</w:t>
            </w:r>
          </w:p>
        </w:tc>
        <w:tc>
          <w:tcPr>
            <w:tcW w:w="1587"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82%</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72%</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89%</w:t>
            </w:r>
          </w:p>
        </w:tc>
      </w:tr>
      <w:tr w:rsidR="004602BA" w:rsidRPr="004602BA" w:rsidTr="008E161C">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sz w:val="20"/>
                <w:szCs w:val="20"/>
                <w:lang w:eastAsia="en-AU"/>
              </w:rPr>
            </w:pPr>
            <w:r w:rsidRPr="004602BA">
              <w:rPr>
                <w:rFonts w:eastAsia="Times New Roman" w:cs="Arial"/>
                <w:sz w:val="20"/>
                <w:szCs w:val="20"/>
                <w:lang w:eastAsia="en-AU"/>
              </w:rPr>
              <w:t>King Island</w:t>
            </w:r>
          </w:p>
        </w:tc>
        <w:tc>
          <w:tcPr>
            <w:tcW w:w="1587"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48</w:t>
            </w:r>
          </w:p>
        </w:tc>
        <w:tc>
          <w:tcPr>
            <w:tcW w:w="1588"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55</w:t>
            </w:r>
          </w:p>
        </w:tc>
        <w:tc>
          <w:tcPr>
            <w:tcW w:w="1587"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87%</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76%</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94%</w:t>
            </w:r>
          </w:p>
        </w:tc>
      </w:tr>
      <w:tr w:rsidR="004602BA" w:rsidRPr="004602BA" w:rsidTr="008E161C">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sz w:val="20"/>
                <w:szCs w:val="20"/>
                <w:lang w:eastAsia="en-AU"/>
              </w:rPr>
            </w:pPr>
            <w:r w:rsidRPr="004602BA">
              <w:rPr>
                <w:rFonts w:eastAsia="Times New Roman" w:cs="Arial"/>
                <w:sz w:val="20"/>
                <w:szCs w:val="20"/>
                <w:lang w:eastAsia="en-AU"/>
              </w:rPr>
              <w:t xml:space="preserve">Smithton </w:t>
            </w:r>
          </w:p>
        </w:tc>
        <w:tc>
          <w:tcPr>
            <w:tcW w:w="1587"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43</w:t>
            </w:r>
          </w:p>
        </w:tc>
        <w:tc>
          <w:tcPr>
            <w:tcW w:w="1588"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55</w:t>
            </w:r>
          </w:p>
        </w:tc>
        <w:tc>
          <w:tcPr>
            <w:tcW w:w="1587"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78%</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66%</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87%</w:t>
            </w:r>
          </w:p>
        </w:tc>
      </w:tr>
      <w:tr w:rsidR="004602BA" w:rsidRPr="004602BA" w:rsidTr="008E161C">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sz w:val="20"/>
                <w:szCs w:val="20"/>
                <w:lang w:eastAsia="en-AU"/>
              </w:rPr>
            </w:pPr>
            <w:proofErr w:type="spellStart"/>
            <w:r w:rsidRPr="004602BA">
              <w:rPr>
                <w:rFonts w:eastAsia="Times New Roman" w:cs="Arial"/>
                <w:sz w:val="20"/>
                <w:szCs w:val="20"/>
                <w:lang w:eastAsia="en-AU"/>
              </w:rPr>
              <w:t>Healthwest</w:t>
            </w:r>
            <w:proofErr w:type="spellEnd"/>
            <w:r w:rsidRPr="004602BA">
              <w:rPr>
                <w:rFonts w:eastAsia="Times New Roman" w:cs="Arial"/>
                <w:sz w:val="20"/>
                <w:szCs w:val="20"/>
                <w:lang w:eastAsia="en-AU"/>
              </w:rPr>
              <w:t xml:space="preserve"> </w:t>
            </w:r>
          </w:p>
        </w:tc>
        <w:tc>
          <w:tcPr>
            <w:tcW w:w="1587"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100</w:t>
            </w:r>
          </w:p>
        </w:tc>
        <w:tc>
          <w:tcPr>
            <w:tcW w:w="1588"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sz w:val="20"/>
                <w:szCs w:val="20"/>
                <w:lang w:eastAsia="en-AU"/>
              </w:rPr>
            </w:pPr>
            <w:r w:rsidRPr="004602BA">
              <w:rPr>
                <w:rFonts w:eastAsia="Times New Roman" w:cs="Arial"/>
                <w:sz w:val="20"/>
                <w:szCs w:val="20"/>
                <w:lang w:eastAsia="en-AU"/>
              </w:rPr>
              <w:t>122</w:t>
            </w:r>
          </w:p>
        </w:tc>
        <w:tc>
          <w:tcPr>
            <w:tcW w:w="1587"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82%</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74%</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sz w:val="20"/>
                <w:szCs w:val="20"/>
                <w:lang w:eastAsia="en-AU"/>
              </w:rPr>
            </w:pPr>
            <w:r w:rsidRPr="004602BA">
              <w:rPr>
                <w:rFonts w:eastAsia="Times New Roman" w:cs="Arial"/>
                <w:sz w:val="20"/>
                <w:szCs w:val="20"/>
                <w:lang w:eastAsia="en-AU"/>
              </w:rPr>
              <w:t>88%</w:t>
            </w:r>
          </w:p>
        </w:tc>
      </w:tr>
      <w:tr w:rsidR="004602BA" w:rsidRPr="004602BA" w:rsidTr="008E161C">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b/>
                <w:bCs/>
                <w:sz w:val="20"/>
                <w:szCs w:val="20"/>
                <w:lang w:eastAsia="en-AU"/>
              </w:rPr>
            </w:pPr>
            <w:r w:rsidRPr="004602BA">
              <w:rPr>
                <w:rFonts w:eastAsia="Times New Roman" w:cs="Arial"/>
                <w:b/>
                <w:bCs/>
                <w:sz w:val="20"/>
                <w:szCs w:val="20"/>
                <w:lang w:eastAsia="en-AU"/>
              </w:rPr>
              <w:t>TOTAL</w:t>
            </w:r>
          </w:p>
        </w:tc>
        <w:tc>
          <w:tcPr>
            <w:tcW w:w="1587"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b/>
                <w:bCs/>
                <w:sz w:val="20"/>
                <w:szCs w:val="20"/>
                <w:lang w:eastAsia="en-AU"/>
              </w:rPr>
            </w:pPr>
            <w:r w:rsidRPr="004602BA">
              <w:rPr>
                <w:rFonts w:eastAsia="Times New Roman" w:cs="Arial"/>
                <w:b/>
                <w:bCs/>
                <w:sz w:val="20"/>
                <w:szCs w:val="20"/>
                <w:lang w:eastAsia="en-AU"/>
              </w:rPr>
              <w:t>8621</w:t>
            </w:r>
          </w:p>
        </w:tc>
        <w:tc>
          <w:tcPr>
            <w:tcW w:w="1588"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b/>
                <w:bCs/>
                <w:sz w:val="20"/>
                <w:szCs w:val="20"/>
                <w:lang w:eastAsia="en-AU"/>
              </w:rPr>
            </w:pPr>
            <w:r w:rsidRPr="004602BA">
              <w:rPr>
                <w:rFonts w:eastAsia="Times New Roman" w:cs="Arial"/>
                <w:b/>
                <w:bCs/>
                <w:sz w:val="20"/>
                <w:szCs w:val="20"/>
                <w:lang w:eastAsia="en-AU"/>
              </w:rPr>
              <w:t>10751</w:t>
            </w:r>
          </w:p>
        </w:tc>
        <w:tc>
          <w:tcPr>
            <w:tcW w:w="1587"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b/>
                <w:bCs/>
                <w:sz w:val="20"/>
                <w:szCs w:val="20"/>
                <w:lang w:eastAsia="en-AU"/>
              </w:rPr>
            </w:pPr>
            <w:r w:rsidRPr="004602BA">
              <w:rPr>
                <w:rFonts w:eastAsia="Times New Roman" w:cs="Arial"/>
                <w:b/>
                <w:bCs/>
                <w:sz w:val="20"/>
                <w:szCs w:val="20"/>
                <w:lang w:eastAsia="en-AU"/>
              </w:rPr>
              <w:t>80.2%</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b/>
                <w:bCs/>
                <w:sz w:val="20"/>
                <w:szCs w:val="20"/>
                <w:lang w:eastAsia="en-AU"/>
              </w:rPr>
            </w:pPr>
            <w:r w:rsidRPr="004602BA">
              <w:rPr>
                <w:rFonts w:eastAsia="Times New Roman" w:cs="Arial"/>
                <w:b/>
                <w:bCs/>
                <w:sz w:val="20"/>
                <w:szCs w:val="20"/>
                <w:lang w:eastAsia="en-AU"/>
              </w:rPr>
              <w:t>79%</w:t>
            </w:r>
          </w:p>
        </w:tc>
        <w:tc>
          <w:tcPr>
            <w:tcW w:w="1588"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b/>
                <w:bCs/>
                <w:sz w:val="20"/>
                <w:szCs w:val="20"/>
                <w:lang w:eastAsia="en-AU"/>
              </w:rPr>
            </w:pPr>
            <w:r w:rsidRPr="004602BA">
              <w:rPr>
                <w:rFonts w:eastAsia="Times New Roman" w:cs="Arial"/>
                <w:b/>
                <w:bCs/>
                <w:sz w:val="20"/>
                <w:szCs w:val="20"/>
                <w:lang w:eastAsia="en-AU"/>
              </w:rPr>
              <w:t>81%</w:t>
            </w:r>
          </w:p>
        </w:tc>
      </w:tr>
    </w:tbl>
    <w:p w:rsidR="004602BA" w:rsidRDefault="004602BA" w:rsidP="00B62635">
      <w:pPr>
        <w:tabs>
          <w:tab w:val="left" w:pos="567"/>
        </w:tabs>
        <w:spacing w:afterLines="0"/>
        <w:rPr>
          <w:rFonts w:eastAsia="Times New Roman" w:cs="Times New Roman"/>
          <w:bCs/>
        </w:rPr>
      </w:pPr>
    </w:p>
    <w:p w:rsidR="00B62635" w:rsidRDefault="00B62635" w:rsidP="00B62635">
      <w:pPr>
        <w:tabs>
          <w:tab w:val="left" w:pos="567"/>
        </w:tabs>
        <w:spacing w:afterLines="0"/>
        <w:rPr>
          <w:rFonts w:eastAsia="Times New Roman" w:cs="Times New Roman"/>
          <w:bCs/>
        </w:rPr>
      </w:pPr>
      <w:bookmarkStart w:id="131" w:name="_Toc397505160"/>
      <w:bookmarkStart w:id="132" w:name="_Toc397505407"/>
      <w:bookmarkStart w:id="133" w:name="_Toc397506662"/>
      <w:bookmarkStart w:id="134" w:name="_Toc438212213"/>
      <w:bookmarkStart w:id="135" w:name="_Toc459796767"/>
      <w:r w:rsidRPr="00B62635">
        <w:rPr>
          <w:rFonts w:eastAsia="Times New Roman" w:cs="Times New Roman"/>
          <w:b/>
          <w:bCs/>
        </w:rPr>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556020">
        <w:rPr>
          <w:rFonts w:eastAsia="Times New Roman" w:cs="Times New Roman"/>
          <w:b/>
          <w:bCs/>
          <w:noProof/>
        </w:rPr>
        <w:t>13</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Tasmanian hand hygiene compliance rates by moment</w:t>
      </w:r>
      <w:bookmarkEnd w:id="131"/>
      <w:bookmarkEnd w:id="132"/>
      <w:bookmarkEnd w:id="133"/>
      <w:bookmarkEnd w:id="134"/>
      <w:bookmarkEnd w:id="135"/>
    </w:p>
    <w:tbl>
      <w:tblPr>
        <w:tblW w:w="9654" w:type="dxa"/>
        <w:jc w:val="center"/>
        <w:tblLook w:val="04A0" w:firstRow="1" w:lastRow="0" w:firstColumn="1" w:lastColumn="0" w:noHBand="0" w:noVBand="1"/>
        <w:tblCaption w:val="Table 15 - Tasmanian hand hygiene compliance rates by healthcare worker"/>
      </w:tblPr>
      <w:tblGrid>
        <w:gridCol w:w="1732"/>
        <w:gridCol w:w="1544"/>
        <w:gridCol w:w="1701"/>
        <w:gridCol w:w="1559"/>
        <w:gridCol w:w="1559"/>
        <w:gridCol w:w="1559"/>
      </w:tblGrid>
      <w:tr w:rsidR="004602BA" w:rsidRPr="004602BA" w:rsidTr="00AD4ECF">
        <w:trPr>
          <w:trHeight w:val="1117"/>
          <w:tblHeader/>
          <w:jc w:val="center"/>
        </w:trPr>
        <w:tc>
          <w:tcPr>
            <w:tcW w:w="1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336" w:line="240" w:lineRule="auto"/>
              <w:jc w:val="center"/>
              <w:rPr>
                <w:rFonts w:eastAsia="Times New Roman" w:cs="Arial"/>
                <w:b/>
                <w:bCs/>
                <w:lang w:eastAsia="en-AU"/>
              </w:rPr>
            </w:pPr>
            <w:r w:rsidRPr="004602BA">
              <w:rPr>
                <w:rFonts w:eastAsia="Times New Roman" w:cs="Arial"/>
                <w:b/>
                <w:bCs/>
                <w:lang w:eastAsia="en-AU"/>
              </w:rPr>
              <w:t>Moments</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4602BA" w:rsidRPr="004602BA" w:rsidRDefault="004602BA" w:rsidP="004602BA">
            <w:pPr>
              <w:spacing w:afterLines="0" w:after="0" w:line="240" w:lineRule="auto"/>
              <w:jc w:val="center"/>
              <w:rPr>
                <w:rFonts w:eastAsia="Times New Roman" w:cs="Arial"/>
                <w:b/>
                <w:bCs/>
                <w:lang w:eastAsia="en-AU"/>
              </w:rPr>
            </w:pPr>
            <w:r w:rsidRPr="004602BA">
              <w:rPr>
                <w:rFonts w:eastAsia="Times New Roman" w:cs="Arial"/>
                <w:b/>
                <w:bCs/>
                <w:lang w:eastAsia="en-AU"/>
              </w:rPr>
              <w:t>HH Correctly Performed</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602BA" w:rsidRPr="004602BA" w:rsidRDefault="004602BA" w:rsidP="004602BA">
            <w:pPr>
              <w:spacing w:afterLines="0" w:after="0" w:line="240" w:lineRule="auto"/>
              <w:jc w:val="center"/>
              <w:rPr>
                <w:rFonts w:eastAsia="Times New Roman" w:cs="Arial"/>
                <w:b/>
                <w:bCs/>
                <w:lang w:eastAsia="en-AU"/>
              </w:rPr>
            </w:pPr>
            <w:r w:rsidRPr="004602BA">
              <w:rPr>
                <w:rFonts w:eastAsia="Times New Roman" w:cs="Arial"/>
                <w:b/>
                <w:bCs/>
                <w:lang w:eastAsia="en-AU"/>
              </w:rPr>
              <w:t>Total HH Moments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602BA" w:rsidRPr="004602BA" w:rsidRDefault="004602BA" w:rsidP="004602BA">
            <w:pPr>
              <w:spacing w:afterLines="0" w:after="0" w:line="240" w:lineRule="auto"/>
              <w:jc w:val="center"/>
              <w:rPr>
                <w:rFonts w:eastAsia="Times New Roman" w:cs="Arial"/>
                <w:b/>
                <w:bCs/>
                <w:lang w:eastAsia="en-AU"/>
              </w:rPr>
            </w:pPr>
            <w:r w:rsidRPr="004602BA">
              <w:rPr>
                <w:rFonts w:eastAsia="Times New Roman" w:cs="Arial"/>
                <w:b/>
                <w:bCs/>
                <w:lang w:eastAsia="en-AU"/>
              </w:rPr>
              <w:t>Compliance</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b/>
                <w:bCs/>
                <w:lang w:eastAsia="en-AU"/>
              </w:rPr>
            </w:pPr>
            <w:r w:rsidRPr="004602BA">
              <w:rPr>
                <w:rFonts w:eastAsia="Times New Roman" w:cs="Arial"/>
                <w:b/>
                <w:bCs/>
                <w:lang w:eastAsia="en-AU"/>
              </w:rPr>
              <w:t>Lower 95% confidence interval</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b/>
                <w:bCs/>
                <w:lang w:eastAsia="en-AU"/>
              </w:rPr>
            </w:pPr>
            <w:r w:rsidRPr="004602BA">
              <w:rPr>
                <w:rFonts w:eastAsia="Times New Roman" w:cs="Arial"/>
                <w:b/>
                <w:bCs/>
                <w:lang w:eastAsia="en-AU"/>
              </w:rPr>
              <w:t>Upper 95% confidence interval</w:t>
            </w:r>
          </w:p>
        </w:tc>
      </w:tr>
      <w:tr w:rsidR="004602BA" w:rsidRPr="004602BA" w:rsidTr="00A334F5">
        <w:trPr>
          <w:trHeight w:val="315"/>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lang w:eastAsia="en-AU"/>
              </w:rPr>
            </w:pPr>
            <w:r w:rsidRPr="004602BA">
              <w:rPr>
                <w:rFonts w:eastAsia="Times New Roman" w:cs="Arial"/>
                <w:lang w:eastAsia="en-AU"/>
              </w:rPr>
              <w:t xml:space="preserve">Moment 1 </w:t>
            </w:r>
          </w:p>
        </w:tc>
        <w:tc>
          <w:tcPr>
            <w:tcW w:w="1544"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2325</w:t>
            </w:r>
          </w:p>
        </w:tc>
        <w:tc>
          <w:tcPr>
            <w:tcW w:w="1701"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2968</w:t>
            </w:r>
          </w:p>
        </w:tc>
        <w:tc>
          <w:tcPr>
            <w:tcW w:w="1559"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78%</w:t>
            </w:r>
          </w:p>
        </w:tc>
        <w:tc>
          <w:tcPr>
            <w:tcW w:w="1559"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77%</w:t>
            </w:r>
          </w:p>
        </w:tc>
        <w:tc>
          <w:tcPr>
            <w:tcW w:w="1559"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80%</w:t>
            </w:r>
          </w:p>
        </w:tc>
      </w:tr>
      <w:tr w:rsidR="004602BA" w:rsidRPr="004602BA" w:rsidTr="00A334F5">
        <w:trPr>
          <w:trHeight w:val="315"/>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lang w:eastAsia="en-AU"/>
              </w:rPr>
            </w:pPr>
            <w:r w:rsidRPr="004602BA">
              <w:rPr>
                <w:rFonts w:eastAsia="Times New Roman" w:cs="Arial"/>
                <w:lang w:eastAsia="en-AU"/>
              </w:rPr>
              <w:t xml:space="preserve">Moment 2 </w:t>
            </w:r>
          </w:p>
        </w:tc>
        <w:tc>
          <w:tcPr>
            <w:tcW w:w="1544"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526</w:t>
            </w:r>
          </w:p>
        </w:tc>
        <w:tc>
          <w:tcPr>
            <w:tcW w:w="1701"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719</w:t>
            </w:r>
          </w:p>
        </w:tc>
        <w:tc>
          <w:tcPr>
            <w:tcW w:w="1559"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73%</w:t>
            </w:r>
          </w:p>
        </w:tc>
        <w:tc>
          <w:tcPr>
            <w:tcW w:w="1559"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70%</w:t>
            </w:r>
          </w:p>
        </w:tc>
        <w:tc>
          <w:tcPr>
            <w:tcW w:w="1559"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76%</w:t>
            </w:r>
          </w:p>
        </w:tc>
      </w:tr>
      <w:tr w:rsidR="004602BA" w:rsidRPr="004602BA" w:rsidTr="00A334F5">
        <w:trPr>
          <w:trHeight w:val="315"/>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lang w:eastAsia="en-AU"/>
              </w:rPr>
            </w:pPr>
            <w:r w:rsidRPr="004602BA">
              <w:rPr>
                <w:rFonts w:eastAsia="Times New Roman" w:cs="Arial"/>
                <w:lang w:eastAsia="en-AU"/>
              </w:rPr>
              <w:t xml:space="preserve">Moment 3 </w:t>
            </w:r>
          </w:p>
        </w:tc>
        <w:tc>
          <w:tcPr>
            <w:tcW w:w="1544"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933</w:t>
            </w:r>
          </w:p>
        </w:tc>
        <w:tc>
          <w:tcPr>
            <w:tcW w:w="1701"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1075</w:t>
            </w:r>
          </w:p>
        </w:tc>
        <w:tc>
          <w:tcPr>
            <w:tcW w:w="1559"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87%</w:t>
            </w:r>
          </w:p>
        </w:tc>
        <w:tc>
          <w:tcPr>
            <w:tcW w:w="1559"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85%</w:t>
            </w:r>
          </w:p>
        </w:tc>
        <w:tc>
          <w:tcPr>
            <w:tcW w:w="1559"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89%</w:t>
            </w:r>
          </w:p>
        </w:tc>
      </w:tr>
      <w:tr w:rsidR="004602BA" w:rsidRPr="004602BA" w:rsidTr="00A334F5">
        <w:trPr>
          <w:trHeight w:val="315"/>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lang w:eastAsia="en-AU"/>
              </w:rPr>
            </w:pPr>
            <w:r w:rsidRPr="004602BA">
              <w:rPr>
                <w:rFonts w:eastAsia="Times New Roman" w:cs="Arial"/>
                <w:lang w:eastAsia="en-AU"/>
              </w:rPr>
              <w:t xml:space="preserve">Moment 4 </w:t>
            </w:r>
          </w:p>
        </w:tc>
        <w:tc>
          <w:tcPr>
            <w:tcW w:w="1544"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2824</w:t>
            </w:r>
          </w:p>
        </w:tc>
        <w:tc>
          <w:tcPr>
            <w:tcW w:w="1701"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3253</w:t>
            </w:r>
          </w:p>
        </w:tc>
        <w:tc>
          <w:tcPr>
            <w:tcW w:w="1559"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87%</w:t>
            </w:r>
          </w:p>
        </w:tc>
        <w:tc>
          <w:tcPr>
            <w:tcW w:w="1559"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86%</w:t>
            </w:r>
          </w:p>
        </w:tc>
        <w:tc>
          <w:tcPr>
            <w:tcW w:w="1559"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88%</w:t>
            </w:r>
          </w:p>
        </w:tc>
      </w:tr>
      <w:tr w:rsidR="004602BA" w:rsidRPr="004602BA" w:rsidTr="00A334F5">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lang w:eastAsia="en-AU"/>
              </w:rPr>
            </w:pPr>
            <w:r w:rsidRPr="004602BA">
              <w:rPr>
                <w:rFonts w:eastAsia="Times New Roman" w:cs="Arial"/>
                <w:lang w:eastAsia="en-AU"/>
              </w:rPr>
              <w:t xml:space="preserve">Moment 5 </w:t>
            </w:r>
          </w:p>
        </w:tc>
        <w:tc>
          <w:tcPr>
            <w:tcW w:w="1544"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2013</w:t>
            </w:r>
          </w:p>
        </w:tc>
        <w:tc>
          <w:tcPr>
            <w:tcW w:w="1701"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2736</w:t>
            </w:r>
          </w:p>
        </w:tc>
        <w:tc>
          <w:tcPr>
            <w:tcW w:w="1559"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74%</w:t>
            </w:r>
          </w:p>
        </w:tc>
        <w:tc>
          <w:tcPr>
            <w:tcW w:w="1559"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72%</w:t>
            </w:r>
          </w:p>
        </w:tc>
        <w:tc>
          <w:tcPr>
            <w:tcW w:w="1559"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75%</w:t>
            </w:r>
          </w:p>
        </w:tc>
      </w:tr>
      <w:tr w:rsidR="004602BA" w:rsidRPr="004602BA" w:rsidTr="00A334F5">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b/>
                <w:bCs/>
                <w:lang w:eastAsia="en-AU"/>
              </w:rPr>
            </w:pPr>
            <w:r w:rsidRPr="004602BA">
              <w:rPr>
                <w:rFonts w:eastAsia="Times New Roman" w:cs="Arial"/>
                <w:b/>
                <w:bCs/>
                <w:lang w:eastAsia="en-AU"/>
              </w:rPr>
              <w:t>TOTAL</w:t>
            </w:r>
          </w:p>
        </w:tc>
        <w:tc>
          <w:tcPr>
            <w:tcW w:w="1544"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center"/>
              <w:rPr>
                <w:rFonts w:eastAsia="Times New Roman" w:cs="Arial"/>
                <w:b/>
                <w:bCs/>
                <w:lang w:eastAsia="en-AU"/>
              </w:rPr>
            </w:pPr>
            <w:r w:rsidRPr="004602BA">
              <w:rPr>
                <w:rFonts w:eastAsia="Times New Roman" w:cs="Arial"/>
                <w:b/>
                <w:bCs/>
                <w:lang w:eastAsia="en-AU"/>
              </w:rPr>
              <w:t>8621</w:t>
            </w:r>
          </w:p>
        </w:tc>
        <w:tc>
          <w:tcPr>
            <w:tcW w:w="1701"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center"/>
              <w:rPr>
                <w:rFonts w:eastAsia="Times New Roman" w:cs="Arial"/>
                <w:b/>
                <w:bCs/>
                <w:lang w:eastAsia="en-AU"/>
              </w:rPr>
            </w:pPr>
            <w:r w:rsidRPr="004602BA">
              <w:rPr>
                <w:rFonts w:eastAsia="Times New Roman" w:cs="Arial"/>
                <w:b/>
                <w:bCs/>
                <w:lang w:eastAsia="en-AU"/>
              </w:rPr>
              <w:t>10751</w:t>
            </w:r>
          </w:p>
        </w:tc>
        <w:tc>
          <w:tcPr>
            <w:tcW w:w="1559"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b/>
                <w:bCs/>
                <w:lang w:eastAsia="en-AU"/>
              </w:rPr>
            </w:pPr>
            <w:r w:rsidRPr="004602BA">
              <w:rPr>
                <w:rFonts w:eastAsia="Times New Roman" w:cs="Arial"/>
                <w:b/>
                <w:bCs/>
                <w:lang w:eastAsia="en-AU"/>
              </w:rPr>
              <w:t>80%</w:t>
            </w:r>
          </w:p>
        </w:tc>
        <w:tc>
          <w:tcPr>
            <w:tcW w:w="1559"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b/>
                <w:bCs/>
                <w:lang w:eastAsia="en-AU"/>
              </w:rPr>
            </w:pPr>
            <w:r w:rsidRPr="004602BA">
              <w:rPr>
                <w:rFonts w:eastAsia="Times New Roman" w:cs="Arial"/>
                <w:b/>
                <w:bCs/>
                <w:lang w:eastAsia="en-AU"/>
              </w:rPr>
              <w:t>79%</w:t>
            </w:r>
          </w:p>
        </w:tc>
        <w:tc>
          <w:tcPr>
            <w:tcW w:w="1559"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b/>
                <w:bCs/>
                <w:lang w:eastAsia="en-AU"/>
              </w:rPr>
            </w:pPr>
            <w:r w:rsidRPr="004602BA">
              <w:rPr>
                <w:rFonts w:eastAsia="Times New Roman" w:cs="Arial"/>
                <w:b/>
                <w:bCs/>
                <w:lang w:eastAsia="en-AU"/>
              </w:rPr>
              <w:t>81%</w:t>
            </w:r>
          </w:p>
        </w:tc>
      </w:tr>
    </w:tbl>
    <w:p w:rsidR="00B62635" w:rsidRPr="00B62635" w:rsidRDefault="00B62635" w:rsidP="00B62635">
      <w:pPr>
        <w:tabs>
          <w:tab w:val="left" w:pos="567"/>
        </w:tabs>
        <w:spacing w:afterLines="0"/>
        <w:rPr>
          <w:rFonts w:eastAsia="Times New Roman" w:cs="Times New Roman"/>
          <w:bCs/>
        </w:rPr>
      </w:pPr>
    </w:p>
    <w:p w:rsidR="00C43AB0" w:rsidRDefault="00C43AB0" w:rsidP="00B62635">
      <w:pPr>
        <w:spacing w:after="336"/>
        <w:rPr>
          <w:rFonts w:eastAsia="Times New Roman" w:cs="Times New Roman"/>
          <w:b/>
          <w:bCs/>
        </w:rPr>
      </w:pPr>
      <w:bookmarkStart w:id="136" w:name="_Toc397505161"/>
      <w:bookmarkStart w:id="137" w:name="_Toc397505408"/>
      <w:bookmarkStart w:id="138" w:name="_Toc397506663"/>
      <w:bookmarkStart w:id="139" w:name="_Toc438212214"/>
    </w:p>
    <w:p w:rsidR="00C43AB0" w:rsidRDefault="00C43AB0" w:rsidP="00B62635">
      <w:pPr>
        <w:spacing w:after="336"/>
        <w:rPr>
          <w:rFonts w:eastAsia="Times New Roman" w:cs="Times New Roman"/>
          <w:b/>
          <w:bCs/>
        </w:rPr>
      </w:pPr>
    </w:p>
    <w:p w:rsidR="00B62635" w:rsidRDefault="00B62635" w:rsidP="00B62635">
      <w:pPr>
        <w:spacing w:after="336"/>
        <w:rPr>
          <w:rFonts w:eastAsia="Times New Roman" w:cs="Times New Roman"/>
          <w:bCs/>
        </w:rPr>
      </w:pPr>
      <w:bookmarkStart w:id="140" w:name="_Toc459796768"/>
      <w:r w:rsidRPr="00B62635">
        <w:rPr>
          <w:rFonts w:eastAsia="Times New Roman" w:cs="Times New Roman"/>
          <w:b/>
          <w:bCs/>
        </w:rPr>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556020">
        <w:rPr>
          <w:rFonts w:eastAsia="Times New Roman" w:cs="Times New Roman"/>
          <w:b/>
          <w:bCs/>
          <w:noProof/>
        </w:rPr>
        <w:t>14</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Tasmanian hand hygiene compliance rates by healthcare worker</w:t>
      </w:r>
      <w:bookmarkEnd w:id="136"/>
      <w:bookmarkEnd w:id="137"/>
      <w:bookmarkEnd w:id="138"/>
      <w:bookmarkEnd w:id="139"/>
      <w:bookmarkEnd w:id="140"/>
    </w:p>
    <w:tbl>
      <w:tblPr>
        <w:tblW w:w="10023" w:type="dxa"/>
        <w:jc w:val="center"/>
        <w:tblLayout w:type="fixed"/>
        <w:tblLook w:val="04A0" w:firstRow="1" w:lastRow="0" w:firstColumn="1" w:lastColumn="0" w:noHBand="0" w:noVBand="1"/>
        <w:tblCaption w:val="Table 15 - Tasmanian hand hygiene compliance rates by healthcare worker"/>
      </w:tblPr>
      <w:tblGrid>
        <w:gridCol w:w="2283"/>
        <w:gridCol w:w="1276"/>
        <w:gridCol w:w="1276"/>
        <w:gridCol w:w="1389"/>
        <w:gridCol w:w="1266"/>
        <w:gridCol w:w="1266"/>
        <w:gridCol w:w="1267"/>
      </w:tblGrid>
      <w:tr w:rsidR="004602BA" w:rsidRPr="004602BA" w:rsidTr="000B44F3">
        <w:trPr>
          <w:trHeight w:val="990"/>
          <w:tblHeader/>
          <w:jc w:val="center"/>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02BA" w:rsidRPr="004602BA" w:rsidRDefault="004602BA" w:rsidP="004602BA">
            <w:pPr>
              <w:spacing w:afterLines="0" w:after="336" w:line="240" w:lineRule="auto"/>
              <w:jc w:val="center"/>
              <w:rPr>
                <w:rFonts w:eastAsia="Times New Roman" w:cs="Arial"/>
                <w:b/>
                <w:bCs/>
                <w:sz w:val="20"/>
                <w:szCs w:val="20"/>
                <w:lang w:eastAsia="en-AU"/>
              </w:rPr>
            </w:pPr>
            <w:r w:rsidRPr="004602BA">
              <w:rPr>
                <w:rFonts w:eastAsia="Times New Roman" w:cs="Arial"/>
                <w:b/>
                <w:bCs/>
                <w:sz w:val="20"/>
                <w:szCs w:val="20"/>
                <w:lang w:eastAsia="en-AU"/>
              </w:rPr>
              <w:t xml:space="preserve">Staff Type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602BA" w:rsidRPr="004602BA" w:rsidRDefault="004602BA" w:rsidP="004602BA">
            <w:pPr>
              <w:spacing w:afterLines="0" w:after="0" w:line="240" w:lineRule="auto"/>
              <w:jc w:val="center"/>
              <w:rPr>
                <w:rFonts w:eastAsia="Times New Roman" w:cs="Arial"/>
                <w:b/>
                <w:bCs/>
                <w:sz w:val="20"/>
                <w:szCs w:val="20"/>
                <w:lang w:eastAsia="en-AU"/>
              </w:rPr>
            </w:pPr>
            <w:r w:rsidRPr="004602BA">
              <w:rPr>
                <w:rFonts w:eastAsia="Times New Roman" w:cs="Arial"/>
                <w:b/>
                <w:bCs/>
                <w:sz w:val="20"/>
                <w:szCs w:val="20"/>
                <w:lang w:eastAsia="en-AU"/>
              </w:rPr>
              <w:t>HH Correctly Performed</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602BA" w:rsidRPr="004602BA" w:rsidRDefault="004602BA" w:rsidP="004602BA">
            <w:pPr>
              <w:spacing w:afterLines="0" w:after="0" w:line="240" w:lineRule="auto"/>
              <w:jc w:val="center"/>
              <w:rPr>
                <w:rFonts w:eastAsia="Times New Roman" w:cs="Arial"/>
                <w:b/>
                <w:bCs/>
                <w:sz w:val="20"/>
                <w:szCs w:val="20"/>
                <w:lang w:eastAsia="en-AU"/>
              </w:rPr>
            </w:pPr>
            <w:r w:rsidRPr="004602BA">
              <w:rPr>
                <w:rFonts w:eastAsia="Times New Roman" w:cs="Arial"/>
                <w:b/>
                <w:bCs/>
                <w:sz w:val="20"/>
                <w:szCs w:val="20"/>
                <w:lang w:eastAsia="en-AU"/>
              </w:rPr>
              <w:t>HH Moments</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rsidR="004602BA" w:rsidRPr="004602BA" w:rsidRDefault="004602BA" w:rsidP="004602BA">
            <w:pPr>
              <w:spacing w:afterLines="0" w:after="0" w:line="240" w:lineRule="auto"/>
              <w:jc w:val="center"/>
              <w:rPr>
                <w:rFonts w:eastAsia="Times New Roman" w:cs="Arial"/>
                <w:b/>
                <w:bCs/>
                <w:sz w:val="20"/>
                <w:szCs w:val="20"/>
                <w:lang w:eastAsia="en-AU"/>
              </w:rPr>
            </w:pPr>
            <w:r w:rsidRPr="004602BA">
              <w:rPr>
                <w:rFonts w:eastAsia="Times New Roman" w:cs="Arial"/>
                <w:b/>
                <w:bCs/>
                <w:sz w:val="20"/>
                <w:szCs w:val="20"/>
                <w:lang w:eastAsia="en-AU"/>
              </w:rPr>
              <w:t>Compliance</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4602BA" w:rsidRPr="004602BA" w:rsidRDefault="004602BA" w:rsidP="0035443D">
            <w:pPr>
              <w:spacing w:afterLines="0" w:after="0" w:line="240" w:lineRule="auto"/>
              <w:jc w:val="center"/>
              <w:rPr>
                <w:rFonts w:eastAsia="Times New Roman" w:cs="Arial"/>
                <w:b/>
                <w:bCs/>
                <w:sz w:val="20"/>
                <w:szCs w:val="20"/>
                <w:lang w:eastAsia="en-AU"/>
              </w:rPr>
            </w:pPr>
            <w:r w:rsidRPr="004602BA">
              <w:rPr>
                <w:rFonts w:eastAsia="Times New Roman" w:cs="Arial"/>
                <w:b/>
                <w:bCs/>
                <w:sz w:val="20"/>
                <w:szCs w:val="20"/>
                <w:lang w:eastAsia="en-AU"/>
              </w:rPr>
              <w:t>Lower 95% confidence interval</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4602BA" w:rsidRPr="004602BA" w:rsidRDefault="004602BA" w:rsidP="004602BA">
            <w:pPr>
              <w:spacing w:afterLines="0" w:after="0" w:line="240" w:lineRule="auto"/>
              <w:jc w:val="center"/>
              <w:rPr>
                <w:rFonts w:eastAsia="Times New Roman" w:cs="Arial"/>
                <w:b/>
                <w:bCs/>
                <w:sz w:val="20"/>
                <w:szCs w:val="20"/>
                <w:lang w:eastAsia="en-AU"/>
              </w:rPr>
            </w:pPr>
            <w:r w:rsidRPr="004602BA">
              <w:rPr>
                <w:rFonts w:eastAsia="Times New Roman" w:cs="Arial"/>
                <w:b/>
                <w:bCs/>
                <w:sz w:val="20"/>
                <w:szCs w:val="20"/>
                <w:lang w:eastAsia="en-AU"/>
              </w:rPr>
              <w:t>Upper 95% confidence interval</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rsidR="004602BA" w:rsidRPr="004602BA" w:rsidRDefault="004602BA" w:rsidP="004602BA">
            <w:pPr>
              <w:spacing w:afterLines="0" w:after="0" w:line="240" w:lineRule="auto"/>
              <w:jc w:val="center"/>
              <w:rPr>
                <w:rFonts w:eastAsia="Times New Roman" w:cs="Arial"/>
                <w:b/>
                <w:bCs/>
                <w:sz w:val="20"/>
                <w:szCs w:val="20"/>
                <w:lang w:eastAsia="en-AU"/>
              </w:rPr>
            </w:pPr>
            <w:r w:rsidRPr="004602BA">
              <w:rPr>
                <w:rFonts w:eastAsia="Times New Roman" w:cs="Arial"/>
                <w:b/>
                <w:bCs/>
                <w:sz w:val="20"/>
                <w:szCs w:val="20"/>
                <w:lang w:eastAsia="en-AU"/>
              </w:rPr>
              <w:t xml:space="preserve">% of total moments observed </w:t>
            </w:r>
          </w:p>
        </w:tc>
      </w:tr>
      <w:tr w:rsidR="004602BA" w:rsidRPr="004602BA" w:rsidTr="008E161C">
        <w:trPr>
          <w:trHeight w:val="300"/>
          <w:jc w:val="center"/>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lang w:eastAsia="en-AU"/>
              </w:rPr>
            </w:pPr>
            <w:r w:rsidRPr="004602BA">
              <w:rPr>
                <w:rFonts w:eastAsia="Times New Roman" w:cs="Arial"/>
                <w:lang w:eastAsia="en-AU"/>
              </w:rPr>
              <w:t>Clerical</w:t>
            </w:r>
          </w:p>
        </w:tc>
        <w:tc>
          <w:tcPr>
            <w:tcW w:w="127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25</w:t>
            </w:r>
          </w:p>
        </w:tc>
        <w:tc>
          <w:tcPr>
            <w:tcW w:w="127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35</w:t>
            </w:r>
          </w:p>
        </w:tc>
        <w:tc>
          <w:tcPr>
            <w:tcW w:w="1389"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71%</w:t>
            </w:r>
          </w:p>
        </w:tc>
        <w:tc>
          <w:tcPr>
            <w:tcW w:w="126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55%</w:t>
            </w:r>
          </w:p>
        </w:tc>
        <w:tc>
          <w:tcPr>
            <w:tcW w:w="126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84%</w:t>
            </w:r>
          </w:p>
        </w:tc>
        <w:tc>
          <w:tcPr>
            <w:tcW w:w="1267"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lang w:eastAsia="en-AU"/>
              </w:rPr>
            </w:pPr>
            <w:r w:rsidRPr="004602BA">
              <w:rPr>
                <w:rFonts w:eastAsia="Times New Roman" w:cs="Arial"/>
                <w:lang w:eastAsia="en-AU"/>
              </w:rPr>
              <w:t>0.3</w:t>
            </w:r>
          </w:p>
        </w:tc>
      </w:tr>
      <w:tr w:rsidR="004602BA" w:rsidRPr="004602BA" w:rsidTr="008E161C">
        <w:trPr>
          <w:trHeight w:val="300"/>
          <w:jc w:val="center"/>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lang w:eastAsia="en-AU"/>
              </w:rPr>
            </w:pPr>
            <w:r w:rsidRPr="004602BA">
              <w:rPr>
                <w:rFonts w:eastAsia="Times New Roman" w:cs="Arial"/>
                <w:lang w:eastAsia="en-AU"/>
              </w:rPr>
              <w:t>Allied Health</w:t>
            </w:r>
          </w:p>
        </w:tc>
        <w:tc>
          <w:tcPr>
            <w:tcW w:w="127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368</w:t>
            </w:r>
          </w:p>
        </w:tc>
        <w:tc>
          <w:tcPr>
            <w:tcW w:w="127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456</w:t>
            </w:r>
          </w:p>
        </w:tc>
        <w:tc>
          <w:tcPr>
            <w:tcW w:w="1389"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81%</w:t>
            </w:r>
          </w:p>
        </w:tc>
        <w:tc>
          <w:tcPr>
            <w:tcW w:w="126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77%</w:t>
            </w:r>
          </w:p>
        </w:tc>
        <w:tc>
          <w:tcPr>
            <w:tcW w:w="126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84%</w:t>
            </w:r>
          </w:p>
        </w:tc>
        <w:tc>
          <w:tcPr>
            <w:tcW w:w="1267"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lang w:eastAsia="en-AU"/>
              </w:rPr>
            </w:pPr>
            <w:r w:rsidRPr="004602BA">
              <w:rPr>
                <w:rFonts w:eastAsia="Times New Roman" w:cs="Arial"/>
                <w:lang w:eastAsia="en-AU"/>
              </w:rPr>
              <w:t>4.2</w:t>
            </w:r>
          </w:p>
        </w:tc>
      </w:tr>
      <w:tr w:rsidR="004602BA" w:rsidRPr="004602BA" w:rsidTr="008E161C">
        <w:trPr>
          <w:trHeight w:val="300"/>
          <w:jc w:val="center"/>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lang w:eastAsia="en-AU"/>
              </w:rPr>
            </w:pPr>
            <w:r w:rsidRPr="004602BA">
              <w:rPr>
                <w:rFonts w:eastAsia="Times New Roman" w:cs="Arial"/>
                <w:lang w:eastAsia="en-AU"/>
              </w:rPr>
              <w:t>Domestic</w:t>
            </w:r>
          </w:p>
        </w:tc>
        <w:tc>
          <w:tcPr>
            <w:tcW w:w="127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115</w:t>
            </w:r>
          </w:p>
        </w:tc>
        <w:tc>
          <w:tcPr>
            <w:tcW w:w="127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166</w:t>
            </w:r>
          </w:p>
        </w:tc>
        <w:tc>
          <w:tcPr>
            <w:tcW w:w="1389"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69%</w:t>
            </w:r>
          </w:p>
        </w:tc>
        <w:tc>
          <w:tcPr>
            <w:tcW w:w="126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62%</w:t>
            </w:r>
          </w:p>
        </w:tc>
        <w:tc>
          <w:tcPr>
            <w:tcW w:w="126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76%</w:t>
            </w:r>
          </w:p>
        </w:tc>
        <w:tc>
          <w:tcPr>
            <w:tcW w:w="1267"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lang w:eastAsia="en-AU"/>
              </w:rPr>
            </w:pPr>
            <w:r w:rsidRPr="004602BA">
              <w:rPr>
                <w:rFonts w:eastAsia="Times New Roman" w:cs="Arial"/>
                <w:lang w:eastAsia="en-AU"/>
              </w:rPr>
              <w:t>1.5</w:t>
            </w:r>
          </w:p>
        </w:tc>
      </w:tr>
      <w:tr w:rsidR="004602BA" w:rsidRPr="004602BA" w:rsidTr="008E161C">
        <w:trPr>
          <w:trHeight w:val="300"/>
          <w:jc w:val="center"/>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lang w:eastAsia="en-AU"/>
              </w:rPr>
            </w:pPr>
            <w:r w:rsidRPr="004602BA">
              <w:rPr>
                <w:rFonts w:eastAsia="Times New Roman" w:cs="Arial"/>
                <w:lang w:eastAsia="en-AU"/>
              </w:rPr>
              <w:t>Invasive Technician</w:t>
            </w:r>
          </w:p>
        </w:tc>
        <w:tc>
          <w:tcPr>
            <w:tcW w:w="127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28</w:t>
            </w:r>
          </w:p>
        </w:tc>
        <w:tc>
          <w:tcPr>
            <w:tcW w:w="127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41</w:t>
            </w:r>
          </w:p>
        </w:tc>
        <w:tc>
          <w:tcPr>
            <w:tcW w:w="1389"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68%</w:t>
            </w:r>
          </w:p>
        </w:tc>
        <w:tc>
          <w:tcPr>
            <w:tcW w:w="126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53%</w:t>
            </w:r>
          </w:p>
        </w:tc>
        <w:tc>
          <w:tcPr>
            <w:tcW w:w="126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80%</w:t>
            </w:r>
          </w:p>
        </w:tc>
        <w:tc>
          <w:tcPr>
            <w:tcW w:w="1267"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lang w:eastAsia="en-AU"/>
              </w:rPr>
            </w:pPr>
            <w:r w:rsidRPr="004602BA">
              <w:rPr>
                <w:rFonts w:eastAsia="Times New Roman" w:cs="Arial"/>
                <w:lang w:eastAsia="en-AU"/>
              </w:rPr>
              <w:t>0.4</w:t>
            </w:r>
          </w:p>
        </w:tc>
      </w:tr>
      <w:tr w:rsidR="004602BA" w:rsidRPr="004602BA" w:rsidTr="008E161C">
        <w:trPr>
          <w:trHeight w:val="300"/>
          <w:jc w:val="center"/>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lang w:eastAsia="en-AU"/>
              </w:rPr>
            </w:pPr>
            <w:r w:rsidRPr="004602BA">
              <w:rPr>
                <w:rFonts w:eastAsia="Times New Roman" w:cs="Arial"/>
                <w:lang w:eastAsia="en-AU"/>
              </w:rPr>
              <w:t>Doctor</w:t>
            </w:r>
          </w:p>
        </w:tc>
        <w:tc>
          <w:tcPr>
            <w:tcW w:w="127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906</w:t>
            </w:r>
          </w:p>
        </w:tc>
        <w:tc>
          <w:tcPr>
            <w:tcW w:w="127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1351</w:t>
            </w:r>
          </w:p>
        </w:tc>
        <w:tc>
          <w:tcPr>
            <w:tcW w:w="1389"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67%</w:t>
            </w:r>
          </w:p>
        </w:tc>
        <w:tc>
          <w:tcPr>
            <w:tcW w:w="126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65%</w:t>
            </w:r>
          </w:p>
        </w:tc>
        <w:tc>
          <w:tcPr>
            <w:tcW w:w="126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70%</w:t>
            </w:r>
          </w:p>
        </w:tc>
        <w:tc>
          <w:tcPr>
            <w:tcW w:w="1267"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lang w:eastAsia="en-AU"/>
              </w:rPr>
            </w:pPr>
            <w:r w:rsidRPr="004602BA">
              <w:rPr>
                <w:rFonts w:eastAsia="Times New Roman" w:cs="Arial"/>
                <w:lang w:eastAsia="en-AU"/>
              </w:rPr>
              <w:t>12.6</w:t>
            </w:r>
          </w:p>
        </w:tc>
      </w:tr>
      <w:tr w:rsidR="004602BA" w:rsidRPr="004602BA" w:rsidTr="008E161C">
        <w:trPr>
          <w:trHeight w:val="300"/>
          <w:jc w:val="center"/>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lang w:eastAsia="en-AU"/>
              </w:rPr>
            </w:pPr>
            <w:r w:rsidRPr="004602BA">
              <w:rPr>
                <w:rFonts w:eastAsia="Times New Roman" w:cs="Arial"/>
                <w:lang w:eastAsia="en-AU"/>
              </w:rPr>
              <w:t>Nurse/Midwife</w:t>
            </w:r>
          </w:p>
        </w:tc>
        <w:tc>
          <w:tcPr>
            <w:tcW w:w="127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6502</w:t>
            </w:r>
          </w:p>
        </w:tc>
        <w:tc>
          <w:tcPr>
            <w:tcW w:w="127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7795</w:t>
            </w:r>
          </w:p>
        </w:tc>
        <w:tc>
          <w:tcPr>
            <w:tcW w:w="1389"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83%</w:t>
            </w:r>
          </w:p>
        </w:tc>
        <w:tc>
          <w:tcPr>
            <w:tcW w:w="126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83%</w:t>
            </w:r>
          </w:p>
        </w:tc>
        <w:tc>
          <w:tcPr>
            <w:tcW w:w="126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84%</w:t>
            </w:r>
          </w:p>
        </w:tc>
        <w:tc>
          <w:tcPr>
            <w:tcW w:w="1267"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lang w:eastAsia="en-AU"/>
              </w:rPr>
            </w:pPr>
            <w:r w:rsidRPr="004602BA">
              <w:rPr>
                <w:rFonts w:eastAsia="Times New Roman" w:cs="Arial"/>
                <w:lang w:eastAsia="en-AU"/>
              </w:rPr>
              <w:t>72.5</w:t>
            </w:r>
          </w:p>
        </w:tc>
      </w:tr>
      <w:tr w:rsidR="004602BA" w:rsidRPr="004602BA" w:rsidTr="008E161C">
        <w:trPr>
          <w:trHeight w:val="300"/>
          <w:jc w:val="center"/>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lang w:eastAsia="en-AU"/>
              </w:rPr>
            </w:pPr>
            <w:r w:rsidRPr="004602BA">
              <w:rPr>
                <w:rFonts w:eastAsia="Times New Roman" w:cs="Arial"/>
                <w:lang w:eastAsia="en-AU"/>
              </w:rPr>
              <w:t>Other</w:t>
            </w:r>
          </w:p>
        </w:tc>
        <w:tc>
          <w:tcPr>
            <w:tcW w:w="127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26</w:t>
            </w:r>
          </w:p>
        </w:tc>
        <w:tc>
          <w:tcPr>
            <w:tcW w:w="127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47</w:t>
            </w:r>
          </w:p>
        </w:tc>
        <w:tc>
          <w:tcPr>
            <w:tcW w:w="1389"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55%</w:t>
            </w:r>
          </w:p>
        </w:tc>
        <w:tc>
          <w:tcPr>
            <w:tcW w:w="126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41%</w:t>
            </w:r>
          </w:p>
        </w:tc>
        <w:tc>
          <w:tcPr>
            <w:tcW w:w="126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69%</w:t>
            </w:r>
          </w:p>
        </w:tc>
        <w:tc>
          <w:tcPr>
            <w:tcW w:w="1267"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lang w:eastAsia="en-AU"/>
              </w:rPr>
            </w:pPr>
            <w:r w:rsidRPr="004602BA">
              <w:rPr>
                <w:rFonts w:eastAsia="Times New Roman" w:cs="Arial"/>
                <w:lang w:eastAsia="en-AU"/>
              </w:rPr>
              <w:t>0.4</w:t>
            </w:r>
          </w:p>
        </w:tc>
      </w:tr>
      <w:tr w:rsidR="004602BA" w:rsidRPr="004602BA" w:rsidTr="008E161C">
        <w:trPr>
          <w:trHeight w:val="300"/>
          <w:jc w:val="center"/>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lang w:eastAsia="en-AU"/>
              </w:rPr>
            </w:pPr>
            <w:r w:rsidRPr="004602BA">
              <w:rPr>
                <w:rFonts w:eastAsia="Times New Roman" w:cs="Arial"/>
                <w:lang w:eastAsia="en-AU"/>
              </w:rPr>
              <w:t>Personal care staff</w:t>
            </w:r>
          </w:p>
        </w:tc>
        <w:tc>
          <w:tcPr>
            <w:tcW w:w="127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430</w:t>
            </w:r>
          </w:p>
        </w:tc>
        <w:tc>
          <w:tcPr>
            <w:tcW w:w="127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562</w:t>
            </w:r>
          </w:p>
        </w:tc>
        <w:tc>
          <w:tcPr>
            <w:tcW w:w="1389"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77%</w:t>
            </w:r>
          </w:p>
        </w:tc>
        <w:tc>
          <w:tcPr>
            <w:tcW w:w="126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73%</w:t>
            </w:r>
          </w:p>
        </w:tc>
        <w:tc>
          <w:tcPr>
            <w:tcW w:w="126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80%</w:t>
            </w:r>
          </w:p>
        </w:tc>
        <w:tc>
          <w:tcPr>
            <w:tcW w:w="1267"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lang w:eastAsia="en-AU"/>
              </w:rPr>
            </w:pPr>
            <w:r w:rsidRPr="004602BA">
              <w:rPr>
                <w:rFonts w:eastAsia="Times New Roman" w:cs="Arial"/>
                <w:lang w:eastAsia="en-AU"/>
              </w:rPr>
              <w:t>5.2</w:t>
            </w:r>
          </w:p>
        </w:tc>
      </w:tr>
      <w:tr w:rsidR="004602BA" w:rsidRPr="004602BA" w:rsidTr="008E161C">
        <w:trPr>
          <w:trHeight w:val="300"/>
          <w:jc w:val="center"/>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lang w:eastAsia="en-AU"/>
              </w:rPr>
            </w:pPr>
            <w:r w:rsidRPr="004602BA">
              <w:rPr>
                <w:rFonts w:eastAsia="Times New Roman" w:cs="Arial"/>
                <w:lang w:eastAsia="en-AU"/>
              </w:rPr>
              <w:t>Student Doctor</w:t>
            </w:r>
          </w:p>
        </w:tc>
        <w:tc>
          <w:tcPr>
            <w:tcW w:w="127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28</w:t>
            </w:r>
          </w:p>
        </w:tc>
        <w:tc>
          <w:tcPr>
            <w:tcW w:w="127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46</w:t>
            </w:r>
          </w:p>
        </w:tc>
        <w:tc>
          <w:tcPr>
            <w:tcW w:w="1389"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61%</w:t>
            </w:r>
          </w:p>
        </w:tc>
        <w:tc>
          <w:tcPr>
            <w:tcW w:w="126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46%</w:t>
            </w:r>
          </w:p>
        </w:tc>
        <w:tc>
          <w:tcPr>
            <w:tcW w:w="126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74%</w:t>
            </w:r>
          </w:p>
        </w:tc>
        <w:tc>
          <w:tcPr>
            <w:tcW w:w="1267"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lang w:eastAsia="en-AU"/>
              </w:rPr>
            </w:pPr>
            <w:r w:rsidRPr="004602BA">
              <w:rPr>
                <w:rFonts w:eastAsia="Times New Roman" w:cs="Arial"/>
                <w:lang w:eastAsia="en-AU"/>
              </w:rPr>
              <w:t>0.4</w:t>
            </w:r>
          </w:p>
        </w:tc>
      </w:tr>
      <w:tr w:rsidR="004602BA" w:rsidRPr="004602BA" w:rsidTr="008E161C">
        <w:trPr>
          <w:trHeight w:val="300"/>
          <w:jc w:val="center"/>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lang w:eastAsia="en-AU"/>
              </w:rPr>
            </w:pPr>
            <w:r w:rsidRPr="004602BA">
              <w:rPr>
                <w:rFonts w:eastAsia="Times New Roman" w:cs="Arial"/>
                <w:lang w:eastAsia="en-AU"/>
              </w:rPr>
              <w:t>Student Nurse/Midwife</w:t>
            </w:r>
          </w:p>
        </w:tc>
        <w:tc>
          <w:tcPr>
            <w:tcW w:w="127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179</w:t>
            </w:r>
          </w:p>
        </w:tc>
        <w:tc>
          <w:tcPr>
            <w:tcW w:w="127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234</w:t>
            </w:r>
          </w:p>
        </w:tc>
        <w:tc>
          <w:tcPr>
            <w:tcW w:w="1389"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76%</w:t>
            </w:r>
          </w:p>
        </w:tc>
        <w:tc>
          <w:tcPr>
            <w:tcW w:w="126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71%</w:t>
            </w:r>
          </w:p>
        </w:tc>
        <w:tc>
          <w:tcPr>
            <w:tcW w:w="126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81%</w:t>
            </w:r>
          </w:p>
        </w:tc>
        <w:tc>
          <w:tcPr>
            <w:tcW w:w="1267"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lang w:eastAsia="en-AU"/>
              </w:rPr>
            </w:pPr>
            <w:r w:rsidRPr="004602BA">
              <w:rPr>
                <w:rFonts w:eastAsia="Times New Roman" w:cs="Arial"/>
                <w:lang w:eastAsia="en-AU"/>
              </w:rPr>
              <w:t>2.2</w:t>
            </w:r>
          </w:p>
        </w:tc>
      </w:tr>
      <w:tr w:rsidR="004602BA" w:rsidRPr="004602BA" w:rsidTr="008E161C">
        <w:trPr>
          <w:trHeight w:val="300"/>
          <w:jc w:val="center"/>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lang w:eastAsia="en-AU"/>
              </w:rPr>
            </w:pPr>
            <w:r w:rsidRPr="004602BA">
              <w:rPr>
                <w:rFonts w:eastAsia="Times New Roman" w:cs="Arial"/>
                <w:lang w:eastAsia="en-AU"/>
              </w:rPr>
              <w:t xml:space="preserve">Student Allied Health </w:t>
            </w:r>
          </w:p>
        </w:tc>
        <w:tc>
          <w:tcPr>
            <w:tcW w:w="1276"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14</w:t>
            </w:r>
          </w:p>
        </w:tc>
        <w:tc>
          <w:tcPr>
            <w:tcW w:w="1276"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18</w:t>
            </w:r>
          </w:p>
        </w:tc>
        <w:tc>
          <w:tcPr>
            <w:tcW w:w="1389"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78%</w:t>
            </w:r>
          </w:p>
        </w:tc>
        <w:tc>
          <w:tcPr>
            <w:tcW w:w="126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55%</w:t>
            </w:r>
          </w:p>
        </w:tc>
        <w:tc>
          <w:tcPr>
            <w:tcW w:w="126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lang w:eastAsia="en-AU"/>
              </w:rPr>
            </w:pPr>
            <w:r w:rsidRPr="004602BA">
              <w:rPr>
                <w:rFonts w:eastAsia="Times New Roman" w:cs="Arial"/>
                <w:lang w:eastAsia="en-AU"/>
              </w:rPr>
              <w:t>91%</w:t>
            </w:r>
          </w:p>
        </w:tc>
        <w:tc>
          <w:tcPr>
            <w:tcW w:w="1267"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right"/>
              <w:rPr>
                <w:rFonts w:eastAsia="Times New Roman" w:cs="Arial"/>
                <w:lang w:eastAsia="en-AU"/>
              </w:rPr>
            </w:pPr>
            <w:r w:rsidRPr="004602BA">
              <w:rPr>
                <w:rFonts w:eastAsia="Times New Roman" w:cs="Arial"/>
                <w:lang w:eastAsia="en-AU"/>
              </w:rPr>
              <w:t>0.2</w:t>
            </w:r>
          </w:p>
        </w:tc>
      </w:tr>
      <w:tr w:rsidR="004602BA" w:rsidRPr="004602BA" w:rsidTr="008E161C">
        <w:trPr>
          <w:trHeight w:val="300"/>
          <w:jc w:val="center"/>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b/>
                <w:bCs/>
                <w:lang w:eastAsia="en-AU"/>
              </w:rPr>
            </w:pPr>
            <w:r w:rsidRPr="004602BA">
              <w:rPr>
                <w:rFonts w:eastAsia="Times New Roman" w:cs="Arial"/>
                <w:b/>
                <w:bCs/>
                <w:lang w:eastAsia="en-AU"/>
              </w:rPr>
              <w:t>TOTAL</w:t>
            </w:r>
          </w:p>
        </w:tc>
        <w:tc>
          <w:tcPr>
            <w:tcW w:w="1276"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center"/>
              <w:rPr>
                <w:rFonts w:eastAsia="Times New Roman" w:cs="Arial"/>
                <w:b/>
                <w:bCs/>
                <w:lang w:eastAsia="en-AU"/>
              </w:rPr>
            </w:pPr>
            <w:r w:rsidRPr="004602BA">
              <w:rPr>
                <w:rFonts w:eastAsia="Times New Roman" w:cs="Arial"/>
                <w:b/>
                <w:bCs/>
                <w:lang w:eastAsia="en-AU"/>
              </w:rPr>
              <w:t>8621</w:t>
            </w:r>
          </w:p>
        </w:tc>
        <w:tc>
          <w:tcPr>
            <w:tcW w:w="1276"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jc w:val="center"/>
              <w:rPr>
                <w:rFonts w:eastAsia="Times New Roman" w:cs="Arial"/>
                <w:b/>
                <w:bCs/>
                <w:lang w:eastAsia="en-AU"/>
              </w:rPr>
            </w:pPr>
            <w:r w:rsidRPr="004602BA">
              <w:rPr>
                <w:rFonts w:eastAsia="Times New Roman" w:cs="Arial"/>
                <w:b/>
                <w:bCs/>
                <w:lang w:eastAsia="en-AU"/>
              </w:rPr>
              <w:t>10751</w:t>
            </w:r>
          </w:p>
        </w:tc>
        <w:tc>
          <w:tcPr>
            <w:tcW w:w="1389"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b/>
                <w:bCs/>
                <w:lang w:eastAsia="en-AU"/>
              </w:rPr>
            </w:pPr>
            <w:r w:rsidRPr="004602BA">
              <w:rPr>
                <w:rFonts w:eastAsia="Times New Roman" w:cs="Arial"/>
                <w:b/>
                <w:bCs/>
                <w:lang w:eastAsia="en-AU"/>
              </w:rPr>
              <w:t>80%</w:t>
            </w:r>
          </w:p>
        </w:tc>
        <w:tc>
          <w:tcPr>
            <w:tcW w:w="126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b/>
                <w:bCs/>
                <w:lang w:eastAsia="en-AU"/>
              </w:rPr>
            </w:pPr>
            <w:r w:rsidRPr="004602BA">
              <w:rPr>
                <w:rFonts w:eastAsia="Times New Roman" w:cs="Arial"/>
                <w:b/>
                <w:bCs/>
                <w:lang w:eastAsia="en-AU"/>
              </w:rPr>
              <w:t>79%</w:t>
            </w:r>
          </w:p>
        </w:tc>
        <w:tc>
          <w:tcPr>
            <w:tcW w:w="1266" w:type="dxa"/>
            <w:tcBorders>
              <w:top w:val="nil"/>
              <w:left w:val="nil"/>
              <w:bottom w:val="single" w:sz="4" w:space="0" w:color="auto"/>
              <w:right w:val="single" w:sz="4" w:space="0" w:color="auto"/>
            </w:tcBorders>
            <w:shd w:val="clear" w:color="auto" w:fill="auto"/>
            <w:vAlign w:val="bottom"/>
            <w:hideMark/>
          </w:tcPr>
          <w:p w:rsidR="004602BA" w:rsidRPr="004602BA" w:rsidRDefault="004602BA" w:rsidP="004602BA">
            <w:pPr>
              <w:spacing w:afterLines="0" w:after="0" w:line="240" w:lineRule="auto"/>
              <w:jc w:val="center"/>
              <w:rPr>
                <w:rFonts w:eastAsia="Times New Roman" w:cs="Arial"/>
                <w:b/>
                <w:bCs/>
                <w:lang w:eastAsia="en-AU"/>
              </w:rPr>
            </w:pPr>
            <w:r w:rsidRPr="004602BA">
              <w:rPr>
                <w:rFonts w:eastAsia="Times New Roman" w:cs="Arial"/>
                <w:b/>
                <w:bCs/>
                <w:lang w:eastAsia="en-AU"/>
              </w:rPr>
              <w:t>81%</w:t>
            </w:r>
          </w:p>
        </w:tc>
        <w:tc>
          <w:tcPr>
            <w:tcW w:w="1267" w:type="dxa"/>
            <w:tcBorders>
              <w:top w:val="nil"/>
              <w:left w:val="nil"/>
              <w:bottom w:val="single" w:sz="4" w:space="0" w:color="auto"/>
              <w:right w:val="single" w:sz="4" w:space="0" w:color="auto"/>
            </w:tcBorders>
            <w:shd w:val="clear" w:color="auto" w:fill="auto"/>
            <w:noWrap/>
            <w:vAlign w:val="bottom"/>
            <w:hideMark/>
          </w:tcPr>
          <w:p w:rsidR="004602BA" w:rsidRPr="004602BA" w:rsidRDefault="004602BA" w:rsidP="004602BA">
            <w:pPr>
              <w:spacing w:afterLines="0" w:after="0" w:line="240" w:lineRule="auto"/>
              <w:rPr>
                <w:rFonts w:eastAsia="Times New Roman" w:cs="Arial"/>
                <w:lang w:eastAsia="en-AU"/>
              </w:rPr>
            </w:pPr>
            <w:r w:rsidRPr="004602BA">
              <w:rPr>
                <w:rFonts w:eastAsia="Times New Roman" w:cs="Arial"/>
                <w:lang w:eastAsia="en-AU"/>
              </w:rPr>
              <w:t> </w:t>
            </w:r>
          </w:p>
        </w:tc>
      </w:tr>
    </w:tbl>
    <w:p w:rsidR="00AE0838" w:rsidRDefault="00AE0838" w:rsidP="0035443D">
      <w:pPr>
        <w:spacing w:after="336"/>
      </w:pPr>
    </w:p>
    <w:sectPr w:rsidR="00AE0838" w:rsidSect="002746BC">
      <w:headerReference w:type="default" r:id="rId41"/>
      <w:pgSz w:w="11906" w:h="16838"/>
      <w:pgMar w:top="1440" w:right="1440" w:bottom="1440" w:left="1440"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193" w:rsidRDefault="00C21193" w:rsidP="00590171">
      <w:pPr>
        <w:spacing w:after="336" w:line="240" w:lineRule="auto"/>
      </w:pPr>
      <w:r>
        <w:separator/>
      </w:r>
    </w:p>
  </w:endnote>
  <w:endnote w:type="continuationSeparator" w:id="0">
    <w:p w:rsidR="00C21193" w:rsidRDefault="00C21193" w:rsidP="00590171">
      <w:pPr>
        <w:spacing w:after="336"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AGaramond-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20" w:rsidRDefault="00556020" w:rsidP="00DE4C6A">
    <w:pPr>
      <w:pStyle w:val="Footer"/>
      <w:spacing w:after="3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2974097"/>
      <w:docPartObj>
        <w:docPartGallery w:val="Page Numbers (Bottom of Page)"/>
        <w:docPartUnique/>
      </w:docPartObj>
    </w:sdtPr>
    <w:sdtEndPr/>
    <w:sdtContent>
      <w:sdt>
        <w:sdtPr>
          <w:id w:val="860082579"/>
          <w:docPartObj>
            <w:docPartGallery w:val="Page Numbers (Top of Page)"/>
            <w:docPartUnique/>
          </w:docPartObj>
        </w:sdtPr>
        <w:sdtEndPr/>
        <w:sdtContent>
          <w:p w:rsidR="00556020" w:rsidRDefault="00556020" w:rsidP="000E145C">
            <w:pPr>
              <w:pStyle w:val="Footer"/>
              <w:spacing w:after="336"/>
              <w:jc w:val="right"/>
            </w:pPr>
            <w:r w:rsidRPr="000E145C">
              <w:t xml:space="preserve">Page </w:t>
            </w:r>
            <w:r w:rsidRPr="000E145C">
              <w:rPr>
                <w:b/>
                <w:bCs/>
              </w:rPr>
              <w:fldChar w:fldCharType="begin"/>
            </w:r>
            <w:r w:rsidRPr="000E145C">
              <w:rPr>
                <w:b/>
                <w:bCs/>
              </w:rPr>
              <w:instrText xml:space="preserve"> PAGE </w:instrText>
            </w:r>
            <w:r w:rsidRPr="000E145C">
              <w:rPr>
                <w:b/>
                <w:bCs/>
              </w:rPr>
              <w:fldChar w:fldCharType="separate"/>
            </w:r>
            <w:r w:rsidR="00DD6888">
              <w:rPr>
                <w:b/>
                <w:bCs/>
                <w:noProof/>
              </w:rPr>
              <w:t>24</w:t>
            </w:r>
            <w:r w:rsidRPr="000E145C">
              <w:rPr>
                <w:b/>
                <w:bCs/>
              </w:rPr>
              <w:fldChar w:fldCharType="end"/>
            </w:r>
            <w:r w:rsidRPr="000E145C">
              <w:t xml:space="preserve"> of </w:t>
            </w:r>
            <w:r w:rsidRPr="000E145C">
              <w:rPr>
                <w:b/>
                <w:bCs/>
              </w:rPr>
              <w:fldChar w:fldCharType="begin"/>
            </w:r>
            <w:r w:rsidRPr="000E145C">
              <w:rPr>
                <w:b/>
                <w:bCs/>
              </w:rPr>
              <w:instrText xml:space="preserve"> NUMPAGES  </w:instrText>
            </w:r>
            <w:r w:rsidRPr="000E145C">
              <w:rPr>
                <w:b/>
                <w:bCs/>
              </w:rPr>
              <w:fldChar w:fldCharType="separate"/>
            </w:r>
            <w:r w:rsidR="00DD6888">
              <w:rPr>
                <w:b/>
                <w:bCs/>
                <w:noProof/>
              </w:rPr>
              <w:t>38</w:t>
            </w:r>
            <w:r w:rsidRPr="000E145C">
              <w:rPr>
                <w:b/>
                <w:bCs/>
              </w:rPr>
              <w:fldChar w:fldCharType="end"/>
            </w:r>
          </w:p>
        </w:sdtContent>
      </w:sdt>
    </w:sdtContent>
  </w:sdt>
  <w:p w:rsidR="00556020" w:rsidRDefault="00556020" w:rsidP="00590171">
    <w:pPr>
      <w:pStyle w:val="Footer"/>
      <w:spacing w:after="3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20" w:rsidRDefault="00556020" w:rsidP="00DE4C6A">
    <w:pPr>
      <w:pStyle w:val="Footer"/>
      <w:spacing w:after="33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193" w:rsidRDefault="00C21193" w:rsidP="00590171">
      <w:pPr>
        <w:spacing w:after="336" w:line="240" w:lineRule="auto"/>
      </w:pPr>
      <w:r>
        <w:separator/>
      </w:r>
    </w:p>
  </w:footnote>
  <w:footnote w:type="continuationSeparator" w:id="0">
    <w:p w:rsidR="00C21193" w:rsidRDefault="00C21193" w:rsidP="00590171">
      <w:pPr>
        <w:spacing w:after="336"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20" w:rsidRDefault="00556020" w:rsidP="00DE4C6A">
    <w:pPr>
      <w:pStyle w:val="Header"/>
      <w:spacing w:after="33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20" w:rsidRDefault="00556020" w:rsidP="00DE4C6A">
    <w:pPr>
      <w:pStyle w:val="Header"/>
      <w:spacing w:after="33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20" w:rsidRDefault="00556020" w:rsidP="00590171">
    <w:pPr>
      <w:pStyle w:val="Header"/>
      <w:spacing w:after="336"/>
    </w:pPr>
    <w:r>
      <w:rPr>
        <w:noProof/>
        <w:lang w:eastAsia="en-AU"/>
      </w:rPr>
      <w:drawing>
        <wp:anchor distT="0" distB="0" distL="114300" distR="114300" simplePos="0" relativeHeight="251657216" behindDoc="1" locked="0" layoutInCell="1" allowOverlap="1" wp14:anchorId="10B48954" wp14:editId="79051342">
          <wp:simplePos x="0" y="0"/>
          <wp:positionH relativeFrom="page">
            <wp:posOffset>-31805</wp:posOffset>
          </wp:positionH>
          <wp:positionV relativeFrom="page">
            <wp:posOffset>-993913</wp:posOffset>
          </wp:positionV>
          <wp:extent cx="7604594" cy="11624807"/>
          <wp:effectExtent l="0" t="0" r="0" b="0"/>
          <wp:wrapNone/>
          <wp:docPr id="42" name="Picture 42" descr="Images of people of various ages, scenery and food." title="Front Page Cover for Healthcare Associated Infection Surveillance Repor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Health Services A4 Cover Sheet for Custom Header.jpg"/>
                  <pic:cNvPicPr/>
                </pic:nvPicPr>
                <pic:blipFill>
                  <a:blip r:embed="rId1">
                    <a:extLst>
                      <a:ext uri="{28A0092B-C50C-407E-A947-70E740481C1C}">
                        <a14:useLocalDpi xmlns:a14="http://schemas.microsoft.com/office/drawing/2010/main" val="0"/>
                      </a:ext>
                    </a:extLst>
                  </a:blip>
                  <a:stretch>
                    <a:fillRect/>
                  </a:stretch>
                </pic:blipFill>
                <pic:spPr>
                  <a:xfrm>
                    <a:off x="0" y="0"/>
                    <a:ext cx="7606761" cy="116281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193" w:rsidRDefault="00C21193" w:rsidP="00590171">
    <w:pPr>
      <w:pStyle w:val="Header"/>
      <w:spacing w:after="33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637E"/>
    <w:multiLevelType w:val="hybridMultilevel"/>
    <w:tmpl w:val="4EE62D1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30341F7"/>
    <w:multiLevelType w:val="hybridMultilevel"/>
    <w:tmpl w:val="53926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37B2CC9"/>
    <w:multiLevelType w:val="hybridMultilevel"/>
    <w:tmpl w:val="999EED0A"/>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nsid w:val="09524CEF"/>
    <w:multiLevelType w:val="hybridMultilevel"/>
    <w:tmpl w:val="8A22E230"/>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nsid w:val="0C3B5582"/>
    <w:multiLevelType w:val="hybridMultilevel"/>
    <w:tmpl w:val="645CB3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1A518B4"/>
    <w:multiLevelType w:val="hybridMultilevel"/>
    <w:tmpl w:val="3976D2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6685BE1"/>
    <w:multiLevelType w:val="hybridMultilevel"/>
    <w:tmpl w:val="1BAE616A"/>
    <w:lvl w:ilvl="0" w:tplc="0C090001">
      <w:start w:val="1"/>
      <w:numFmt w:val="bullet"/>
      <w:lvlText w:val=""/>
      <w:lvlJc w:val="left"/>
      <w:pPr>
        <w:tabs>
          <w:tab w:val="num" w:pos="360"/>
        </w:tabs>
        <w:ind w:left="360" w:hanging="360"/>
      </w:pPr>
      <w:rPr>
        <w:rFonts w:ascii="Symbol" w:hAnsi="Symbol" w:hint="default"/>
        <w:b w:val="0"/>
      </w:r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7">
    <w:nsid w:val="16B55B4A"/>
    <w:multiLevelType w:val="hybridMultilevel"/>
    <w:tmpl w:val="C9C2C340"/>
    <w:lvl w:ilvl="0" w:tplc="0C090001">
      <w:start w:val="1"/>
      <w:numFmt w:val="bullet"/>
      <w:lvlText w:val=""/>
      <w:lvlJc w:val="left"/>
      <w:pPr>
        <w:tabs>
          <w:tab w:val="num" w:pos="6"/>
        </w:tabs>
        <w:ind w:left="6" w:hanging="360"/>
      </w:pPr>
      <w:rPr>
        <w:rFonts w:ascii="Symbol" w:hAnsi="Symbol" w:hint="default"/>
      </w:rPr>
    </w:lvl>
    <w:lvl w:ilvl="1" w:tplc="0C090003" w:tentative="1">
      <w:start w:val="1"/>
      <w:numFmt w:val="bullet"/>
      <w:lvlText w:val="o"/>
      <w:lvlJc w:val="left"/>
      <w:pPr>
        <w:tabs>
          <w:tab w:val="num" w:pos="726"/>
        </w:tabs>
        <w:ind w:left="726" w:hanging="360"/>
      </w:pPr>
      <w:rPr>
        <w:rFonts w:ascii="Courier New" w:hAnsi="Courier New" w:cs="Courier New" w:hint="default"/>
      </w:rPr>
    </w:lvl>
    <w:lvl w:ilvl="2" w:tplc="0C090005" w:tentative="1">
      <w:start w:val="1"/>
      <w:numFmt w:val="bullet"/>
      <w:lvlText w:val=""/>
      <w:lvlJc w:val="left"/>
      <w:pPr>
        <w:tabs>
          <w:tab w:val="num" w:pos="1446"/>
        </w:tabs>
        <w:ind w:left="1446" w:hanging="360"/>
      </w:pPr>
      <w:rPr>
        <w:rFonts w:ascii="Wingdings" w:hAnsi="Wingdings" w:hint="default"/>
      </w:rPr>
    </w:lvl>
    <w:lvl w:ilvl="3" w:tplc="0C090001" w:tentative="1">
      <w:start w:val="1"/>
      <w:numFmt w:val="bullet"/>
      <w:lvlText w:val=""/>
      <w:lvlJc w:val="left"/>
      <w:pPr>
        <w:tabs>
          <w:tab w:val="num" w:pos="2166"/>
        </w:tabs>
        <w:ind w:left="2166" w:hanging="360"/>
      </w:pPr>
      <w:rPr>
        <w:rFonts w:ascii="Symbol" w:hAnsi="Symbol" w:hint="default"/>
      </w:rPr>
    </w:lvl>
    <w:lvl w:ilvl="4" w:tplc="0C090003" w:tentative="1">
      <w:start w:val="1"/>
      <w:numFmt w:val="bullet"/>
      <w:lvlText w:val="o"/>
      <w:lvlJc w:val="left"/>
      <w:pPr>
        <w:tabs>
          <w:tab w:val="num" w:pos="2886"/>
        </w:tabs>
        <w:ind w:left="2886" w:hanging="360"/>
      </w:pPr>
      <w:rPr>
        <w:rFonts w:ascii="Courier New" w:hAnsi="Courier New" w:cs="Courier New" w:hint="default"/>
      </w:rPr>
    </w:lvl>
    <w:lvl w:ilvl="5" w:tplc="0C090005" w:tentative="1">
      <w:start w:val="1"/>
      <w:numFmt w:val="bullet"/>
      <w:lvlText w:val=""/>
      <w:lvlJc w:val="left"/>
      <w:pPr>
        <w:tabs>
          <w:tab w:val="num" w:pos="3606"/>
        </w:tabs>
        <w:ind w:left="3606" w:hanging="360"/>
      </w:pPr>
      <w:rPr>
        <w:rFonts w:ascii="Wingdings" w:hAnsi="Wingdings" w:hint="default"/>
      </w:rPr>
    </w:lvl>
    <w:lvl w:ilvl="6" w:tplc="0C090001" w:tentative="1">
      <w:start w:val="1"/>
      <w:numFmt w:val="bullet"/>
      <w:lvlText w:val=""/>
      <w:lvlJc w:val="left"/>
      <w:pPr>
        <w:tabs>
          <w:tab w:val="num" w:pos="4326"/>
        </w:tabs>
        <w:ind w:left="4326" w:hanging="360"/>
      </w:pPr>
      <w:rPr>
        <w:rFonts w:ascii="Symbol" w:hAnsi="Symbol" w:hint="default"/>
      </w:rPr>
    </w:lvl>
    <w:lvl w:ilvl="7" w:tplc="0C090003" w:tentative="1">
      <w:start w:val="1"/>
      <w:numFmt w:val="bullet"/>
      <w:lvlText w:val="o"/>
      <w:lvlJc w:val="left"/>
      <w:pPr>
        <w:tabs>
          <w:tab w:val="num" w:pos="5046"/>
        </w:tabs>
        <w:ind w:left="5046" w:hanging="360"/>
      </w:pPr>
      <w:rPr>
        <w:rFonts w:ascii="Courier New" w:hAnsi="Courier New" w:cs="Courier New" w:hint="default"/>
      </w:rPr>
    </w:lvl>
    <w:lvl w:ilvl="8" w:tplc="0C090005" w:tentative="1">
      <w:start w:val="1"/>
      <w:numFmt w:val="bullet"/>
      <w:lvlText w:val=""/>
      <w:lvlJc w:val="left"/>
      <w:pPr>
        <w:tabs>
          <w:tab w:val="num" w:pos="5766"/>
        </w:tabs>
        <w:ind w:left="5766" w:hanging="360"/>
      </w:pPr>
      <w:rPr>
        <w:rFonts w:ascii="Wingdings" w:hAnsi="Wingdings" w:hint="default"/>
      </w:rPr>
    </w:lvl>
  </w:abstractNum>
  <w:abstractNum w:abstractNumId="8">
    <w:nsid w:val="17733D00"/>
    <w:multiLevelType w:val="hybridMultilevel"/>
    <w:tmpl w:val="A49EE1A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nsid w:val="17CD399D"/>
    <w:multiLevelType w:val="hybridMultilevel"/>
    <w:tmpl w:val="2CE6D42C"/>
    <w:lvl w:ilvl="0" w:tplc="326A5BE0">
      <w:start w:val="1"/>
      <w:numFmt w:val="decimal"/>
      <w:lvlText w:val="%1."/>
      <w:lvlJc w:val="left"/>
      <w:pPr>
        <w:ind w:left="360" w:hanging="360"/>
      </w:pPr>
      <w:rPr>
        <w:rFonts w:ascii="Gill Sans MT" w:eastAsia="Times New Roman" w:hAnsi="Gill Sans MT" w:cs="Times New Roman"/>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84300CB"/>
    <w:multiLevelType w:val="hybridMultilevel"/>
    <w:tmpl w:val="2DF2E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47E2268"/>
    <w:multiLevelType w:val="hybridMultilevel"/>
    <w:tmpl w:val="712895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B871C2A"/>
    <w:multiLevelType w:val="hybridMultilevel"/>
    <w:tmpl w:val="5E0EBB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DD209C2"/>
    <w:multiLevelType w:val="hybridMultilevel"/>
    <w:tmpl w:val="F1784D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2506B08"/>
    <w:multiLevelType w:val="hybridMultilevel"/>
    <w:tmpl w:val="219A8DF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35890178"/>
    <w:multiLevelType w:val="hybridMultilevel"/>
    <w:tmpl w:val="697C5AA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nsid w:val="39B47C26"/>
    <w:multiLevelType w:val="hybridMultilevel"/>
    <w:tmpl w:val="180493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3BFE51AF"/>
    <w:multiLevelType w:val="hybridMultilevel"/>
    <w:tmpl w:val="B45249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CB22E9D"/>
    <w:multiLevelType w:val="multilevel"/>
    <w:tmpl w:val="F822D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A845C9D"/>
    <w:multiLevelType w:val="hybridMultilevel"/>
    <w:tmpl w:val="740A4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2F70FD3"/>
    <w:multiLevelType w:val="hybridMultilevel"/>
    <w:tmpl w:val="739CB04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nsid w:val="55752C5B"/>
    <w:multiLevelType w:val="hybridMultilevel"/>
    <w:tmpl w:val="C0FC0D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FC3767A"/>
    <w:multiLevelType w:val="hybridMultilevel"/>
    <w:tmpl w:val="DE063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9D95C2C"/>
    <w:multiLevelType w:val="hybridMultilevel"/>
    <w:tmpl w:val="A536B6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C69292A"/>
    <w:multiLevelType w:val="hybridMultilevel"/>
    <w:tmpl w:val="C97AF1F4"/>
    <w:lvl w:ilvl="0" w:tplc="0C09000F">
      <w:start w:val="1"/>
      <w:numFmt w:val="decimal"/>
      <w:lvlText w:val="%1."/>
      <w:lvlJc w:val="left"/>
      <w:pPr>
        <w:ind w:left="-1065" w:hanging="360"/>
      </w:pPr>
    </w:lvl>
    <w:lvl w:ilvl="1" w:tplc="0C090019" w:tentative="1">
      <w:start w:val="1"/>
      <w:numFmt w:val="lowerLetter"/>
      <w:lvlText w:val="%2."/>
      <w:lvlJc w:val="left"/>
      <w:pPr>
        <w:ind w:left="-345" w:hanging="360"/>
      </w:pPr>
    </w:lvl>
    <w:lvl w:ilvl="2" w:tplc="0C09001B" w:tentative="1">
      <w:start w:val="1"/>
      <w:numFmt w:val="lowerRoman"/>
      <w:lvlText w:val="%3."/>
      <w:lvlJc w:val="right"/>
      <w:pPr>
        <w:ind w:left="375" w:hanging="180"/>
      </w:pPr>
    </w:lvl>
    <w:lvl w:ilvl="3" w:tplc="0C09000F" w:tentative="1">
      <w:start w:val="1"/>
      <w:numFmt w:val="decimal"/>
      <w:lvlText w:val="%4."/>
      <w:lvlJc w:val="left"/>
      <w:pPr>
        <w:ind w:left="1095" w:hanging="360"/>
      </w:pPr>
    </w:lvl>
    <w:lvl w:ilvl="4" w:tplc="0C090019" w:tentative="1">
      <w:start w:val="1"/>
      <w:numFmt w:val="lowerLetter"/>
      <w:lvlText w:val="%5."/>
      <w:lvlJc w:val="left"/>
      <w:pPr>
        <w:ind w:left="1815" w:hanging="360"/>
      </w:pPr>
    </w:lvl>
    <w:lvl w:ilvl="5" w:tplc="0C09001B" w:tentative="1">
      <w:start w:val="1"/>
      <w:numFmt w:val="lowerRoman"/>
      <w:lvlText w:val="%6."/>
      <w:lvlJc w:val="right"/>
      <w:pPr>
        <w:ind w:left="2535" w:hanging="180"/>
      </w:pPr>
    </w:lvl>
    <w:lvl w:ilvl="6" w:tplc="0C09000F" w:tentative="1">
      <w:start w:val="1"/>
      <w:numFmt w:val="decimal"/>
      <w:lvlText w:val="%7."/>
      <w:lvlJc w:val="left"/>
      <w:pPr>
        <w:ind w:left="3255" w:hanging="360"/>
      </w:pPr>
    </w:lvl>
    <w:lvl w:ilvl="7" w:tplc="0C090019" w:tentative="1">
      <w:start w:val="1"/>
      <w:numFmt w:val="lowerLetter"/>
      <w:lvlText w:val="%8."/>
      <w:lvlJc w:val="left"/>
      <w:pPr>
        <w:ind w:left="3975" w:hanging="360"/>
      </w:pPr>
    </w:lvl>
    <w:lvl w:ilvl="8" w:tplc="0C09001B" w:tentative="1">
      <w:start w:val="1"/>
      <w:numFmt w:val="lowerRoman"/>
      <w:lvlText w:val="%9."/>
      <w:lvlJc w:val="right"/>
      <w:pPr>
        <w:ind w:left="4695" w:hanging="180"/>
      </w:pPr>
    </w:lvl>
  </w:abstractNum>
  <w:abstractNum w:abstractNumId="25">
    <w:nsid w:val="7F110884"/>
    <w:multiLevelType w:val="hybridMultilevel"/>
    <w:tmpl w:val="D0A00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3"/>
  </w:num>
  <w:num w:numId="4">
    <w:abstractNumId w:val="24"/>
  </w:num>
  <w:num w:numId="5">
    <w:abstractNumId w:val="5"/>
  </w:num>
  <w:num w:numId="6">
    <w:abstractNumId w:val="16"/>
  </w:num>
  <w:num w:numId="7">
    <w:abstractNumId w:val="8"/>
  </w:num>
  <w:num w:numId="8">
    <w:abstractNumId w:val="10"/>
  </w:num>
  <w:num w:numId="9">
    <w:abstractNumId w:val="3"/>
  </w:num>
  <w:num w:numId="10">
    <w:abstractNumId w:val="11"/>
  </w:num>
  <w:num w:numId="11">
    <w:abstractNumId w:val="20"/>
  </w:num>
  <w:num w:numId="12">
    <w:abstractNumId w:val="21"/>
  </w:num>
  <w:num w:numId="13">
    <w:abstractNumId w:val="6"/>
  </w:num>
  <w:num w:numId="14">
    <w:abstractNumId w:val="18"/>
  </w:num>
  <w:num w:numId="15">
    <w:abstractNumId w:val="25"/>
  </w:num>
  <w:num w:numId="16">
    <w:abstractNumId w:val="2"/>
  </w:num>
  <w:num w:numId="17">
    <w:abstractNumId w:val="15"/>
  </w:num>
  <w:num w:numId="18">
    <w:abstractNumId w:val="14"/>
  </w:num>
  <w:num w:numId="19">
    <w:abstractNumId w:val="17"/>
  </w:num>
  <w:num w:numId="20">
    <w:abstractNumId w:val="12"/>
  </w:num>
  <w:num w:numId="21">
    <w:abstractNumId w:val="1"/>
  </w:num>
  <w:num w:numId="22">
    <w:abstractNumId w:val="22"/>
  </w:num>
  <w:num w:numId="23">
    <w:abstractNumId w:val="4"/>
  </w:num>
  <w:num w:numId="24">
    <w:abstractNumId w:val="23"/>
  </w:num>
  <w:num w:numId="25">
    <w:abstractNumId w:val="9"/>
  </w:num>
  <w:num w:numId="26">
    <w:abstractNumId w:val="19"/>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revisionView w:markup="0"/>
  <w:documentProtection w:edit="readOnly" w:enforcement="1"/>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635"/>
    <w:rsid w:val="00066DCB"/>
    <w:rsid w:val="000B117C"/>
    <w:rsid w:val="000B44F3"/>
    <w:rsid w:val="000C3212"/>
    <w:rsid w:val="000D2E75"/>
    <w:rsid w:val="000D55A1"/>
    <w:rsid w:val="000E145C"/>
    <w:rsid w:val="00111121"/>
    <w:rsid w:val="00123BFB"/>
    <w:rsid w:val="00124F43"/>
    <w:rsid w:val="00141BE5"/>
    <w:rsid w:val="00146A02"/>
    <w:rsid w:val="00160E8E"/>
    <w:rsid w:val="00172BD3"/>
    <w:rsid w:val="001F2187"/>
    <w:rsid w:val="00200E00"/>
    <w:rsid w:val="00204B17"/>
    <w:rsid w:val="002302C7"/>
    <w:rsid w:val="002746BC"/>
    <w:rsid w:val="0029733C"/>
    <w:rsid w:val="002E3B74"/>
    <w:rsid w:val="0035443D"/>
    <w:rsid w:val="003A6F0D"/>
    <w:rsid w:val="003A7A3F"/>
    <w:rsid w:val="00401F79"/>
    <w:rsid w:val="00404139"/>
    <w:rsid w:val="00413D30"/>
    <w:rsid w:val="00434C6E"/>
    <w:rsid w:val="00454870"/>
    <w:rsid w:val="00455A68"/>
    <w:rsid w:val="004602BA"/>
    <w:rsid w:val="00490A10"/>
    <w:rsid w:val="004A109C"/>
    <w:rsid w:val="004A67B1"/>
    <w:rsid w:val="004B39D8"/>
    <w:rsid w:val="00503C52"/>
    <w:rsid w:val="00556020"/>
    <w:rsid w:val="00590171"/>
    <w:rsid w:val="005943FE"/>
    <w:rsid w:val="005C24E5"/>
    <w:rsid w:val="005C6D04"/>
    <w:rsid w:val="005D0EB3"/>
    <w:rsid w:val="005D40B6"/>
    <w:rsid w:val="005F09AA"/>
    <w:rsid w:val="005F0E43"/>
    <w:rsid w:val="005F4361"/>
    <w:rsid w:val="00665D07"/>
    <w:rsid w:val="006A1590"/>
    <w:rsid w:val="006B3F11"/>
    <w:rsid w:val="006C304D"/>
    <w:rsid w:val="006E5977"/>
    <w:rsid w:val="006F19DD"/>
    <w:rsid w:val="00743E1D"/>
    <w:rsid w:val="00762EA9"/>
    <w:rsid w:val="0076726D"/>
    <w:rsid w:val="007D2320"/>
    <w:rsid w:val="0080146E"/>
    <w:rsid w:val="008176F5"/>
    <w:rsid w:val="008268BB"/>
    <w:rsid w:val="00874088"/>
    <w:rsid w:val="008865AF"/>
    <w:rsid w:val="008B1D5F"/>
    <w:rsid w:val="008B715C"/>
    <w:rsid w:val="008D35A5"/>
    <w:rsid w:val="008E01BA"/>
    <w:rsid w:val="008E161C"/>
    <w:rsid w:val="008E3062"/>
    <w:rsid w:val="008F201D"/>
    <w:rsid w:val="008F6A63"/>
    <w:rsid w:val="00902A65"/>
    <w:rsid w:val="00916EEB"/>
    <w:rsid w:val="00960E7A"/>
    <w:rsid w:val="009650CD"/>
    <w:rsid w:val="00976FB7"/>
    <w:rsid w:val="00986AA8"/>
    <w:rsid w:val="0099565C"/>
    <w:rsid w:val="009963C4"/>
    <w:rsid w:val="00996ACF"/>
    <w:rsid w:val="009F30ED"/>
    <w:rsid w:val="00A060AF"/>
    <w:rsid w:val="00A2099E"/>
    <w:rsid w:val="00A334F5"/>
    <w:rsid w:val="00A47C1D"/>
    <w:rsid w:val="00A523EE"/>
    <w:rsid w:val="00A657D5"/>
    <w:rsid w:val="00A7123B"/>
    <w:rsid w:val="00AC11FA"/>
    <w:rsid w:val="00AD4ECF"/>
    <w:rsid w:val="00AD6E23"/>
    <w:rsid w:val="00AE0838"/>
    <w:rsid w:val="00AE58AB"/>
    <w:rsid w:val="00AF2DBF"/>
    <w:rsid w:val="00B132D5"/>
    <w:rsid w:val="00B27285"/>
    <w:rsid w:val="00B36CA9"/>
    <w:rsid w:val="00B51D72"/>
    <w:rsid w:val="00B62635"/>
    <w:rsid w:val="00B65685"/>
    <w:rsid w:val="00B84EE7"/>
    <w:rsid w:val="00B87A53"/>
    <w:rsid w:val="00B90B5F"/>
    <w:rsid w:val="00BA0586"/>
    <w:rsid w:val="00BC0483"/>
    <w:rsid w:val="00BC4E4B"/>
    <w:rsid w:val="00BD3FD5"/>
    <w:rsid w:val="00BE35B8"/>
    <w:rsid w:val="00BF2B46"/>
    <w:rsid w:val="00BF2E9A"/>
    <w:rsid w:val="00C072DA"/>
    <w:rsid w:val="00C16108"/>
    <w:rsid w:val="00C21193"/>
    <w:rsid w:val="00C30FE9"/>
    <w:rsid w:val="00C31AF0"/>
    <w:rsid w:val="00C43AB0"/>
    <w:rsid w:val="00C478DD"/>
    <w:rsid w:val="00C823CB"/>
    <w:rsid w:val="00C87162"/>
    <w:rsid w:val="00CA5D15"/>
    <w:rsid w:val="00CB425B"/>
    <w:rsid w:val="00D009AE"/>
    <w:rsid w:val="00D13BFF"/>
    <w:rsid w:val="00D17763"/>
    <w:rsid w:val="00D26C72"/>
    <w:rsid w:val="00D57794"/>
    <w:rsid w:val="00D83AFE"/>
    <w:rsid w:val="00DB564F"/>
    <w:rsid w:val="00DB7814"/>
    <w:rsid w:val="00DD6888"/>
    <w:rsid w:val="00DE4C6A"/>
    <w:rsid w:val="00E21C8E"/>
    <w:rsid w:val="00E2324B"/>
    <w:rsid w:val="00E35F57"/>
    <w:rsid w:val="00E50A06"/>
    <w:rsid w:val="00E51334"/>
    <w:rsid w:val="00EA1CCF"/>
    <w:rsid w:val="00EB6177"/>
    <w:rsid w:val="00EE22C1"/>
    <w:rsid w:val="00F5672B"/>
    <w:rsid w:val="00FF6DD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Theme="minorHAnsi" w:hAnsi="Gill Sans MT" w:cstheme="minorBidi"/>
        <w:sz w:val="22"/>
        <w:szCs w:val="22"/>
        <w:lang w:val="en-AU" w:eastAsia="en-US" w:bidi="ar-SA"/>
      </w:rPr>
    </w:rPrDefault>
    <w:pPrDefault>
      <w:pPr>
        <w:spacing w:afterLines="140"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C"/>
  </w:style>
  <w:style w:type="paragraph" w:styleId="Heading1">
    <w:name w:val="heading 1"/>
    <w:basedOn w:val="Normal"/>
    <w:next w:val="Normal"/>
    <w:link w:val="Heading1Char"/>
    <w:uiPriority w:val="9"/>
    <w:qFormat/>
    <w:rsid w:val="00B626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626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62635"/>
    <w:pPr>
      <w:keepNext/>
      <w:tabs>
        <w:tab w:val="left" w:pos="567"/>
      </w:tabs>
      <w:spacing w:before="240" w:afterLines="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B62635"/>
    <w:pPr>
      <w:keepNext/>
      <w:keepLines/>
      <w:spacing w:before="200" w:afterLines="0" w:after="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C30FE9"/>
    <w:rPr>
      <w:rFonts w:ascii="Lucida Grande" w:hAnsi="Lucida Grande"/>
      <w:sz w:val="18"/>
      <w:szCs w:val="18"/>
    </w:rPr>
  </w:style>
  <w:style w:type="paragraph" w:styleId="BodyText">
    <w:name w:val="Body Text"/>
    <w:basedOn w:val="Normal"/>
    <w:link w:val="BodyTextChar"/>
    <w:semiHidden/>
    <w:unhideWhenUsed/>
    <w:rsid w:val="00B62635"/>
    <w:pPr>
      <w:spacing w:after="120"/>
    </w:pPr>
  </w:style>
  <w:style w:type="character" w:customStyle="1" w:styleId="BodyTextChar">
    <w:name w:val="Body Text Char"/>
    <w:basedOn w:val="DefaultParagraphFont"/>
    <w:link w:val="BodyText"/>
    <w:semiHidden/>
    <w:rsid w:val="00B62635"/>
  </w:style>
  <w:style w:type="character" w:styleId="Hyperlink">
    <w:name w:val="Hyperlink"/>
    <w:uiPriority w:val="99"/>
    <w:rsid w:val="00B62635"/>
    <w:rPr>
      <w:color w:val="0000FF"/>
      <w:u w:val="single"/>
    </w:rPr>
  </w:style>
  <w:style w:type="character" w:customStyle="1" w:styleId="Heading1Char">
    <w:name w:val="Heading 1 Char"/>
    <w:basedOn w:val="DefaultParagraphFont"/>
    <w:link w:val="Heading1"/>
    <w:uiPriority w:val="9"/>
    <w:rsid w:val="00B6263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626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6263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B62635"/>
    <w:rPr>
      <w:rFonts w:asciiTheme="majorHAnsi" w:eastAsiaTheme="majorEastAsia" w:hAnsiTheme="majorHAnsi" w:cstheme="majorBidi"/>
      <w:b/>
      <w:bCs/>
      <w:i/>
      <w:iCs/>
      <w:color w:val="4F81BD" w:themeColor="accent1"/>
    </w:rPr>
  </w:style>
  <w:style w:type="paragraph" w:styleId="Caption">
    <w:name w:val="caption"/>
    <w:basedOn w:val="Normal"/>
    <w:next w:val="Normal"/>
    <w:unhideWhenUsed/>
    <w:qFormat/>
    <w:rsid w:val="00B62635"/>
    <w:pPr>
      <w:tabs>
        <w:tab w:val="left" w:pos="567"/>
      </w:tabs>
      <w:spacing w:afterLines="0"/>
    </w:pPr>
    <w:rPr>
      <w:rFonts w:eastAsia="Times New Roman" w:cs="Times New Roman"/>
      <w:b/>
      <w:bCs/>
      <w:sz w:val="20"/>
      <w:szCs w:val="20"/>
    </w:rPr>
  </w:style>
  <w:style w:type="paragraph" w:styleId="ListParagraph">
    <w:name w:val="List Paragraph"/>
    <w:basedOn w:val="Normal"/>
    <w:uiPriority w:val="34"/>
    <w:qFormat/>
    <w:rsid w:val="00B62635"/>
    <w:pPr>
      <w:ind w:left="720"/>
      <w:contextualSpacing/>
    </w:pPr>
  </w:style>
  <w:style w:type="numbering" w:customStyle="1" w:styleId="NoList1">
    <w:name w:val="No List1"/>
    <w:next w:val="NoList"/>
    <w:uiPriority w:val="99"/>
    <w:semiHidden/>
    <w:unhideWhenUsed/>
    <w:rsid w:val="00B62635"/>
  </w:style>
  <w:style w:type="paragraph" w:customStyle="1" w:styleId="Fileno">
    <w:name w:val="File no."/>
    <w:basedOn w:val="Normal"/>
    <w:semiHidden/>
    <w:rsid w:val="00B62635"/>
    <w:pPr>
      <w:tabs>
        <w:tab w:val="left" w:pos="567"/>
      </w:tabs>
      <w:spacing w:afterLines="0" w:after="240" w:line="300" w:lineRule="exact"/>
    </w:pPr>
    <w:rPr>
      <w:rFonts w:ascii="Arial" w:eastAsia="Times New Roman" w:hAnsi="Arial" w:cs="Arial"/>
    </w:rPr>
  </w:style>
  <w:style w:type="paragraph" w:styleId="TOC1">
    <w:name w:val="toc 1"/>
    <w:basedOn w:val="Normal"/>
    <w:next w:val="Normal"/>
    <w:autoRedefine/>
    <w:uiPriority w:val="39"/>
    <w:rsid w:val="00B62635"/>
    <w:pPr>
      <w:tabs>
        <w:tab w:val="left" w:pos="567"/>
        <w:tab w:val="right" w:pos="9360"/>
      </w:tabs>
      <w:spacing w:before="140" w:afterLines="0" w:after="0" w:line="240" w:lineRule="auto"/>
      <w:ind w:right="-6"/>
    </w:pPr>
    <w:rPr>
      <w:rFonts w:eastAsia="Times New Roman" w:cs="Times New Roman"/>
      <w:b/>
      <w:noProof/>
      <w:szCs w:val="36"/>
    </w:rPr>
  </w:style>
  <w:style w:type="paragraph" w:styleId="TOC2">
    <w:name w:val="toc 2"/>
    <w:basedOn w:val="Normal"/>
    <w:next w:val="Normal"/>
    <w:autoRedefine/>
    <w:uiPriority w:val="39"/>
    <w:rsid w:val="00B62635"/>
    <w:pPr>
      <w:tabs>
        <w:tab w:val="right" w:pos="9360"/>
      </w:tabs>
      <w:spacing w:before="140" w:afterLines="0"/>
      <w:ind w:right="278" w:firstLine="153"/>
    </w:pPr>
    <w:rPr>
      <w:rFonts w:eastAsia="Times New Roman" w:cs="Arial"/>
      <w:b/>
      <w:noProof/>
      <w:szCs w:val="26"/>
      <w:lang w:eastAsia="en-AU"/>
    </w:rPr>
  </w:style>
  <w:style w:type="paragraph" w:styleId="CommentText">
    <w:name w:val="annotation text"/>
    <w:basedOn w:val="Normal"/>
    <w:link w:val="CommentTextChar"/>
    <w:semiHidden/>
    <w:rsid w:val="00B62635"/>
    <w:pPr>
      <w:tabs>
        <w:tab w:val="left" w:pos="567"/>
      </w:tabs>
      <w:spacing w:afterLines="0"/>
    </w:pPr>
    <w:rPr>
      <w:rFonts w:eastAsia="Times New Roman" w:cs="Times New Roman"/>
      <w:sz w:val="20"/>
      <w:szCs w:val="20"/>
    </w:rPr>
  </w:style>
  <w:style w:type="character" w:customStyle="1" w:styleId="CommentTextChar">
    <w:name w:val="Comment Text Char"/>
    <w:basedOn w:val="DefaultParagraphFont"/>
    <w:link w:val="CommentText"/>
    <w:semiHidden/>
    <w:rsid w:val="00B62635"/>
    <w:rPr>
      <w:rFonts w:eastAsia="Times New Roman" w:cs="Times New Roman"/>
      <w:sz w:val="20"/>
      <w:szCs w:val="20"/>
    </w:rPr>
  </w:style>
  <w:style w:type="table" w:styleId="TableGrid">
    <w:name w:val="Table Grid"/>
    <w:basedOn w:val="TableNormal"/>
    <w:rsid w:val="00B62635"/>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mmentSubjectChar">
    <w:name w:val="Comment Subject Char"/>
    <w:link w:val="CommentSubject"/>
    <w:semiHidden/>
    <w:rsid w:val="00B62635"/>
    <w:rPr>
      <w:rFonts w:eastAsia="Times New Roman" w:cs="Times New Roman"/>
      <w:b/>
      <w:bCs/>
    </w:rPr>
  </w:style>
  <w:style w:type="paragraph" w:styleId="CommentSubject">
    <w:name w:val="annotation subject"/>
    <w:basedOn w:val="CommentText"/>
    <w:next w:val="CommentText"/>
    <w:link w:val="CommentSubjectChar"/>
    <w:semiHidden/>
    <w:rsid w:val="00B62635"/>
    <w:rPr>
      <w:b/>
      <w:bCs/>
      <w:sz w:val="22"/>
      <w:szCs w:val="22"/>
    </w:rPr>
  </w:style>
  <w:style w:type="character" w:customStyle="1" w:styleId="CommentSubjectChar1">
    <w:name w:val="Comment Subject Char1"/>
    <w:basedOn w:val="CommentTextChar"/>
    <w:uiPriority w:val="99"/>
    <w:semiHidden/>
    <w:rsid w:val="00B62635"/>
    <w:rPr>
      <w:rFonts w:eastAsia="Times New Roman" w:cs="Times New Roman"/>
      <w:b/>
      <w:bCs/>
      <w:sz w:val="20"/>
      <w:szCs w:val="20"/>
    </w:rPr>
  </w:style>
  <w:style w:type="character" w:styleId="FollowedHyperlink">
    <w:name w:val="FollowedHyperlink"/>
    <w:rsid w:val="00B62635"/>
    <w:rPr>
      <w:color w:val="800080"/>
      <w:u w:val="single"/>
    </w:rPr>
  </w:style>
  <w:style w:type="paragraph" w:styleId="TOC3">
    <w:name w:val="toc 3"/>
    <w:basedOn w:val="Normal"/>
    <w:next w:val="Normal"/>
    <w:autoRedefine/>
    <w:uiPriority w:val="39"/>
    <w:unhideWhenUsed/>
    <w:rsid w:val="00B62635"/>
    <w:pPr>
      <w:spacing w:afterLines="0"/>
      <w:ind w:left="440"/>
    </w:pPr>
    <w:rPr>
      <w:rFonts w:eastAsia="Times New Roman" w:cs="Times New Roman"/>
    </w:rPr>
  </w:style>
  <w:style w:type="character" w:styleId="PageNumber">
    <w:name w:val="page number"/>
    <w:basedOn w:val="DefaultParagraphFont"/>
    <w:rsid w:val="00B62635"/>
  </w:style>
  <w:style w:type="paragraph" w:customStyle="1" w:styleId="Default">
    <w:name w:val="Default"/>
    <w:rsid w:val="00B62635"/>
    <w:pPr>
      <w:autoSpaceDE w:val="0"/>
      <w:autoSpaceDN w:val="0"/>
      <w:adjustRightInd w:val="0"/>
      <w:spacing w:afterLines="0" w:after="0" w:line="240" w:lineRule="auto"/>
    </w:pPr>
    <w:rPr>
      <w:rFonts w:ascii="Arial" w:eastAsia="Times New Roman" w:hAnsi="Arial" w:cs="Arial"/>
      <w:color w:val="000000"/>
      <w:sz w:val="24"/>
      <w:szCs w:val="24"/>
      <w:lang w:eastAsia="en-AU"/>
    </w:rPr>
  </w:style>
  <w:style w:type="character" w:styleId="CommentReference">
    <w:name w:val="annotation reference"/>
    <w:basedOn w:val="DefaultParagraphFont"/>
    <w:semiHidden/>
    <w:unhideWhenUsed/>
    <w:rsid w:val="00B62635"/>
    <w:rPr>
      <w:sz w:val="16"/>
      <w:szCs w:val="16"/>
    </w:rPr>
  </w:style>
  <w:style w:type="paragraph" w:styleId="TableofFigures">
    <w:name w:val="table of figures"/>
    <w:basedOn w:val="Normal"/>
    <w:next w:val="Normal"/>
    <w:uiPriority w:val="99"/>
    <w:unhideWhenUsed/>
    <w:rsid w:val="00B62635"/>
    <w:pPr>
      <w:spacing w:afterLines="0" w:after="0" w:line="276" w:lineRule="auto"/>
    </w:pPr>
  </w:style>
  <w:style w:type="table" w:customStyle="1" w:styleId="TableGrid1">
    <w:name w:val="Table Grid1"/>
    <w:basedOn w:val="TableNormal"/>
    <w:next w:val="TableGrid"/>
    <w:rsid w:val="00B62635"/>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B62635"/>
  </w:style>
  <w:style w:type="numbering" w:customStyle="1" w:styleId="NoList11">
    <w:name w:val="No List11"/>
    <w:next w:val="NoList"/>
    <w:uiPriority w:val="99"/>
    <w:semiHidden/>
    <w:unhideWhenUsed/>
    <w:rsid w:val="00B62635"/>
  </w:style>
  <w:style w:type="table" w:customStyle="1" w:styleId="TableGrid2">
    <w:name w:val="Table Grid2"/>
    <w:basedOn w:val="TableNormal"/>
    <w:next w:val="TableGrid"/>
    <w:rsid w:val="00B62635"/>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Theme="minorHAnsi" w:hAnsi="Gill Sans MT" w:cstheme="minorBidi"/>
        <w:sz w:val="22"/>
        <w:szCs w:val="22"/>
        <w:lang w:val="en-AU" w:eastAsia="en-US" w:bidi="ar-SA"/>
      </w:rPr>
    </w:rPrDefault>
    <w:pPrDefault>
      <w:pPr>
        <w:spacing w:afterLines="140"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C"/>
  </w:style>
  <w:style w:type="paragraph" w:styleId="Heading1">
    <w:name w:val="heading 1"/>
    <w:basedOn w:val="Normal"/>
    <w:next w:val="Normal"/>
    <w:link w:val="Heading1Char"/>
    <w:uiPriority w:val="9"/>
    <w:qFormat/>
    <w:rsid w:val="00B626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626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62635"/>
    <w:pPr>
      <w:keepNext/>
      <w:tabs>
        <w:tab w:val="left" w:pos="567"/>
      </w:tabs>
      <w:spacing w:before="240" w:afterLines="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B62635"/>
    <w:pPr>
      <w:keepNext/>
      <w:keepLines/>
      <w:spacing w:before="200" w:afterLines="0" w:after="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C30FE9"/>
    <w:rPr>
      <w:rFonts w:ascii="Lucida Grande" w:hAnsi="Lucida Grande"/>
      <w:sz w:val="18"/>
      <w:szCs w:val="18"/>
    </w:rPr>
  </w:style>
  <w:style w:type="paragraph" w:styleId="BodyText">
    <w:name w:val="Body Text"/>
    <w:basedOn w:val="Normal"/>
    <w:link w:val="BodyTextChar"/>
    <w:semiHidden/>
    <w:unhideWhenUsed/>
    <w:rsid w:val="00B62635"/>
    <w:pPr>
      <w:spacing w:after="120"/>
    </w:pPr>
  </w:style>
  <w:style w:type="character" w:customStyle="1" w:styleId="BodyTextChar">
    <w:name w:val="Body Text Char"/>
    <w:basedOn w:val="DefaultParagraphFont"/>
    <w:link w:val="BodyText"/>
    <w:semiHidden/>
    <w:rsid w:val="00B62635"/>
  </w:style>
  <w:style w:type="character" w:styleId="Hyperlink">
    <w:name w:val="Hyperlink"/>
    <w:uiPriority w:val="99"/>
    <w:rsid w:val="00B62635"/>
    <w:rPr>
      <w:color w:val="0000FF"/>
      <w:u w:val="single"/>
    </w:rPr>
  </w:style>
  <w:style w:type="character" w:customStyle="1" w:styleId="Heading1Char">
    <w:name w:val="Heading 1 Char"/>
    <w:basedOn w:val="DefaultParagraphFont"/>
    <w:link w:val="Heading1"/>
    <w:uiPriority w:val="9"/>
    <w:rsid w:val="00B6263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626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6263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B62635"/>
    <w:rPr>
      <w:rFonts w:asciiTheme="majorHAnsi" w:eastAsiaTheme="majorEastAsia" w:hAnsiTheme="majorHAnsi" w:cstheme="majorBidi"/>
      <w:b/>
      <w:bCs/>
      <w:i/>
      <w:iCs/>
      <w:color w:val="4F81BD" w:themeColor="accent1"/>
    </w:rPr>
  </w:style>
  <w:style w:type="paragraph" w:styleId="Caption">
    <w:name w:val="caption"/>
    <w:basedOn w:val="Normal"/>
    <w:next w:val="Normal"/>
    <w:unhideWhenUsed/>
    <w:qFormat/>
    <w:rsid w:val="00B62635"/>
    <w:pPr>
      <w:tabs>
        <w:tab w:val="left" w:pos="567"/>
      </w:tabs>
      <w:spacing w:afterLines="0"/>
    </w:pPr>
    <w:rPr>
      <w:rFonts w:eastAsia="Times New Roman" w:cs="Times New Roman"/>
      <w:b/>
      <w:bCs/>
      <w:sz w:val="20"/>
      <w:szCs w:val="20"/>
    </w:rPr>
  </w:style>
  <w:style w:type="paragraph" w:styleId="ListParagraph">
    <w:name w:val="List Paragraph"/>
    <w:basedOn w:val="Normal"/>
    <w:uiPriority w:val="34"/>
    <w:qFormat/>
    <w:rsid w:val="00B62635"/>
    <w:pPr>
      <w:ind w:left="720"/>
      <w:contextualSpacing/>
    </w:pPr>
  </w:style>
  <w:style w:type="numbering" w:customStyle="1" w:styleId="NoList1">
    <w:name w:val="No List1"/>
    <w:next w:val="NoList"/>
    <w:uiPriority w:val="99"/>
    <w:semiHidden/>
    <w:unhideWhenUsed/>
    <w:rsid w:val="00B62635"/>
  </w:style>
  <w:style w:type="paragraph" w:customStyle="1" w:styleId="Fileno">
    <w:name w:val="File no."/>
    <w:basedOn w:val="Normal"/>
    <w:semiHidden/>
    <w:rsid w:val="00B62635"/>
    <w:pPr>
      <w:tabs>
        <w:tab w:val="left" w:pos="567"/>
      </w:tabs>
      <w:spacing w:afterLines="0" w:after="240" w:line="300" w:lineRule="exact"/>
    </w:pPr>
    <w:rPr>
      <w:rFonts w:ascii="Arial" w:eastAsia="Times New Roman" w:hAnsi="Arial" w:cs="Arial"/>
    </w:rPr>
  </w:style>
  <w:style w:type="paragraph" w:styleId="TOC1">
    <w:name w:val="toc 1"/>
    <w:basedOn w:val="Normal"/>
    <w:next w:val="Normal"/>
    <w:autoRedefine/>
    <w:uiPriority w:val="39"/>
    <w:rsid w:val="00B62635"/>
    <w:pPr>
      <w:tabs>
        <w:tab w:val="left" w:pos="567"/>
        <w:tab w:val="right" w:pos="9360"/>
      </w:tabs>
      <w:spacing w:before="140" w:afterLines="0" w:after="0" w:line="240" w:lineRule="auto"/>
      <w:ind w:right="-6"/>
    </w:pPr>
    <w:rPr>
      <w:rFonts w:eastAsia="Times New Roman" w:cs="Times New Roman"/>
      <w:b/>
      <w:noProof/>
      <w:szCs w:val="36"/>
    </w:rPr>
  </w:style>
  <w:style w:type="paragraph" w:styleId="TOC2">
    <w:name w:val="toc 2"/>
    <w:basedOn w:val="Normal"/>
    <w:next w:val="Normal"/>
    <w:autoRedefine/>
    <w:uiPriority w:val="39"/>
    <w:rsid w:val="00B62635"/>
    <w:pPr>
      <w:tabs>
        <w:tab w:val="right" w:pos="9360"/>
      </w:tabs>
      <w:spacing w:before="140" w:afterLines="0"/>
      <w:ind w:right="278" w:firstLine="153"/>
    </w:pPr>
    <w:rPr>
      <w:rFonts w:eastAsia="Times New Roman" w:cs="Arial"/>
      <w:b/>
      <w:noProof/>
      <w:szCs w:val="26"/>
      <w:lang w:eastAsia="en-AU"/>
    </w:rPr>
  </w:style>
  <w:style w:type="paragraph" w:styleId="CommentText">
    <w:name w:val="annotation text"/>
    <w:basedOn w:val="Normal"/>
    <w:link w:val="CommentTextChar"/>
    <w:semiHidden/>
    <w:rsid w:val="00B62635"/>
    <w:pPr>
      <w:tabs>
        <w:tab w:val="left" w:pos="567"/>
      </w:tabs>
      <w:spacing w:afterLines="0"/>
    </w:pPr>
    <w:rPr>
      <w:rFonts w:eastAsia="Times New Roman" w:cs="Times New Roman"/>
      <w:sz w:val="20"/>
      <w:szCs w:val="20"/>
    </w:rPr>
  </w:style>
  <w:style w:type="character" w:customStyle="1" w:styleId="CommentTextChar">
    <w:name w:val="Comment Text Char"/>
    <w:basedOn w:val="DefaultParagraphFont"/>
    <w:link w:val="CommentText"/>
    <w:semiHidden/>
    <w:rsid w:val="00B62635"/>
    <w:rPr>
      <w:rFonts w:eastAsia="Times New Roman" w:cs="Times New Roman"/>
      <w:sz w:val="20"/>
      <w:szCs w:val="20"/>
    </w:rPr>
  </w:style>
  <w:style w:type="table" w:styleId="TableGrid">
    <w:name w:val="Table Grid"/>
    <w:basedOn w:val="TableNormal"/>
    <w:rsid w:val="00B62635"/>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mmentSubjectChar">
    <w:name w:val="Comment Subject Char"/>
    <w:link w:val="CommentSubject"/>
    <w:semiHidden/>
    <w:rsid w:val="00B62635"/>
    <w:rPr>
      <w:rFonts w:eastAsia="Times New Roman" w:cs="Times New Roman"/>
      <w:b/>
      <w:bCs/>
    </w:rPr>
  </w:style>
  <w:style w:type="paragraph" w:styleId="CommentSubject">
    <w:name w:val="annotation subject"/>
    <w:basedOn w:val="CommentText"/>
    <w:next w:val="CommentText"/>
    <w:link w:val="CommentSubjectChar"/>
    <w:semiHidden/>
    <w:rsid w:val="00B62635"/>
    <w:rPr>
      <w:b/>
      <w:bCs/>
      <w:sz w:val="22"/>
      <w:szCs w:val="22"/>
    </w:rPr>
  </w:style>
  <w:style w:type="character" w:customStyle="1" w:styleId="CommentSubjectChar1">
    <w:name w:val="Comment Subject Char1"/>
    <w:basedOn w:val="CommentTextChar"/>
    <w:uiPriority w:val="99"/>
    <w:semiHidden/>
    <w:rsid w:val="00B62635"/>
    <w:rPr>
      <w:rFonts w:eastAsia="Times New Roman" w:cs="Times New Roman"/>
      <w:b/>
      <w:bCs/>
      <w:sz w:val="20"/>
      <w:szCs w:val="20"/>
    </w:rPr>
  </w:style>
  <w:style w:type="character" w:styleId="FollowedHyperlink">
    <w:name w:val="FollowedHyperlink"/>
    <w:rsid w:val="00B62635"/>
    <w:rPr>
      <w:color w:val="800080"/>
      <w:u w:val="single"/>
    </w:rPr>
  </w:style>
  <w:style w:type="paragraph" w:styleId="TOC3">
    <w:name w:val="toc 3"/>
    <w:basedOn w:val="Normal"/>
    <w:next w:val="Normal"/>
    <w:autoRedefine/>
    <w:uiPriority w:val="39"/>
    <w:unhideWhenUsed/>
    <w:rsid w:val="00B62635"/>
    <w:pPr>
      <w:spacing w:afterLines="0"/>
      <w:ind w:left="440"/>
    </w:pPr>
    <w:rPr>
      <w:rFonts w:eastAsia="Times New Roman" w:cs="Times New Roman"/>
    </w:rPr>
  </w:style>
  <w:style w:type="character" w:styleId="PageNumber">
    <w:name w:val="page number"/>
    <w:basedOn w:val="DefaultParagraphFont"/>
    <w:rsid w:val="00B62635"/>
  </w:style>
  <w:style w:type="paragraph" w:customStyle="1" w:styleId="Default">
    <w:name w:val="Default"/>
    <w:rsid w:val="00B62635"/>
    <w:pPr>
      <w:autoSpaceDE w:val="0"/>
      <w:autoSpaceDN w:val="0"/>
      <w:adjustRightInd w:val="0"/>
      <w:spacing w:afterLines="0" w:after="0" w:line="240" w:lineRule="auto"/>
    </w:pPr>
    <w:rPr>
      <w:rFonts w:ascii="Arial" w:eastAsia="Times New Roman" w:hAnsi="Arial" w:cs="Arial"/>
      <w:color w:val="000000"/>
      <w:sz w:val="24"/>
      <w:szCs w:val="24"/>
      <w:lang w:eastAsia="en-AU"/>
    </w:rPr>
  </w:style>
  <w:style w:type="character" w:styleId="CommentReference">
    <w:name w:val="annotation reference"/>
    <w:basedOn w:val="DefaultParagraphFont"/>
    <w:semiHidden/>
    <w:unhideWhenUsed/>
    <w:rsid w:val="00B62635"/>
    <w:rPr>
      <w:sz w:val="16"/>
      <w:szCs w:val="16"/>
    </w:rPr>
  </w:style>
  <w:style w:type="paragraph" w:styleId="TableofFigures">
    <w:name w:val="table of figures"/>
    <w:basedOn w:val="Normal"/>
    <w:next w:val="Normal"/>
    <w:uiPriority w:val="99"/>
    <w:unhideWhenUsed/>
    <w:rsid w:val="00B62635"/>
    <w:pPr>
      <w:spacing w:afterLines="0" w:after="0" w:line="276" w:lineRule="auto"/>
    </w:pPr>
  </w:style>
  <w:style w:type="table" w:customStyle="1" w:styleId="TableGrid1">
    <w:name w:val="Table Grid1"/>
    <w:basedOn w:val="TableNormal"/>
    <w:next w:val="TableGrid"/>
    <w:rsid w:val="00B62635"/>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B62635"/>
  </w:style>
  <w:style w:type="numbering" w:customStyle="1" w:styleId="NoList11">
    <w:name w:val="No List11"/>
    <w:next w:val="NoList"/>
    <w:uiPriority w:val="99"/>
    <w:semiHidden/>
    <w:unhideWhenUsed/>
    <w:rsid w:val="00B62635"/>
  </w:style>
  <w:style w:type="table" w:customStyle="1" w:styleId="TableGrid2">
    <w:name w:val="Table Grid2"/>
    <w:basedOn w:val="TableNormal"/>
    <w:next w:val="TableGrid"/>
    <w:rsid w:val="00B62635"/>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00">
      <w:bodyDiv w:val="1"/>
      <w:marLeft w:val="0"/>
      <w:marRight w:val="0"/>
      <w:marTop w:val="0"/>
      <w:marBottom w:val="0"/>
      <w:divBdr>
        <w:top w:val="none" w:sz="0" w:space="0" w:color="auto"/>
        <w:left w:val="none" w:sz="0" w:space="0" w:color="auto"/>
        <w:bottom w:val="none" w:sz="0" w:space="0" w:color="auto"/>
        <w:right w:val="none" w:sz="0" w:space="0" w:color="auto"/>
      </w:divBdr>
    </w:div>
    <w:div w:id="949170556">
      <w:bodyDiv w:val="1"/>
      <w:marLeft w:val="0"/>
      <w:marRight w:val="0"/>
      <w:marTop w:val="0"/>
      <w:marBottom w:val="0"/>
      <w:divBdr>
        <w:top w:val="none" w:sz="0" w:space="0" w:color="auto"/>
        <w:left w:val="none" w:sz="0" w:space="0" w:color="auto"/>
        <w:bottom w:val="none" w:sz="0" w:space="0" w:color="auto"/>
        <w:right w:val="none" w:sz="0" w:space="0" w:color="auto"/>
      </w:divBdr>
    </w:div>
    <w:div w:id="1321696476">
      <w:bodyDiv w:val="1"/>
      <w:marLeft w:val="0"/>
      <w:marRight w:val="0"/>
      <w:marTop w:val="0"/>
      <w:marBottom w:val="0"/>
      <w:divBdr>
        <w:top w:val="none" w:sz="0" w:space="0" w:color="auto"/>
        <w:left w:val="none" w:sz="0" w:space="0" w:color="auto"/>
        <w:bottom w:val="none" w:sz="0" w:space="0" w:color="auto"/>
        <w:right w:val="none" w:sz="0" w:space="0" w:color="auto"/>
      </w:divBdr>
    </w:div>
    <w:div w:id="1461343327">
      <w:bodyDiv w:val="1"/>
      <w:marLeft w:val="0"/>
      <w:marRight w:val="0"/>
      <w:marTop w:val="0"/>
      <w:marBottom w:val="0"/>
      <w:divBdr>
        <w:top w:val="none" w:sz="0" w:space="0" w:color="auto"/>
        <w:left w:val="none" w:sz="0" w:space="0" w:color="auto"/>
        <w:bottom w:val="none" w:sz="0" w:space="0" w:color="auto"/>
        <w:right w:val="none" w:sz="0" w:space="0" w:color="auto"/>
      </w:divBdr>
    </w:div>
    <w:div w:id="207434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chart" Target="charts/chart21.xml"/><Relationship Id="rId21" Type="http://schemas.openxmlformats.org/officeDocument/2006/relationships/chart" Target="charts/chart5.xml"/><Relationship Id="rId34" Type="http://schemas.openxmlformats.org/officeDocument/2006/relationships/image" Target="media/image3.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hyperlink" Target="http://www.dhhs.tas.gov.au/tipcu" TargetMode="External"/><Relationship Id="rId20" Type="http://schemas.openxmlformats.org/officeDocument/2006/relationships/chart" Target="charts/chart4.xml"/><Relationship Id="rId29" Type="http://schemas.openxmlformats.org/officeDocument/2006/relationships/chart" Target="charts/chart12.xml"/><Relationship Id="rId41"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chart" Target="charts/chart8.xml"/><Relationship Id="rId32" Type="http://schemas.openxmlformats.org/officeDocument/2006/relationships/chart" Target="charts/chart15.xml"/><Relationship Id="rId37" Type="http://schemas.openxmlformats.org/officeDocument/2006/relationships/chart" Target="charts/chart19.xml"/><Relationship Id="rId40" Type="http://schemas.openxmlformats.org/officeDocument/2006/relationships/chart" Target="charts/chart22.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chart" Target="charts/chart7.xml"/><Relationship Id="rId28" Type="http://schemas.openxmlformats.org/officeDocument/2006/relationships/chart" Target="charts/chart11.xml"/><Relationship Id="rId36" Type="http://schemas.openxmlformats.org/officeDocument/2006/relationships/chart" Target="charts/chart18.xml"/><Relationship Id="rId10" Type="http://schemas.openxmlformats.org/officeDocument/2006/relationships/header" Target="header1.xml"/><Relationship Id="rId19" Type="http://schemas.openxmlformats.org/officeDocument/2006/relationships/chart" Target="charts/chart3.xml"/><Relationship Id="rId31" Type="http://schemas.openxmlformats.org/officeDocument/2006/relationships/chart" Target="charts/chart1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chart" Target="charts/chart6.xml"/><Relationship Id="rId27" Type="http://schemas.openxmlformats.org/officeDocument/2006/relationships/image" Target="media/image2.png"/><Relationship Id="rId30" Type="http://schemas.openxmlformats.org/officeDocument/2006/relationships/chart" Target="charts/chart13.xml"/><Relationship Id="rId35" Type="http://schemas.openxmlformats.org/officeDocument/2006/relationships/chart" Target="charts/chart17.xm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6.xml"/><Relationship Id="rId38" Type="http://schemas.openxmlformats.org/officeDocument/2006/relationships/chart" Target="charts/chart20.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orefs01\grpdata\TIPCU\Surveillance\Surveillance%20Databases\SAB.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orefs01\grpdata\TIPCU\Surveillance\Surveillance%20Databases\CDI.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orefs01\grpdata\TIPCU\Surveillance\Surveillance%20Databases\CDI.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orefs01\grpdata\TIPCU\Surveillance\Surveillance%20Databases\CDI.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orefs01\grpdata\TIPCU\Surveillance\Surveillance%20Databases\CDI.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orefs01\grpdata\TIPCU\Surveillance\Surveillance%20Databases\VR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orefs01\grpdata\TIPCU\Surveillance\Surveillance%20Databases\VR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orefs01\grpdata\TIPCU\Surveillance\Surveillance%20Databases\VR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orefs01\grpdata\TIPCU\Surveillance\Surveillance%20Databases\HH%20dat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orefs01\grpdata\TIPCU\Surveillance\Surveillance%20Databases\HH%20dat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orefs01\grpdata\TIPCU\Surveillance\Surveillance%20Databases\Antimicrobial%20surveillance\NAUSP%20Antibiotic%20surveillance\NAUSP%20AB%20data\AB%20surveillance%20graphs%20-%20ALL%20Public.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orefs01\grpdata\TIPCU\Surveillance\Surveillance%20Databases\SAB.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orefs01\grpdata\TIPCU\Surveillance\Surveillance%20Databases\Antimicrobial%20surveillance\NAUSP%20Antibiotic%20surveillance\NAUSP%20AB%20data\AB%20surveillance%20graphs%20-%20ALL%20Public.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orefs01\grpdata\TIPCU\Surveillance\Surveillance%20Databases\Antimicrobial%20surveillance\NAUSP%20Antibiotic%20surveillance\NAUSP%20AB%20data\AB%20surveillance%20graphs%20-%20ALL%20Public.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orefs01\grpdata\TIPCU\Surveillance\Surveillance%20Databases\Antimicrobial%20surveillance\NAUSP%20Antibiotic%20surveillance\NAUSP%20AB%20data\AB%20surveillance%20graphs%20-%20ALL%20Public.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orefs01\grpdata\TIPCU\Surveillance\Surveillance%20Databases\SAB.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oleObject" Target="file:///\\corefs01\grpdata\TIPCU\Surveillance\Surveillance%20Databases\SAB.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orefs01\grpdata\TIPCU\Surveillance\Surveillance%20Databases\SAB.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orefs01\grpdata\TIPCU\Surveillance\Surveillance%20Databases\SAB.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orefs01\grpdata\TIPCU\Surveillance\Surveillance%20Databases\SAB.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orefs01\grpdata\TIPCU\Surveillance\Surveillance%20Databases\CD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Tasmanian acute public hospitals </a:t>
            </a:r>
          </a:p>
          <a:p>
            <a:pPr>
              <a:defRPr sz="1200"/>
            </a:pPr>
            <a:r>
              <a:rPr lang="en-US" sz="1200"/>
              <a:t>Healthcare associated SAB rate by quarter </a:t>
            </a:r>
          </a:p>
        </c:rich>
      </c:tx>
      <c:overlay val="0"/>
    </c:title>
    <c:autoTitleDeleted val="0"/>
    <c:plotArea>
      <c:layout>
        <c:manualLayout>
          <c:layoutTarget val="inner"/>
          <c:xMode val="edge"/>
          <c:yMode val="edge"/>
          <c:x val="8.7781303575796846E-2"/>
          <c:y val="0.23287640739157092"/>
          <c:w val="0.88818646261000722"/>
          <c:h val="0.57589085718366795"/>
        </c:manualLayout>
      </c:layout>
      <c:lineChart>
        <c:grouping val="standard"/>
        <c:varyColors val="0"/>
        <c:ser>
          <c:idx val="0"/>
          <c:order val="0"/>
          <c:tx>
            <c:v>HCA SAB rate/10 000 patient days</c:v>
          </c:tx>
          <c:marker>
            <c:symbol val="none"/>
          </c:marker>
          <c:errBars>
            <c:errDir val="y"/>
            <c:errBarType val="both"/>
            <c:errValType val="cust"/>
            <c:noEndCap val="0"/>
            <c:plus>
              <c:numRef>
                <c:f>'Data from July 2009'!$AO$103:$AO$128</c:f>
                <c:numCache>
                  <c:formatCode>General</c:formatCode>
                  <c:ptCount val="26"/>
                  <c:pt idx="0">
                    <c:v>0.63328541158826734</c:v>
                  </c:pt>
                  <c:pt idx="1">
                    <c:v>0.71011127183186007</c:v>
                  </c:pt>
                  <c:pt idx="2">
                    <c:v>0.83429319401563307</c:v>
                  </c:pt>
                  <c:pt idx="3">
                    <c:v>0.62184293093901066</c:v>
                  </c:pt>
                  <c:pt idx="4">
                    <c:v>0.77675771258094017</c:v>
                  </c:pt>
                  <c:pt idx="5">
                    <c:v>0.72488587831329787</c:v>
                  </c:pt>
                  <c:pt idx="6">
                    <c:v>0.92797821062645602</c:v>
                  </c:pt>
                  <c:pt idx="7">
                    <c:v>0.50113122437563895</c:v>
                  </c:pt>
                  <c:pt idx="8">
                    <c:v>0.60625614591360344</c:v>
                  </c:pt>
                  <c:pt idx="9">
                    <c:v>0.6033908399028528</c:v>
                  </c:pt>
                  <c:pt idx="10">
                    <c:v>0.68414372010958036</c:v>
                  </c:pt>
                  <c:pt idx="11">
                    <c:v>0.67377022928429775</c:v>
                  </c:pt>
                  <c:pt idx="12">
                    <c:v>0.58448988262174673</c:v>
                  </c:pt>
                  <c:pt idx="13">
                    <c:v>0.79636950416040619</c:v>
                  </c:pt>
                  <c:pt idx="14">
                    <c:v>0.68348546476079108</c:v>
                  </c:pt>
                  <c:pt idx="15">
                    <c:v>0.62617523008398357</c:v>
                  </c:pt>
                  <c:pt idx="16">
                    <c:v>0.5589187054244602</c:v>
                  </c:pt>
                  <c:pt idx="17">
                    <c:v>0.61984348378415233</c:v>
                  </c:pt>
                  <c:pt idx="18">
                    <c:v>0.76619578880139727</c:v>
                  </c:pt>
                  <c:pt idx="19">
                    <c:v>0.80970736475379534</c:v>
                  </c:pt>
                  <c:pt idx="20">
                    <c:v>0.54623855366302143</c:v>
                  </c:pt>
                  <c:pt idx="21">
                    <c:v>0.46264059199112478</c:v>
                  </c:pt>
                  <c:pt idx="22">
                    <c:v>0.75529041626209725</c:v>
                  </c:pt>
                  <c:pt idx="23">
                    <c:v>0.67455947136563887</c:v>
                  </c:pt>
                  <c:pt idx="24">
                    <c:v>0.76699153504399975</c:v>
                  </c:pt>
                  <c:pt idx="25">
                    <c:v>0.50473249906711681</c:v>
                  </c:pt>
                </c:numCache>
              </c:numRef>
            </c:plus>
            <c:minus>
              <c:numRef>
                <c:f>'Data from July 2009'!$AP$103:$AP$128</c:f>
                <c:numCache>
                  <c:formatCode>General</c:formatCode>
                  <c:ptCount val="26"/>
                  <c:pt idx="0">
                    <c:v>0.63328541158826734</c:v>
                  </c:pt>
                  <c:pt idx="1">
                    <c:v>0.71011127183185996</c:v>
                  </c:pt>
                  <c:pt idx="2">
                    <c:v>0.83429319401563307</c:v>
                  </c:pt>
                  <c:pt idx="3">
                    <c:v>0.62184293093901066</c:v>
                  </c:pt>
                  <c:pt idx="4">
                    <c:v>0.77675771258094028</c:v>
                  </c:pt>
                  <c:pt idx="5">
                    <c:v>0.72488587831329798</c:v>
                  </c:pt>
                  <c:pt idx="6">
                    <c:v>0.92797821062645613</c:v>
                  </c:pt>
                  <c:pt idx="7">
                    <c:v>0.50113122437563884</c:v>
                  </c:pt>
                  <c:pt idx="8">
                    <c:v>0.60625614591360344</c:v>
                  </c:pt>
                  <c:pt idx="9">
                    <c:v>0.60339083990285292</c:v>
                  </c:pt>
                  <c:pt idx="10">
                    <c:v>0.68414372010958036</c:v>
                  </c:pt>
                  <c:pt idx="11">
                    <c:v>0.67377022928429764</c:v>
                  </c:pt>
                  <c:pt idx="12">
                    <c:v>0.58448988262174684</c:v>
                  </c:pt>
                  <c:pt idx="13">
                    <c:v>0.79636950416040597</c:v>
                  </c:pt>
                  <c:pt idx="14">
                    <c:v>0.68348546476079108</c:v>
                  </c:pt>
                  <c:pt idx="15">
                    <c:v>0.62617523008398357</c:v>
                  </c:pt>
                  <c:pt idx="16">
                    <c:v>0.5589187054244602</c:v>
                  </c:pt>
                  <c:pt idx="17">
                    <c:v>0.61984348378415233</c:v>
                  </c:pt>
                  <c:pt idx="18">
                    <c:v>0.76619578880139738</c:v>
                  </c:pt>
                  <c:pt idx="19">
                    <c:v>0.80970736475379523</c:v>
                  </c:pt>
                  <c:pt idx="20">
                    <c:v>0.54623855366302154</c:v>
                  </c:pt>
                  <c:pt idx="21">
                    <c:v>0.46264059199112484</c:v>
                  </c:pt>
                  <c:pt idx="22">
                    <c:v>0.75529041626209725</c:v>
                  </c:pt>
                  <c:pt idx="23">
                    <c:v>0.67455947136563876</c:v>
                  </c:pt>
                  <c:pt idx="24">
                    <c:v>0.76699153504399975</c:v>
                  </c:pt>
                  <c:pt idx="25">
                    <c:v>0.50473249906711681</c:v>
                  </c:pt>
                </c:numCache>
              </c:numRef>
            </c:minus>
            <c:spPr>
              <a:ln w="9525"/>
            </c:spPr>
          </c:errBars>
          <c:cat>
            <c:strRef>
              <c:f>'Data from July 2009'!$A$103:$A$130</c:f>
              <c:strCache>
                <c:ptCount val="28"/>
                <c:pt idx="0">
                  <c:v>Q3 2009</c:v>
                </c:pt>
                <c:pt idx="1">
                  <c:v>Q4 2009</c:v>
                </c:pt>
                <c:pt idx="2">
                  <c:v>Q1 2010</c:v>
                </c:pt>
                <c:pt idx="3">
                  <c:v>Q2 2010</c:v>
                </c:pt>
                <c:pt idx="4">
                  <c:v>Q3 2010</c:v>
                </c:pt>
                <c:pt idx="5">
                  <c:v>Q4 2010</c:v>
                </c:pt>
                <c:pt idx="6">
                  <c:v>Q1 2011</c:v>
                </c:pt>
                <c:pt idx="7">
                  <c:v>Q2 2011</c:v>
                </c:pt>
                <c:pt idx="8">
                  <c:v>Q3 2011</c:v>
                </c:pt>
                <c:pt idx="9">
                  <c:v>Q4 2011</c:v>
                </c:pt>
                <c:pt idx="10">
                  <c:v>Q1 2012</c:v>
                </c:pt>
                <c:pt idx="11">
                  <c:v>Q2 2012</c:v>
                </c:pt>
                <c:pt idx="12">
                  <c:v>Q3 2012</c:v>
                </c:pt>
                <c:pt idx="13">
                  <c:v>Q4 2012</c:v>
                </c:pt>
                <c:pt idx="14">
                  <c:v>Q1 2013</c:v>
                </c:pt>
                <c:pt idx="15">
                  <c:v>Q2 2013</c:v>
                </c:pt>
                <c:pt idx="16">
                  <c:v>Q3 2013</c:v>
                </c:pt>
                <c:pt idx="17">
                  <c:v>Q4 2013</c:v>
                </c:pt>
                <c:pt idx="18">
                  <c:v>Q1 2014</c:v>
                </c:pt>
                <c:pt idx="19">
                  <c:v>Q2 2014</c:v>
                </c:pt>
                <c:pt idx="20">
                  <c:v>Q3 2014</c:v>
                </c:pt>
                <c:pt idx="21">
                  <c:v>Q4 2014</c:v>
                </c:pt>
                <c:pt idx="22">
                  <c:v>Q1 2015</c:v>
                </c:pt>
                <c:pt idx="23">
                  <c:v>Q2 2015</c:v>
                </c:pt>
                <c:pt idx="24">
                  <c:v>Q3 2015</c:v>
                </c:pt>
                <c:pt idx="25">
                  <c:v>Q4 2015</c:v>
                </c:pt>
                <c:pt idx="26">
                  <c:v>Q1 2016</c:v>
                </c:pt>
                <c:pt idx="27">
                  <c:v>Q2 2016</c:v>
                </c:pt>
              </c:strCache>
            </c:strRef>
          </c:cat>
          <c:val>
            <c:numRef>
              <c:f>'Data from July 2009'!$AK$103:$AK$130</c:f>
              <c:numCache>
                <c:formatCode>0.0</c:formatCode>
                <c:ptCount val="28"/>
                <c:pt idx="0">
                  <c:v>0.91387838563383172</c:v>
                </c:pt>
                <c:pt idx="1">
                  <c:v>1.1456984750753296</c:v>
                </c:pt>
                <c:pt idx="2">
                  <c:v>1.5347382090785668</c:v>
                </c:pt>
                <c:pt idx="3">
                  <c:v>0.83940905602455873</c:v>
                </c:pt>
                <c:pt idx="4">
                  <c:v>1.372840636082828</c:v>
                </c:pt>
                <c:pt idx="5">
                  <c:v>1.1695359281437125</c:v>
                </c:pt>
                <c:pt idx="6">
                  <c:v>1.8336959976528691</c:v>
                </c:pt>
                <c:pt idx="7">
                  <c:v>0.57171606293450417</c:v>
                </c:pt>
                <c:pt idx="8">
                  <c:v>0.81836887392442936</c:v>
                </c:pt>
                <c:pt idx="9">
                  <c:v>0.75408146593436987</c:v>
                </c:pt>
                <c:pt idx="10">
                  <c:v>0.92350721654924928</c:v>
                </c:pt>
                <c:pt idx="11">
                  <c:v>0.90950432014552063</c:v>
                </c:pt>
                <c:pt idx="12">
                  <c:v>0.73046018991964934</c:v>
                </c:pt>
                <c:pt idx="13">
                  <c:v>1.2848681082886841</c:v>
                </c:pt>
                <c:pt idx="14">
                  <c:v>0.92261865534921128</c:v>
                </c:pt>
                <c:pt idx="15">
                  <c:v>0.90361786000700306</c:v>
                </c:pt>
                <c:pt idx="16">
                  <c:v>0.69850287550350409</c:v>
                </c:pt>
                <c:pt idx="17">
                  <c:v>0.83671005605957383</c:v>
                </c:pt>
                <c:pt idx="18">
                  <c:v>1.2361856256335453</c:v>
                </c:pt>
                <c:pt idx="19">
                  <c:v>1.4310758112411006</c:v>
                </c:pt>
                <c:pt idx="20">
                  <c:v>0.68265598689300511</c:v>
                </c:pt>
                <c:pt idx="21">
                  <c:v>0.47208223672563759</c:v>
                </c:pt>
                <c:pt idx="22">
                  <c:v>1.2185908215739318</c:v>
                </c:pt>
                <c:pt idx="23">
                  <c:v>1.0324889867841409</c:v>
                </c:pt>
                <c:pt idx="24">
                  <c:v>1.3555799057871964</c:v>
                </c:pt>
                <c:pt idx="25">
                  <c:v>0.57582458079970522</c:v>
                </c:pt>
                <c:pt idx="26">
                  <c:v>0.95256239283673083</c:v>
                </c:pt>
                <c:pt idx="27">
                  <c:v>1.2369418299992128</c:v>
                </c:pt>
              </c:numCache>
            </c:numRef>
          </c:val>
          <c:smooth val="0"/>
        </c:ser>
        <c:ser>
          <c:idx val="1"/>
          <c:order val="1"/>
          <c:tx>
            <c:v>National threshold</c:v>
          </c:tx>
          <c:spPr>
            <a:ln>
              <a:solidFill>
                <a:sysClr val="windowText" lastClr="000000"/>
              </a:solidFill>
            </a:ln>
          </c:spPr>
          <c:marker>
            <c:symbol val="none"/>
          </c:marker>
          <c:cat>
            <c:strRef>
              <c:f>'Data from July 2009'!$A$103:$A$130</c:f>
              <c:strCache>
                <c:ptCount val="28"/>
                <c:pt idx="0">
                  <c:v>Q3 2009</c:v>
                </c:pt>
                <c:pt idx="1">
                  <c:v>Q4 2009</c:v>
                </c:pt>
                <c:pt idx="2">
                  <c:v>Q1 2010</c:v>
                </c:pt>
                <c:pt idx="3">
                  <c:v>Q2 2010</c:v>
                </c:pt>
                <c:pt idx="4">
                  <c:v>Q3 2010</c:v>
                </c:pt>
                <c:pt idx="5">
                  <c:v>Q4 2010</c:v>
                </c:pt>
                <c:pt idx="6">
                  <c:v>Q1 2011</c:v>
                </c:pt>
                <c:pt idx="7">
                  <c:v>Q2 2011</c:v>
                </c:pt>
                <c:pt idx="8">
                  <c:v>Q3 2011</c:v>
                </c:pt>
                <c:pt idx="9">
                  <c:v>Q4 2011</c:v>
                </c:pt>
                <c:pt idx="10">
                  <c:v>Q1 2012</c:v>
                </c:pt>
                <c:pt idx="11">
                  <c:v>Q2 2012</c:v>
                </c:pt>
                <c:pt idx="12">
                  <c:v>Q3 2012</c:v>
                </c:pt>
                <c:pt idx="13">
                  <c:v>Q4 2012</c:v>
                </c:pt>
                <c:pt idx="14">
                  <c:v>Q1 2013</c:v>
                </c:pt>
                <c:pt idx="15">
                  <c:v>Q2 2013</c:v>
                </c:pt>
                <c:pt idx="16">
                  <c:v>Q3 2013</c:v>
                </c:pt>
                <c:pt idx="17">
                  <c:v>Q4 2013</c:v>
                </c:pt>
                <c:pt idx="18">
                  <c:v>Q1 2014</c:v>
                </c:pt>
                <c:pt idx="19">
                  <c:v>Q2 2014</c:v>
                </c:pt>
                <c:pt idx="20">
                  <c:v>Q3 2014</c:v>
                </c:pt>
                <c:pt idx="21">
                  <c:v>Q4 2014</c:v>
                </c:pt>
                <c:pt idx="22">
                  <c:v>Q1 2015</c:v>
                </c:pt>
                <c:pt idx="23">
                  <c:v>Q2 2015</c:v>
                </c:pt>
                <c:pt idx="24">
                  <c:v>Q3 2015</c:v>
                </c:pt>
                <c:pt idx="25">
                  <c:v>Q4 2015</c:v>
                </c:pt>
                <c:pt idx="26">
                  <c:v>Q1 2016</c:v>
                </c:pt>
                <c:pt idx="27">
                  <c:v>Q2 2016</c:v>
                </c:pt>
              </c:strCache>
            </c:strRef>
          </c:cat>
          <c:val>
            <c:numRef>
              <c:f>'Data from July 2009'!$AQ$103:$AQ$130</c:f>
              <c:numCache>
                <c:formatCode>0.0</c:formatCode>
                <c:ptCount val="28"/>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pt idx="20">
                  <c:v>2</c:v>
                </c:pt>
                <c:pt idx="21">
                  <c:v>2</c:v>
                </c:pt>
                <c:pt idx="22">
                  <c:v>2</c:v>
                </c:pt>
                <c:pt idx="23">
                  <c:v>2</c:v>
                </c:pt>
                <c:pt idx="24">
                  <c:v>2</c:v>
                </c:pt>
                <c:pt idx="25">
                  <c:v>2</c:v>
                </c:pt>
                <c:pt idx="26">
                  <c:v>2</c:v>
                </c:pt>
                <c:pt idx="27">
                  <c:v>2</c:v>
                </c:pt>
              </c:numCache>
            </c:numRef>
          </c:val>
          <c:smooth val="0"/>
        </c:ser>
        <c:dLbls>
          <c:showLegendKey val="0"/>
          <c:showVal val="0"/>
          <c:showCatName val="0"/>
          <c:showSerName val="0"/>
          <c:showPercent val="0"/>
          <c:showBubbleSize val="0"/>
        </c:dLbls>
        <c:hiLowLines>
          <c:spPr>
            <a:ln>
              <a:noFill/>
            </a:ln>
          </c:spPr>
        </c:hiLowLines>
        <c:marker val="1"/>
        <c:smooth val="0"/>
        <c:axId val="191459328"/>
        <c:axId val="198446464"/>
      </c:lineChart>
      <c:catAx>
        <c:axId val="191459328"/>
        <c:scaling>
          <c:orientation val="minMax"/>
        </c:scaling>
        <c:delete val="0"/>
        <c:axPos val="b"/>
        <c:numFmt formatCode="General" sourceLinked="0"/>
        <c:majorTickMark val="none"/>
        <c:minorTickMark val="none"/>
        <c:tickLblPos val="nextTo"/>
        <c:txPr>
          <a:bodyPr rot="-5400000" vert="horz"/>
          <a:lstStyle/>
          <a:p>
            <a:pPr>
              <a:defRPr sz="800"/>
            </a:pPr>
            <a:endParaRPr lang="en-US"/>
          </a:p>
        </c:txPr>
        <c:crossAx val="198446464"/>
        <c:crosses val="autoZero"/>
        <c:auto val="1"/>
        <c:lblAlgn val="ctr"/>
        <c:lblOffset val="100"/>
        <c:tickLblSkip val="2"/>
        <c:noMultiLvlLbl val="0"/>
      </c:catAx>
      <c:valAx>
        <c:axId val="198446464"/>
        <c:scaling>
          <c:orientation val="minMax"/>
          <c:max val="3"/>
        </c:scaling>
        <c:delete val="0"/>
        <c:axPos val="l"/>
        <c:majorGridlines>
          <c:spPr>
            <a:ln>
              <a:noFill/>
            </a:ln>
          </c:spPr>
        </c:majorGridlines>
        <c:title>
          <c:tx>
            <c:rich>
              <a:bodyPr/>
              <a:lstStyle/>
              <a:p>
                <a:pPr>
                  <a:defRPr b="0"/>
                </a:pPr>
                <a:r>
                  <a:rPr lang="en-US" b="0"/>
                  <a:t>Rate/10 000 patient days </a:t>
                </a:r>
              </a:p>
            </c:rich>
          </c:tx>
          <c:layout>
            <c:manualLayout>
              <c:xMode val="edge"/>
              <c:yMode val="edge"/>
              <c:x val="6.6469683775713384E-3"/>
              <c:y val="0.33638115519806977"/>
            </c:manualLayout>
          </c:layout>
          <c:overlay val="0"/>
        </c:title>
        <c:numFmt formatCode="0.0" sourceLinked="0"/>
        <c:majorTickMark val="none"/>
        <c:minorTickMark val="none"/>
        <c:tickLblPos val="nextTo"/>
        <c:crossAx val="191459328"/>
        <c:crosses val="autoZero"/>
        <c:crossBetween val="between"/>
        <c:majorUnit val="0.5"/>
      </c:valAx>
    </c:plotArea>
    <c:legend>
      <c:legendPos val="t"/>
      <c:overlay val="0"/>
    </c:legend>
    <c:plotVisOnly val="1"/>
    <c:dispBlanksAs val="gap"/>
    <c:showDLblsOverMax val="0"/>
  </c:chart>
  <c:txPr>
    <a:bodyPr/>
    <a:lstStyle/>
    <a:p>
      <a:pPr>
        <a:defRPr>
          <a:latin typeface="Gill Sans MT" panose="020B0502020104020203"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000" b="0" i="0" u="none" strike="noStrike" baseline="0">
                <a:solidFill>
                  <a:srgbClr val="000000"/>
                </a:solidFill>
                <a:latin typeface="Gill Sans MT" pitchFamily="34" charset="0"/>
                <a:ea typeface="Calibri"/>
                <a:cs typeface="Calibri"/>
              </a:defRPr>
            </a:pPr>
            <a:r>
              <a:rPr lang="en-AU" sz="1200" b="1" i="0" u="none" strike="noStrike" baseline="0">
                <a:solidFill>
                  <a:srgbClr val="000000"/>
                </a:solidFill>
                <a:latin typeface="Gill Sans MT" pitchFamily="34" charset="0"/>
                <a:cs typeface="Arial"/>
              </a:rPr>
              <a:t>Tasmanian acute public hospitals </a:t>
            </a:r>
          </a:p>
          <a:p>
            <a:pPr>
              <a:defRPr sz="1000" b="0" i="0" u="none" strike="noStrike" baseline="0">
                <a:solidFill>
                  <a:srgbClr val="000000"/>
                </a:solidFill>
                <a:latin typeface="Gill Sans MT" pitchFamily="34" charset="0"/>
                <a:ea typeface="Calibri"/>
                <a:cs typeface="Calibri"/>
              </a:defRPr>
            </a:pPr>
            <a:r>
              <a:rPr lang="en-AU" sz="1200" b="1" i="0" u="none" strike="noStrike" baseline="0">
                <a:solidFill>
                  <a:srgbClr val="000000"/>
                </a:solidFill>
                <a:latin typeface="Gill Sans MT" pitchFamily="34" charset="0"/>
                <a:cs typeface="Arial"/>
              </a:rPr>
              <a:t>Hosptial identifed and HCA-HCF CDI rate by financial year</a:t>
            </a:r>
          </a:p>
        </c:rich>
      </c:tx>
      <c:overlay val="0"/>
    </c:title>
    <c:autoTitleDeleted val="0"/>
    <c:plotArea>
      <c:layout>
        <c:manualLayout>
          <c:layoutTarget val="inner"/>
          <c:xMode val="edge"/>
          <c:yMode val="edge"/>
          <c:x val="8.7181867167266724E-2"/>
          <c:y val="0.1970325854115032"/>
          <c:w val="0.88856459995480397"/>
          <c:h val="0.68235123812866005"/>
        </c:manualLayout>
      </c:layout>
      <c:lineChart>
        <c:grouping val="standard"/>
        <c:varyColors val="0"/>
        <c:ser>
          <c:idx val="0"/>
          <c:order val="0"/>
          <c:tx>
            <c:v>Hospital identified</c:v>
          </c:tx>
          <c:errBars>
            <c:errDir val="y"/>
            <c:errBarType val="both"/>
            <c:errValType val="cust"/>
            <c:noEndCap val="0"/>
            <c:plus>
              <c:numRef>
                <c:f>'CDI from July 2009'!$AA$185:$AA$191</c:f>
                <c:numCache>
                  <c:formatCode>General</c:formatCode>
                  <c:ptCount val="7"/>
                  <c:pt idx="0">
                    <c:v>0.6578151502210221</c:v>
                  </c:pt>
                  <c:pt idx="1">
                    <c:v>0.73359396796087939</c:v>
                  </c:pt>
                  <c:pt idx="2">
                    <c:v>0.9412968798159671</c:v>
                  </c:pt>
                  <c:pt idx="3">
                    <c:v>0.91674452869805911</c:v>
                  </c:pt>
                  <c:pt idx="4">
                    <c:v>0.82396991528999841</c:v>
                  </c:pt>
                  <c:pt idx="5">
                    <c:v>0.72646000548873246</c:v>
                  </c:pt>
                  <c:pt idx="6">
                    <c:v>0.78241736754250102</c:v>
                  </c:pt>
                </c:numCache>
              </c:numRef>
            </c:plus>
            <c:minus>
              <c:numRef>
                <c:f>'CDI from July 2009'!$AB$185:$AB$191</c:f>
                <c:numCache>
                  <c:formatCode>General</c:formatCode>
                  <c:ptCount val="7"/>
                  <c:pt idx="0">
                    <c:v>0.65781515022102166</c:v>
                  </c:pt>
                  <c:pt idx="1">
                    <c:v>0.73359396796087983</c:v>
                  </c:pt>
                  <c:pt idx="2">
                    <c:v>0.9412968798159671</c:v>
                  </c:pt>
                  <c:pt idx="3">
                    <c:v>0.91674452869805911</c:v>
                  </c:pt>
                  <c:pt idx="4">
                    <c:v>0.82396991528999841</c:v>
                  </c:pt>
                  <c:pt idx="5">
                    <c:v>0.72646000548873246</c:v>
                  </c:pt>
                  <c:pt idx="6">
                    <c:v>0.78241736754250102</c:v>
                  </c:pt>
                </c:numCache>
              </c:numRef>
            </c:minus>
          </c:errBars>
          <c:cat>
            <c:strRef>
              <c:f>'CDI from July 2009'!$A$185:$A$191</c:f>
              <c:strCache>
                <c:ptCount val="7"/>
                <c:pt idx="0">
                  <c:v>2009 - 10</c:v>
                </c:pt>
                <c:pt idx="1">
                  <c:v>2010 - 11</c:v>
                </c:pt>
                <c:pt idx="2">
                  <c:v>2011 - 12</c:v>
                </c:pt>
                <c:pt idx="3">
                  <c:v>2012 - 13</c:v>
                </c:pt>
                <c:pt idx="4">
                  <c:v>2013 - 14</c:v>
                </c:pt>
                <c:pt idx="5">
                  <c:v>2014 - 15</c:v>
                </c:pt>
                <c:pt idx="6">
                  <c:v>2015 - 16</c:v>
                </c:pt>
              </c:strCache>
            </c:strRef>
          </c:cat>
          <c:val>
            <c:numRef>
              <c:f>'CDI from July 2009'!$W$185:$W$191</c:f>
              <c:numCache>
                <c:formatCode>0.0</c:formatCode>
                <c:ptCount val="7"/>
                <c:pt idx="0">
                  <c:v>3.5834407317763177</c:v>
                </c:pt>
                <c:pt idx="1">
                  <c:v>4.4285718804665182</c:v>
                </c:pt>
                <c:pt idx="2">
                  <c:v>6.8256848493449711</c:v>
                </c:pt>
                <c:pt idx="3">
                  <c:v>6.481012658227848</c:v>
                </c:pt>
                <c:pt idx="4">
                  <c:v>5.4973493774492939</c:v>
                </c:pt>
                <c:pt idx="5">
                  <c:v>4.3540677404597012</c:v>
                </c:pt>
                <c:pt idx="6">
                  <c:v>5.1432360249601858</c:v>
                </c:pt>
              </c:numCache>
            </c:numRef>
          </c:val>
          <c:smooth val="0"/>
        </c:ser>
        <c:ser>
          <c:idx val="1"/>
          <c:order val="1"/>
          <c:tx>
            <c:v>HCA-HCF</c:v>
          </c:tx>
          <c:errBars>
            <c:errDir val="y"/>
            <c:errBarType val="both"/>
            <c:errValType val="cust"/>
            <c:noEndCap val="0"/>
            <c:plus>
              <c:numRef>
                <c:f>'CDI from July 2009'!$AH$185:$AH$191</c:f>
                <c:numCache>
                  <c:formatCode>General</c:formatCode>
                  <c:ptCount val="7"/>
                  <c:pt idx="0">
                    <c:v>0.48901448178605555</c:v>
                  </c:pt>
                  <c:pt idx="1">
                    <c:v>0.6106292460204652</c:v>
                  </c:pt>
                  <c:pt idx="2">
                    <c:v>0.71943562273400508</c:v>
                  </c:pt>
                  <c:pt idx="3">
                    <c:v>0.67145409173268344</c:v>
                  </c:pt>
                  <c:pt idx="4">
                    <c:v>0.57405346944222257</c:v>
                  </c:pt>
                  <c:pt idx="5">
                    <c:v>0.52107632413906702</c:v>
                  </c:pt>
                  <c:pt idx="6">
                    <c:v>0.51528878010830548</c:v>
                  </c:pt>
                </c:numCache>
              </c:numRef>
            </c:plus>
            <c:minus>
              <c:numRef>
                <c:f>'CDI from July 2009'!$AI$185:$AI$191</c:f>
                <c:numCache>
                  <c:formatCode>General</c:formatCode>
                  <c:ptCount val="7"/>
                  <c:pt idx="0">
                    <c:v>0.48901448178605578</c:v>
                  </c:pt>
                  <c:pt idx="1">
                    <c:v>0.6106292460204652</c:v>
                  </c:pt>
                  <c:pt idx="2">
                    <c:v>0.71943562273400508</c:v>
                  </c:pt>
                  <c:pt idx="3">
                    <c:v>0.67145409173268344</c:v>
                  </c:pt>
                  <c:pt idx="4">
                    <c:v>0.57405346944222257</c:v>
                  </c:pt>
                  <c:pt idx="5">
                    <c:v>0.52107632413906702</c:v>
                  </c:pt>
                  <c:pt idx="6">
                    <c:v>0.51528878010830548</c:v>
                  </c:pt>
                </c:numCache>
              </c:numRef>
            </c:minus>
          </c:errBars>
          <c:cat>
            <c:strRef>
              <c:f>'CDI from July 2009'!$A$185:$A$191</c:f>
              <c:strCache>
                <c:ptCount val="7"/>
                <c:pt idx="0">
                  <c:v>2009 - 10</c:v>
                </c:pt>
                <c:pt idx="1">
                  <c:v>2010 - 11</c:v>
                </c:pt>
                <c:pt idx="2">
                  <c:v>2011 - 12</c:v>
                </c:pt>
                <c:pt idx="3">
                  <c:v>2012 - 13</c:v>
                </c:pt>
                <c:pt idx="4">
                  <c:v>2013 - 14</c:v>
                </c:pt>
                <c:pt idx="5">
                  <c:v>2014 - 15</c:v>
                </c:pt>
                <c:pt idx="6">
                  <c:v>2015 - 16</c:v>
                </c:pt>
              </c:strCache>
            </c:strRef>
          </c:cat>
          <c:val>
            <c:numRef>
              <c:f>'CDI from July 2009'!$AD$185:$AD$191</c:f>
              <c:numCache>
                <c:formatCode>0.0</c:formatCode>
                <c:ptCount val="7"/>
                <c:pt idx="0">
                  <c:v>1.9803225096658599</c:v>
                </c:pt>
                <c:pt idx="1">
                  <c:v>3.0683676600375165</c:v>
                </c:pt>
                <c:pt idx="2">
                  <c:v>3.98728124862726</c:v>
                </c:pt>
                <c:pt idx="3">
                  <c:v>3.4767932489451479</c:v>
                </c:pt>
                <c:pt idx="4">
                  <c:v>2.668304083791178</c:v>
                </c:pt>
                <c:pt idx="5">
                  <c:v>2.2401363012510056</c:v>
                </c:pt>
                <c:pt idx="6">
                  <c:v>2.2308011674526109</c:v>
                </c:pt>
              </c:numCache>
            </c:numRef>
          </c:val>
          <c:smooth val="0"/>
        </c:ser>
        <c:dLbls>
          <c:showLegendKey val="0"/>
          <c:showVal val="0"/>
          <c:showCatName val="0"/>
          <c:showSerName val="0"/>
          <c:showPercent val="0"/>
          <c:showBubbleSize val="0"/>
        </c:dLbls>
        <c:marker val="1"/>
        <c:smooth val="0"/>
        <c:axId val="341080064"/>
        <c:axId val="369549312"/>
      </c:lineChart>
      <c:catAx>
        <c:axId val="34108006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Gill Sans MT" pitchFamily="34" charset="0"/>
                <a:ea typeface="Arial"/>
                <a:cs typeface="Arial"/>
              </a:defRPr>
            </a:pPr>
            <a:endParaRPr lang="en-US"/>
          </a:p>
        </c:txPr>
        <c:crossAx val="369549312"/>
        <c:crosses val="autoZero"/>
        <c:auto val="1"/>
        <c:lblAlgn val="ctr"/>
        <c:lblOffset val="100"/>
        <c:noMultiLvlLbl val="0"/>
      </c:catAx>
      <c:valAx>
        <c:axId val="369549312"/>
        <c:scaling>
          <c:orientation val="minMax"/>
          <c:max val="10"/>
        </c:scaling>
        <c:delete val="0"/>
        <c:axPos val="l"/>
        <c:title>
          <c:tx>
            <c:rich>
              <a:bodyPr/>
              <a:lstStyle/>
              <a:p>
                <a:pPr>
                  <a:defRPr sz="1000" b="0" i="0" u="none" strike="noStrike" baseline="0">
                    <a:solidFill>
                      <a:srgbClr val="000000"/>
                    </a:solidFill>
                    <a:latin typeface="Gill Sans MT" pitchFamily="34" charset="0"/>
                    <a:ea typeface="Arial"/>
                    <a:cs typeface="Arial"/>
                  </a:defRPr>
                </a:pPr>
                <a:r>
                  <a:rPr lang="en-AU" sz="1000" b="0">
                    <a:latin typeface="Gill Sans MT" pitchFamily="34" charset="0"/>
                  </a:rPr>
                  <a:t>Rate/10 000 patient days</a:t>
                </a:r>
              </a:p>
            </c:rich>
          </c:tx>
          <c:overlay val="0"/>
        </c:title>
        <c:numFmt formatCode="0" sourceLinked="0"/>
        <c:majorTickMark val="out"/>
        <c:minorTickMark val="none"/>
        <c:tickLblPos val="nextTo"/>
        <c:txPr>
          <a:bodyPr rot="0" vert="horz"/>
          <a:lstStyle/>
          <a:p>
            <a:pPr>
              <a:defRPr sz="1000" b="0" i="0" u="none" strike="noStrike" baseline="0">
                <a:solidFill>
                  <a:srgbClr val="000000"/>
                </a:solidFill>
                <a:latin typeface="Gill Sans MT" pitchFamily="34" charset="0"/>
                <a:ea typeface="Arial"/>
                <a:cs typeface="Arial"/>
              </a:defRPr>
            </a:pPr>
            <a:endParaRPr lang="en-US"/>
          </a:p>
        </c:txPr>
        <c:crossAx val="341080064"/>
        <c:crosses val="autoZero"/>
        <c:crossBetween val="between"/>
        <c:majorUnit val="2"/>
      </c:valAx>
    </c:plotArea>
    <c:legend>
      <c:legendPos val="t"/>
      <c:layout>
        <c:manualLayout>
          <c:xMode val="edge"/>
          <c:yMode val="edge"/>
          <c:x val="0.30480987397236503"/>
          <c:y val="0.15875594937819401"/>
          <c:w val="0.43617847769028872"/>
          <c:h val="6.4917567755284067E-2"/>
        </c:manualLayout>
      </c:layout>
      <c:overlay val="0"/>
      <c:txPr>
        <a:bodyPr/>
        <a:lstStyle/>
        <a:p>
          <a:pPr>
            <a:defRPr sz="1000" b="0" i="0" u="none" strike="noStrike" baseline="0">
              <a:solidFill>
                <a:srgbClr val="000000"/>
              </a:solidFill>
              <a:latin typeface="Gill Sans MT" pitchFamily="34" charset="0"/>
              <a:ea typeface="Arial"/>
              <a:cs typeface="Arial"/>
            </a:defRPr>
          </a:pPr>
          <a:endParaRPr lang="en-US"/>
        </a:p>
      </c:txPr>
    </c:legend>
    <c:plotVisOnly val="1"/>
    <c:dispBlanksAs val="gap"/>
    <c:showDLblsOverMax val="0"/>
  </c:chart>
  <c:spPr>
    <a:ln w="12700">
      <a:solidFill>
        <a:sysClr val="windowText" lastClr="000000"/>
      </a:solid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200"/>
            </a:pPr>
            <a:r>
              <a:rPr lang="en-AU" sz="1200"/>
              <a:t>Tasmanian acute public hospitals</a:t>
            </a:r>
          </a:p>
          <a:p>
            <a:pPr>
              <a:defRPr sz="1200"/>
            </a:pPr>
            <a:r>
              <a:rPr lang="en-AU" sz="1200"/>
              <a:t>Hospital identifed CDI by quarter</a:t>
            </a:r>
          </a:p>
        </c:rich>
      </c:tx>
      <c:overlay val="0"/>
    </c:title>
    <c:autoTitleDeleted val="0"/>
    <c:plotArea>
      <c:layout>
        <c:manualLayout>
          <c:layoutTarget val="inner"/>
          <c:xMode val="edge"/>
          <c:yMode val="edge"/>
          <c:x val="9.2740696389347455E-2"/>
          <c:y val="0.22843430068198878"/>
          <c:w val="0.88319586570500186"/>
          <c:h val="0.56270878919039791"/>
        </c:manualLayout>
      </c:layout>
      <c:lineChart>
        <c:grouping val="standard"/>
        <c:varyColors val="0"/>
        <c:ser>
          <c:idx val="0"/>
          <c:order val="0"/>
          <c:tx>
            <c:v>RHH</c:v>
          </c:tx>
          <c:marker>
            <c:symbol val="none"/>
          </c:marker>
          <c:cat>
            <c:strRef>
              <c:f>'CDI from July 2009'!$A$136:$A$163</c:f>
              <c:strCache>
                <c:ptCount val="28"/>
                <c:pt idx="0">
                  <c:v>Q3 2009</c:v>
                </c:pt>
                <c:pt idx="1">
                  <c:v>Q4 2009</c:v>
                </c:pt>
                <c:pt idx="2">
                  <c:v>Q1 2010</c:v>
                </c:pt>
                <c:pt idx="3">
                  <c:v>Q2 2010</c:v>
                </c:pt>
                <c:pt idx="4">
                  <c:v>Q3 2010</c:v>
                </c:pt>
                <c:pt idx="5">
                  <c:v>Q4 2010</c:v>
                </c:pt>
                <c:pt idx="6">
                  <c:v>Q1 2011</c:v>
                </c:pt>
                <c:pt idx="7">
                  <c:v>Q2 2011</c:v>
                </c:pt>
                <c:pt idx="8">
                  <c:v>Q3 2011</c:v>
                </c:pt>
                <c:pt idx="9">
                  <c:v>Q4 2011</c:v>
                </c:pt>
                <c:pt idx="10">
                  <c:v>Q1 2012</c:v>
                </c:pt>
                <c:pt idx="11">
                  <c:v>Q2 2012</c:v>
                </c:pt>
                <c:pt idx="12">
                  <c:v>Q3 2012</c:v>
                </c:pt>
                <c:pt idx="13">
                  <c:v>Q4 2012 </c:v>
                </c:pt>
                <c:pt idx="14">
                  <c:v>Q1 2013</c:v>
                </c:pt>
                <c:pt idx="15">
                  <c:v>Q2 2013</c:v>
                </c:pt>
                <c:pt idx="16">
                  <c:v>Q3 2013</c:v>
                </c:pt>
                <c:pt idx="17">
                  <c:v>Q4 2013</c:v>
                </c:pt>
                <c:pt idx="18">
                  <c:v>Q1 2014</c:v>
                </c:pt>
                <c:pt idx="19">
                  <c:v>Q2 2014</c:v>
                </c:pt>
                <c:pt idx="20">
                  <c:v>Q3 2014</c:v>
                </c:pt>
                <c:pt idx="21">
                  <c:v>Q4 2014</c:v>
                </c:pt>
                <c:pt idx="22">
                  <c:v>Q1 2015</c:v>
                </c:pt>
                <c:pt idx="23">
                  <c:v>Q2 2015</c:v>
                </c:pt>
                <c:pt idx="24">
                  <c:v>Q3 2015</c:v>
                </c:pt>
                <c:pt idx="25">
                  <c:v>Q4 2015</c:v>
                </c:pt>
                <c:pt idx="26">
                  <c:v>Q1 2016</c:v>
                </c:pt>
                <c:pt idx="27">
                  <c:v>Q2 2016</c:v>
                </c:pt>
              </c:strCache>
            </c:strRef>
          </c:cat>
          <c:val>
            <c:numRef>
              <c:f>'CDI from July 2009'!$C$136:$C$163</c:f>
              <c:numCache>
                <c:formatCode>0.0</c:formatCode>
                <c:ptCount val="28"/>
                <c:pt idx="0">
                  <c:v>2.0769510358793291</c:v>
                </c:pt>
                <c:pt idx="1">
                  <c:v>6.3665070795558725</c:v>
                </c:pt>
                <c:pt idx="2">
                  <c:v>2.6617690116851662</c:v>
                </c:pt>
                <c:pt idx="3">
                  <c:v>4.8810911950538278</c:v>
                </c:pt>
                <c:pt idx="4">
                  <c:v>6.6618701201801374</c:v>
                </c:pt>
                <c:pt idx="5">
                  <c:v>6.5870945643295657</c:v>
                </c:pt>
                <c:pt idx="6">
                  <c:v>6.8756875687568764</c:v>
                </c:pt>
                <c:pt idx="7">
                  <c:v>6.5472449193379427</c:v>
                </c:pt>
                <c:pt idx="8">
                  <c:v>6.5116531459424261</c:v>
                </c:pt>
                <c:pt idx="9">
                  <c:v>9.7516204898755223</c:v>
                </c:pt>
                <c:pt idx="10">
                  <c:v>9.4270142878185297</c:v>
                </c:pt>
                <c:pt idx="11">
                  <c:v>6.7300658376005851</c:v>
                </c:pt>
                <c:pt idx="12">
                  <c:v>6.6008416073049316</c:v>
                </c:pt>
                <c:pt idx="13">
                  <c:v>6.947862084937614</c:v>
                </c:pt>
                <c:pt idx="14">
                  <c:v>9.3632958801498134</c:v>
                </c:pt>
                <c:pt idx="15">
                  <c:v>8.7314797129526056</c:v>
                </c:pt>
                <c:pt idx="16">
                  <c:v>9.1476538958243658</c:v>
                </c:pt>
                <c:pt idx="17">
                  <c:v>6.7509181248649819</c:v>
                </c:pt>
                <c:pt idx="18">
                  <c:v>6.4186725018234867</c:v>
                </c:pt>
                <c:pt idx="19">
                  <c:v>3.1985112384053966</c:v>
                </c:pt>
                <c:pt idx="20">
                  <c:v>4.4703975859853031</c:v>
                </c:pt>
                <c:pt idx="21">
                  <c:v>6.9090595042749809</c:v>
                </c:pt>
                <c:pt idx="22">
                  <c:v>7.3651261277849382</c:v>
                </c:pt>
                <c:pt idx="23">
                  <c:v>7.5368468066100931</c:v>
                </c:pt>
                <c:pt idx="24">
                  <c:v>8.2211197732104893</c:v>
                </c:pt>
                <c:pt idx="25">
                  <c:v>8.4875233406891866</c:v>
                </c:pt>
                <c:pt idx="26">
                  <c:v>6.9042115690571251</c:v>
                </c:pt>
                <c:pt idx="27">
                  <c:v>6.1881188118811883</c:v>
                </c:pt>
              </c:numCache>
            </c:numRef>
          </c:val>
          <c:smooth val="0"/>
        </c:ser>
        <c:ser>
          <c:idx val="1"/>
          <c:order val="1"/>
          <c:tx>
            <c:v>LGH</c:v>
          </c:tx>
          <c:spPr>
            <a:ln>
              <a:prstDash val="sysDot"/>
            </a:ln>
          </c:spPr>
          <c:marker>
            <c:symbol val="none"/>
          </c:marker>
          <c:cat>
            <c:strRef>
              <c:f>'CDI from July 2009'!$A$136:$A$163</c:f>
              <c:strCache>
                <c:ptCount val="28"/>
                <c:pt idx="0">
                  <c:v>Q3 2009</c:v>
                </c:pt>
                <c:pt idx="1">
                  <c:v>Q4 2009</c:v>
                </c:pt>
                <c:pt idx="2">
                  <c:v>Q1 2010</c:v>
                </c:pt>
                <c:pt idx="3">
                  <c:v>Q2 2010</c:v>
                </c:pt>
                <c:pt idx="4">
                  <c:v>Q3 2010</c:v>
                </c:pt>
                <c:pt idx="5">
                  <c:v>Q4 2010</c:v>
                </c:pt>
                <c:pt idx="6">
                  <c:v>Q1 2011</c:v>
                </c:pt>
                <c:pt idx="7">
                  <c:v>Q2 2011</c:v>
                </c:pt>
                <c:pt idx="8">
                  <c:v>Q3 2011</c:v>
                </c:pt>
                <c:pt idx="9">
                  <c:v>Q4 2011</c:v>
                </c:pt>
                <c:pt idx="10">
                  <c:v>Q1 2012</c:v>
                </c:pt>
                <c:pt idx="11">
                  <c:v>Q2 2012</c:v>
                </c:pt>
                <c:pt idx="12">
                  <c:v>Q3 2012</c:v>
                </c:pt>
                <c:pt idx="13">
                  <c:v>Q4 2012 </c:v>
                </c:pt>
                <c:pt idx="14">
                  <c:v>Q1 2013</c:v>
                </c:pt>
                <c:pt idx="15">
                  <c:v>Q2 2013</c:v>
                </c:pt>
                <c:pt idx="16">
                  <c:v>Q3 2013</c:v>
                </c:pt>
                <c:pt idx="17">
                  <c:v>Q4 2013</c:v>
                </c:pt>
                <c:pt idx="18">
                  <c:v>Q1 2014</c:v>
                </c:pt>
                <c:pt idx="19">
                  <c:v>Q2 2014</c:v>
                </c:pt>
                <c:pt idx="20">
                  <c:v>Q3 2014</c:v>
                </c:pt>
                <c:pt idx="21">
                  <c:v>Q4 2014</c:v>
                </c:pt>
                <c:pt idx="22">
                  <c:v>Q1 2015</c:v>
                </c:pt>
                <c:pt idx="23">
                  <c:v>Q2 2015</c:v>
                </c:pt>
                <c:pt idx="24">
                  <c:v>Q3 2015</c:v>
                </c:pt>
                <c:pt idx="25">
                  <c:v>Q4 2015</c:v>
                </c:pt>
                <c:pt idx="26">
                  <c:v>Q1 2016</c:v>
                </c:pt>
                <c:pt idx="27">
                  <c:v>Q2 2016</c:v>
                </c:pt>
              </c:strCache>
            </c:strRef>
          </c:cat>
          <c:val>
            <c:numRef>
              <c:f>'CDI from July 2009'!$G$136:$G$163</c:f>
              <c:numCache>
                <c:formatCode>0.0</c:formatCode>
                <c:ptCount val="28"/>
                <c:pt idx="0">
                  <c:v>3.2922412847057103</c:v>
                </c:pt>
                <c:pt idx="1">
                  <c:v>2.2274195344693171</c:v>
                </c:pt>
                <c:pt idx="2">
                  <c:v>3.4794711203897011</c:v>
                </c:pt>
                <c:pt idx="3">
                  <c:v>3.8191261839291166</c:v>
                </c:pt>
                <c:pt idx="4">
                  <c:v>1.8610883644755452</c:v>
                </c:pt>
                <c:pt idx="5">
                  <c:v>1.5454756201220925</c:v>
                </c:pt>
                <c:pt idx="6">
                  <c:v>2.7654867256637168</c:v>
                </c:pt>
                <c:pt idx="7">
                  <c:v>1.8069459000397528</c:v>
                </c:pt>
                <c:pt idx="8">
                  <c:v>3.5789699724419313</c:v>
                </c:pt>
                <c:pt idx="9">
                  <c:v>6.99273532496795</c:v>
                </c:pt>
                <c:pt idx="10">
                  <c:v>5.4769127064374787</c:v>
                </c:pt>
                <c:pt idx="11">
                  <c:v>5.0144164472859467</c:v>
                </c:pt>
                <c:pt idx="12">
                  <c:v>2.3635074450484521</c:v>
                </c:pt>
                <c:pt idx="13">
                  <c:v>2.803027269451007</c:v>
                </c:pt>
                <c:pt idx="14">
                  <c:v>3.2831288217671442</c:v>
                </c:pt>
                <c:pt idx="15">
                  <c:v>3.3539539390325706</c:v>
                </c:pt>
                <c:pt idx="16">
                  <c:v>2.1114864864864864</c:v>
                </c:pt>
                <c:pt idx="17">
                  <c:v>2.5575447570332477</c:v>
                </c:pt>
                <c:pt idx="18">
                  <c:v>2.893623177921655</c:v>
                </c:pt>
                <c:pt idx="19">
                  <c:v>2.1178962230850686</c:v>
                </c:pt>
                <c:pt idx="20">
                  <c:v>1.7190991920233798</c:v>
                </c:pt>
                <c:pt idx="21">
                  <c:v>1.4135774110329715</c:v>
                </c:pt>
                <c:pt idx="22">
                  <c:v>1.7384652828483016</c:v>
                </c:pt>
                <c:pt idx="23">
                  <c:v>2.0144367970454926</c:v>
                </c:pt>
                <c:pt idx="24">
                  <c:v>0.97770825185764565</c:v>
                </c:pt>
                <c:pt idx="25">
                  <c:v>0.65709498307980418</c:v>
                </c:pt>
                <c:pt idx="26">
                  <c:v>1.6425755584756898</c:v>
                </c:pt>
                <c:pt idx="27">
                  <c:v>4.5602605863192176</c:v>
                </c:pt>
              </c:numCache>
            </c:numRef>
          </c:val>
          <c:smooth val="0"/>
        </c:ser>
        <c:ser>
          <c:idx val="2"/>
          <c:order val="2"/>
          <c:tx>
            <c:v>MCH</c:v>
          </c:tx>
          <c:spPr>
            <a:ln>
              <a:prstDash val="sysDash"/>
            </a:ln>
          </c:spPr>
          <c:marker>
            <c:symbol val="none"/>
          </c:marker>
          <c:cat>
            <c:strRef>
              <c:f>'CDI from July 2009'!$A$136:$A$163</c:f>
              <c:strCache>
                <c:ptCount val="28"/>
                <c:pt idx="0">
                  <c:v>Q3 2009</c:v>
                </c:pt>
                <c:pt idx="1">
                  <c:v>Q4 2009</c:v>
                </c:pt>
                <c:pt idx="2">
                  <c:v>Q1 2010</c:v>
                </c:pt>
                <c:pt idx="3">
                  <c:v>Q2 2010</c:v>
                </c:pt>
                <c:pt idx="4">
                  <c:v>Q3 2010</c:v>
                </c:pt>
                <c:pt idx="5">
                  <c:v>Q4 2010</c:v>
                </c:pt>
                <c:pt idx="6">
                  <c:v>Q1 2011</c:v>
                </c:pt>
                <c:pt idx="7">
                  <c:v>Q2 2011</c:v>
                </c:pt>
                <c:pt idx="8">
                  <c:v>Q3 2011</c:v>
                </c:pt>
                <c:pt idx="9">
                  <c:v>Q4 2011</c:v>
                </c:pt>
                <c:pt idx="10">
                  <c:v>Q1 2012</c:v>
                </c:pt>
                <c:pt idx="11">
                  <c:v>Q2 2012</c:v>
                </c:pt>
                <c:pt idx="12">
                  <c:v>Q3 2012</c:v>
                </c:pt>
                <c:pt idx="13">
                  <c:v>Q4 2012 </c:v>
                </c:pt>
                <c:pt idx="14">
                  <c:v>Q1 2013</c:v>
                </c:pt>
                <c:pt idx="15">
                  <c:v>Q2 2013</c:v>
                </c:pt>
                <c:pt idx="16">
                  <c:v>Q3 2013</c:v>
                </c:pt>
                <c:pt idx="17">
                  <c:v>Q4 2013</c:v>
                </c:pt>
                <c:pt idx="18">
                  <c:v>Q1 2014</c:v>
                </c:pt>
                <c:pt idx="19">
                  <c:v>Q2 2014</c:v>
                </c:pt>
                <c:pt idx="20">
                  <c:v>Q3 2014</c:v>
                </c:pt>
                <c:pt idx="21">
                  <c:v>Q4 2014</c:v>
                </c:pt>
                <c:pt idx="22">
                  <c:v>Q1 2015</c:v>
                </c:pt>
                <c:pt idx="23">
                  <c:v>Q2 2015</c:v>
                </c:pt>
                <c:pt idx="24">
                  <c:v>Q3 2015</c:v>
                </c:pt>
                <c:pt idx="25">
                  <c:v>Q4 2015</c:v>
                </c:pt>
                <c:pt idx="26">
                  <c:v>Q1 2016</c:v>
                </c:pt>
                <c:pt idx="27">
                  <c:v>Q2 2016</c:v>
                </c:pt>
              </c:strCache>
            </c:strRef>
          </c:cat>
          <c:val>
            <c:numRef>
              <c:f>'CDI from July 2009'!$K$136:$K$163</c:f>
              <c:numCache>
                <c:formatCode>0.0</c:formatCode>
                <c:ptCount val="28"/>
                <c:pt idx="0">
                  <c:v>1.5696123057604772</c:v>
                </c:pt>
                <c:pt idx="1">
                  <c:v>1.7196904557179709</c:v>
                </c:pt>
                <c:pt idx="2">
                  <c:v>3.497726477789437</c:v>
                </c:pt>
                <c:pt idx="3">
                  <c:v>1.8953752843062925</c:v>
                </c:pt>
                <c:pt idx="4">
                  <c:v>5.0684237202230102</c:v>
                </c:pt>
                <c:pt idx="5">
                  <c:v>4.8677592081778354</c:v>
                </c:pt>
                <c:pt idx="6">
                  <c:v>3.33889816360601</c:v>
                </c:pt>
                <c:pt idx="7">
                  <c:v>4.8614487117160916</c:v>
                </c:pt>
                <c:pt idx="8">
                  <c:v>10.771992818671453</c:v>
                </c:pt>
                <c:pt idx="9">
                  <c:v>11.505273250239693</c:v>
                </c:pt>
                <c:pt idx="10">
                  <c:v>4.0241448692152915</c:v>
                </c:pt>
                <c:pt idx="11">
                  <c:v>7.296607077708865</c:v>
                </c:pt>
                <c:pt idx="12">
                  <c:v>5.1194539249146755</c:v>
                </c:pt>
                <c:pt idx="13">
                  <c:v>7.9475461951122588</c:v>
                </c:pt>
                <c:pt idx="14">
                  <c:v>7.704160246533128</c:v>
                </c:pt>
                <c:pt idx="15">
                  <c:v>9.7675327212346161</c:v>
                </c:pt>
                <c:pt idx="16">
                  <c:v>7.0497003877335214</c:v>
                </c:pt>
                <c:pt idx="17">
                  <c:v>7.3246658121223218</c:v>
                </c:pt>
                <c:pt idx="18">
                  <c:v>12.489592006661116</c:v>
                </c:pt>
                <c:pt idx="19">
                  <c:v>7.3206442166910692</c:v>
                </c:pt>
                <c:pt idx="20">
                  <c:v>3.359650596337981</c:v>
                </c:pt>
                <c:pt idx="21">
                  <c:v>7.0721357850070721</c:v>
                </c:pt>
                <c:pt idx="22">
                  <c:v>3.5925992455541587</c:v>
                </c:pt>
                <c:pt idx="23">
                  <c:v>1.8050541516245486</c:v>
                </c:pt>
                <c:pt idx="24">
                  <c:v>6.541291905151267</c:v>
                </c:pt>
                <c:pt idx="25">
                  <c:v>1.7905102954341987</c:v>
                </c:pt>
                <c:pt idx="26">
                  <c:v>4.1762372102735439</c:v>
                </c:pt>
                <c:pt idx="27">
                  <c:v>9.1844232182218963</c:v>
                </c:pt>
              </c:numCache>
            </c:numRef>
          </c:val>
          <c:smooth val="0"/>
        </c:ser>
        <c:ser>
          <c:idx val="3"/>
          <c:order val="3"/>
          <c:tx>
            <c:v>NWRH</c:v>
          </c:tx>
          <c:spPr>
            <a:ln>
              <a:prstDash val="lgDash"/>
            </a:ln>
          </c:spPr>
          <c:marker>
            <c:symbol val="none"/>
          </c:marker>
          <c:cat>
            <c:strRef>
              <c:f>'CDI from July 2009'!$A$136:$A$163</c:f>
              <c:strCache>
                <c:ptCount val="28"/>
                <c:pt idx="0">
                  <c:v>Q3 2009</c:v>
                </c:pt>
                <c:pt idx="1">
                  <c:v>Q4 2009</c:v>
                </c:pt>
                <c:pt idx="2">
                  <c:v>Q1 2010</c:v>
                </c:pt>
                <c:pt idx="3">
                  <c:v>Q2 2010</c:v>
                </c:pt>
                <c:pt idx="4">
                  <c:v>Q3 2010</c:v>
                </c:pt>
                <c:pt idx="5">
                  <c:v>Q4 2010</c:v>
                </c:pt>
                <c:pt idx="6">
                  <c:v>Q1 2011</c:v>
                </c:pt>
                <c:pt idx="7">
                  <c:v>Q2 2011</c:v>
                </c:pt>
                <c:pt idx="8">
                  <c:v>Q3 2011</c:v>
                </c:pt>
                <c:pt idx="9">
                  <c:v>Q4 2011</c:v>
                </c:pt>
                <c:pt idx="10">
                  <c:v>Q1 2012</c:v>
                </c:pt>
                <c:pt idx="11">
                  <c:v>Q2 2012</c:v>
                </c:pt>
                <c:pt idx="12">
                  <c:v>Q3 2012</c:v>
                </c:pt>
                <c:pt idx="13">
                  <c:v>Q4 2012 </c:v>
                </c:pt>
                <c:pt idx="14">
                  <c:v>Q1 2013</c:v>
                </c:pt>
                <c:pt idx="15">
                  <c:v>Q2 2013</c:v>
                </c:pt>
                <c:pt idx="16">
                  <c:v>Q3 2013</c:v>
                </c:pt>
                <c:pt idx="17">
                  <c:v>Q4 2013</c:v>
                </c:pt>
                <c:pt idx="18">
                  <c:v>Q1 2014</c:v>
                </c:pt>
                <c:pt idx="19">
                  <c:v>Q2 2014</c:v>
                </c:pt>
                <c:pt idx="20">
                  <c:v>Q3 2014</c:v>
                </c:pt>
                <c:pt idx="21">
                  <c:v>Q4 2014</c:v>
                </c:pt>
                <c:pt idx="22">
                  <c:v>Q1 2015</c:v>
                </c:pt>
                <c:pt idx="23">
                  <c:v>Q2 2015</c:v>
                </c:pt>
                <c:pt idx="24">
                  <c:v>Q3 2015</c:v>
                </c:pt>
                <c:pt idx="25">
                  <c:v>Q4 2015</c:v>
                </c:pt>
                <c:pt idx="26">
                  <c:v>Q1 2016</c:v>
                </c:pt>
                <c:pt idx="27">
                  <c:v>Q2 2016</c:v>
                </c:pt>
              </c:strCache>
            </c:strRef>
          </c:cat>
          <c:val>
            <c:numRef>
              <c:f>'CDI from July 2009'!$O$136:$O$163</c:f>
              <c:numCache>
                <c:formatCode>0.0</c:formatCode>
                <c:ptCount val="28"/>
                <c:pt idx="0">
                  <c:v>1.0822510822510822</c:v>
                </c:pt>
                <c:pt idx="1">
                  <c:v>5.8078754791497262</c:v>
                </c:pt>
                <c:pt idx="2">
                  <c:v>3.1081641110650642</c:v>
                </c:pt>
                <c:pt idx="3">
                  <c:v>5.6223996401664227</c:v>
                </c:pt>
                <c:pt idx="4">
                  <c:v>1.0945709281961471</c:v>
                </c:pt>
                <c:pt idx="5">
                  <c:v>3.1240237425804436</c:v>
                </c:pt>
                <c:pt idx="6">
                  <c:v>2.4012486492976346</c:v>
                </c:pt>
                <c:pt idx="7">
                  <c:v>2.2067747986317996</c:v>
                </c:pt>
                <c:pt idx="8">
                  <c:v>3.1779661016949152</c:v>
                </c:pt>
                <c:pt idx="9">
                  <c:v>9.3534432362913584</c:v>
                </c:pt>
                <c:pt idx="10">
                  <c:v>3.863987635239567</c:v>
                </c:pt>
                <c:pt idx="11">
                  <c:v>5.1579626047711153</c:v>
                </c:pt>
                <c:pt idx="12">
                  <c:v>7.2665617052198135</c:v>
                </c:pt>
                <c:pt idx="13">
                  <c:v>12.342631449024932</c:v>
                </c:pt>
                <c:pt idx="14">
                  <c:v>8.5731781996325775</c:v>
                </c:pt>
                <c:pt idx="15">
                  <c:v>13.248223533662532</c:v>
                </c:pt>
                <c:pt idx="16">
                  <c:v>12.542759407069555</c:v>
                </c:pt>
                <c:pt idx="17">
                  <c:v>7.3466389126974407</c:v>
                </c:pt>
                <c:pt idx="18">
                  <c:v>13.217976447969237</c:v>
                </c:pt>
                <c:pt idx="19">
                  <c:v>6.142506142506142</c:v>
                </c:pt>
                <c:pt idx="20">
                  <c:v>4.1126876413736371</c:v>
                </c:pt>
                <c:pt idx="21">
                  <c:v>5.9376546264225629</c:v>
                </c:pt>
                <c:pt idx="22">
                  <c:v>5.2921253175275194</c:v>
                </c:pt>
                <c:pt idx="23">
                  <c:v>2.9750099166997224</c:v>
                </c:pt>
                <c:pt idx="24">
                  <c:v>7.0259961858877844</c:v>
                </c:pt>
                <c:pt idx="25">
                  <c:v>10.610079575596815</c:v>
                </c:pt>
                <c:pt idx="26">
                  <c:v>5.2742616033755274</c:v>
                </c:pt>
                <c:pt idx="27">
                  <c:v>3.9192631785224377</c:v>
                </c:pt>
              </c:numCache>
            </c:numRef>
          </c:val>
          <c:smooth val="0"/>
        </c:ser>
        <c:dLbls>
          <c:showLegendKey val="0"/>
          <c:showVal val="0"/>
          <c:showCatName val="0"/>
          <c:showSerName val="0"/>
          <c:showPercent val="0"/>
          <c:showBubbleSize val="0"/>
        </c:dLbls>
        <c:marker val="1"/>
        <c:smooth val="0"/>
        <c:axId val="341080576"/>
        <c:axId val="369551040"/>
      </c:lineChart>
      <c:catAx>
        <c:axId val="341080576"/>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369551040"/>
        <c:crosses val="autoZero"/>
        <c:auto val="1"/>
        <c:lblAlgn val="ctr"/>
        <c:lblOffset val="100"/>
        <c:tickLblSkip val="2"/>
        <c:noMultiLvlLbl val="0"/>
      </c:catAx>
      <c:valAx>
        <c:axId val="369551040"/>
        <c:scaling>
          <c:orientation val="minMax"/>
          <c:max val="16"/>
        </c:scaling>
        <c:delete val="0"/>
        <c:axPos val="l"/>
        <c:majorGridlines>
          <c:spPr>
            <a:ln>
              <a:noFill/>
            </a:ln>
          </c:spPr>
        </c:majorGridlines>
        <c:title>
          <c:tx>
            <c:rich>
              <a:bodyPr rot="-5400000" vert="horz"/>
              <a:lstStyle/>
              <a:p>
                <a:pPr>
                  <a:defRPr b="0"/>
                </a:pPr>
                <a:r>
                  <a:rPr lang="en-US" b="0"/>
                  <a:t>Rate/10 000 patient days</a:t>
                </a:r>
              </a:p>
            </c:rich>
          </c:tx>
          <c:layout>
            <c:manualLayout>
              <c:xMode val="edge"/>
              <c:yMode val="edge"/>
              <c:x val="5.2610564348767935E-3"/>
              <c:y val="0.26457293139260302"/>
            </c:manualLayout>
          </c:layout>
          <c:overlay val="0"/>
        </c:title>
        <c:numFmt formatCode="0" sourceLinked="0"/>
        <c:majorTickMark val="out"/>
        <c:minorTickMark val="none"/>
        <c:tickLblPos val="nextTo"/>
        <c:crossAx val="341080576"/>
        <c:crosses val="autoZero"/>
        <c:crossBetween val="between"/>
        <c:minorUnit val="0.4"/>
      </c:valAx>
    </c:plotArea>
    <c:legend>
      <c:legendPos val="t"/>
      <c:overlay val="0"/>
    </c:legend>
    <c:plotVisOnly val="1"/>
    <c:dispBlanksAs val="gap"/>
    <c:showDLblsOverMax val="0"/>
  </c:chart>
  <c:spPr>
    <a:ln w="12700">
      <a:solidFill>
        <a:sysClr val="windowText" lastClr="000000"/>
      </a:solidFill>
    </a:ln>
  </c:spPr>
  <c:txPr>
    <a:bodyPr/>
    <a:lstStyle/>
    <a:p>
      <a:pPr>
        <a:defRPr>
          <a:latin typeface="Gill Sans MT" panose="020B0502020104020203"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200"/>
            </a:pPr>
            <a:r>
              <a:rPr lang="en-US" sz="1200"/>
              <a:t>Tasmanian acute public hospitals.</a:t>
            </a:r>
          </a:p>
          <a:p>
            <a:pPr>
              <a:defRPr sz="1200"/>
            </a:pPr>
            <a:r>
              <a:rPr lang="en-US" sz="1200"/>
              <a:t>Hospital identified CDI rate by</a:t>
            </a:r>
            <a:r>
              <a:rPr lang="en-US" sz="1200" baseline="0"/>
              <a:t> financial year</a:t>
            </a:r>
            <a:endParaRPr lang="en-US" sz="1200"/>
          </a:p>
        </c:rich>
      </c:tx>
      <c:overlay val="0"/>
    </c:title>
    <c:autoTitleDeleted val="0"/>
    <c:plotArea>
      <c:layout>
        <c:manualLayout>
          <c:layoutTarget val="inner"/>
          <c:xMode val="edge"/>
          <c:yMode val="edge"/>
          <c:x val="9.6387326388889527E-2"/>
          <c:y val="0.25992800395491128"/>
          <c:w val="0.8793592013888949"/>
          <c:h val="0.64792374268029018"/>
        </c:manualLayout>
      </c:layout>
      <c:lineChart>
        <c:grouping val="standard"/>
        <c:varyColors val="0"/>
        <c:ser>
          <c:idx val="0"/>
          <c:order val="0"/>
          <c:tx>
            <c:v>RHH</c:v>
          </c:tx>
          <c:cat>
            <c:strRef>
              <c:f>'CDI from July 2009'!$A$185:$A$191</c:f>
              <c:strCache>
                <c:ptCount val="7"/>
                <c:pt idx="0">
                  <c:v>2009 - 10</c:v>
                </c:pt>
                <c:pt idx="1">
                  <c:v>2010 - 11</c:v>
                </c:pt>
                <c:pt idx="2">
                  <c:v>2011 - 12</c:v>
                </c:pt>
                <c:pt idx="3">
                  <c:v>2012 - 13</c:v>
                </c:pt>
                <c:pt idx="4">
                  <c:v>2013 - 14</c:v>
                </c:pt>
                <c:pt idx="5">
                  <c:v>2014 - 15</c:v>
                </c:pt>
                <c:pt idx="6">
                  <c:v>2015 - 16</c:v>
                </c:pt>
              </c:strCache>
            </c:strRef>
          </c:cat>
          <c:val>
            <c:numRef>
              <c:f>'CDI from July 2009'!$C$185:$C$191</c:f>
              <c:numCache>
                <c:formatCode>0.0</c:formatCode>
                <c:ptCount val="7"/>
                <c:pt idx="0">
                  <c:v>4.0070418834410635</c:v>
                </c:pt>
                <c:pt idx="1">
                  <c:v>6.6656001706393653</c:v>
                </c:pt>
                <c:pt idx="2">
                  <c:v>8.0804902640818632</c:v>
                </c:pt>
                <c:pt idx="3">
                  <c:v>7.8914253620457995</c:v>
                </c:pt>
                <c:pt idx="4">
                  <c:v>6.4396007447538253</c:v>
                </c:pt>
                <c:pt idx="5">
                  <c:v>6.5496840317263816</c:v>
                </c:pt>
                <c:pt idx="6">
                  <c:v>7.4559453995383045</c:v>
                </c:pt>
              </c:numCache>
            </c:numRef>
          </c:val>
          <c:smooth val="0"/>
        </c:ser>
        <c:ser>
          <c:idx val="1"/>
          <c:order val="1"/>
          <c:tx>
            <c:v>LGH</c:v>
          </c:tx>
          <c:spPr>
            <a:ln>
              <a:prstDash val="sysDot"/>
            </a:ln>
          </c:spPr>
          <c:cat>
            <c:strRef>
              <c:f>'CDI from July 2009'!$A$185:$A$191</c:f>
              <c:strCache>
                <c:ptCount val="7"/>
                <c:pt idx="0">
                  <c:v>2009 - 10</c:v>
                </c:pt>
                <c:pt idx="1">
                  <c:v>2010 - 11</c:v>
                </c:pt>
                <c:pt idx="2">
                  <c:v>2011 - 12</c:v>
                </c:pt>
                <c:pt idx="3">
                  <c:v>2012 - 13</c:v>
                </c:pt>
                <c:pt idx="4">
                  <c:v>2013 - 14</c:v>
                </c:pt>
                <c:pt idx="5">
                  <c:v>2014 - 15</c:v>
                </c:pt>
                <c:pt idx="6">
                  <c:v>2015 - 16</c:v>
                </c:pt>
              </c:strCache>
            </c:strRef>
          </c:cat>
          <c:val>
            <c:numRef>
              <c:f>'CDI from July 2009'!$G$185:$G$191</c:f>
              <c:numCache>
                <c:formatCode>0.0</c:formatCode>
                <c:ptCount val="7"/>
                <c:pt idx="0">
                  <c:v>3.1977728452654151</c:v>
                </c:pt>
                <c:pt idx="1">
                  <c:v>1.9861724565170102</c:v>
                </c:pt>
                <c:pt idx="2">
                  <c:v>5.2294546566813676</c:v>
                </c:pt>
                <c:pt idx="3">
                  <c:v>2.9539188656951554</c:v>
                </c:pt>
                <c:pt idx="4">
                  <c:v>2.4158263468231884</c:v>
                </c:pt>
                <c:pt idx="5">
                  <c:v>1.7252087502587812</c:v>
                </c:pt>
                <c:pt idx="6">
                  <c:v>1.9630135529727388</c:v>
                </c:pt>
              </c:numCache>
            </c:numRef>
          </c:val>
          <c:smooth val="0"/>
        </c:ser>
        <c:ser>
          <c:idx val="2"/>
          <c:order val="2"/>
          <c:tx>
            <c:v>MCH</c:v>
          </c:tx>
          <c:spPr>
            <a:ln>
              <a:prstDash val="dash"/>
            </a:ln>
          </c:spPr>
          <c:cat>
            <c:strRef>
              <c:f>'CDI from July 2009'!$A$185:$A$191</c:f>
              <c:strCache>
                <c:ptCount val="7"/>
                <c:pt idx="0">
                  <c:v>2009 - 10</c:v>
                </c:pt>
                <c:pt idx="1">
                  <c:v>2010 - 11</c:v>
                </c:pt>
                <c:pt idx="2">
                  <c:v>2011 - 12</c:v>
                </c:pt>
                <c:pt idx="3">
                  <c:v>2012 - 13</c:v>
                </c:pt>
                <c:pt idx="4">
                  <c:v>2013 - 14</c:v>
                </c:pt>
                <c:pt idx="5">
                  <c:v>2014 - 15</c:v>
                </c:pt>
                <c:pt idx="6">
                  <c:v>2015 - 16</c:v>
                </c:pt>
              </c:strCache>
            </c:strRef>
          </c:cat>
          <c:val>
            <c:numRef>
              <c:f>'CDI from July 2009'!$K$185:$K$191</c:f>
              <c:numCache>
                <c:formatCode>0.0</c:formatCode>
                <c:ptCount val="7"/>
                <c:pt idx="0">
                  <c:v>2.1570319240724762</c:v>
                </c:pt>
                <c:pt idx="1">
                  <c:v>4.5373922369343731</c:v>
                </c:pt>
                <c:pt idx="2">
                  <c:v>8.475773414324058</c:v>
                </c:pt>
                <c:pt idx="3">
                  <c:v>7.5457460856442173</c:v>
                </c:pt>
                <c:pt idx="4">
                  <c:v>8.410035976265009</c:v>
                </c:pt>
                <c:pt idx="5">
                  <c:v>3.9619651347068148</c:v>
                </c:pt>
                <c:pt idx="6">
                  <c:v>5.4712077691150327</c:v>
                </c:pt>
              </c:numCache>
            </c:numRef>
          </c:val>
          <c:smooth val="0"/>
        </c:ser>
        <c:ser>
          <c:idx val="3"/>
          <c:order val="3"/>
          <c:tx>
            <c:v>NWRH</c:v>
          </c:tx>
          <c:spPr>
            <a:ln>
              <a:prstDash val="lgDash"/>
            </a:ln>
          </c:spPr>
          <c:cat>
            <c:strRef>
              <c:f>'CDI from July 2009'!$A$185:$A$191</c:f>
              <c:strCache>
                <c:ptCount val="7"/>
                <c:pt idx="0">
                  <c:v>2009 - 10</c:v>
                </c:pt>
                <c:pt idx="1">
                  <c:v>2010 - 11</c:v>
                </c:pt>
                <c:pt idx="2">
                  <c:v>2011 - 12</c:v>
                </c:pt>
                <c:pt idx="3">
                  <c:v>2012 - 13</c:v>
                </c:pt>
                <c:pt idx="4">
                  <c:v>2013 - 14</c:v>
                </c:pt>
                <c:pt idx="5">
                  <c:v>2014 - 15</c:v>
                </c:pt>
                <c:pt idx="6">
                  <c:v>2015 - 16</c:v>
                </c:pt>
              </c:strCache>
            </c:strRef>
          </c:cat>
          <c:val>
            <c:numRef>
              <c:f>'CDI from July 2009'!$O$185:$O$191</c:f>
              <c:numCache>
                <c:formatCode>0.0</c:formatCode>
                <c:ptCount val="7"/>
                <c:pt idx="0">
                  <c:v>3.8467879320767158</c:v>
                </c:pt>
                <c:pt idx="1">
                  <c:v>2.2141651213639255</c:v>
                </c:pt>
                <c:pt idx="2">
                  <c:v>5.3712103127238011</c:v>
                </c:pt>
                <c:pt idx="3">
                  <c:v>10.357327809425167</c:v>
                </c:pt>
                <c:pt idx="4">
                  <c:v>9.7067976132697638</c:v>
                </c:pt>
                <c:pt idx="5">
                  <c:v>4.5728221934303788</c:v>
                </c:pt>
                <c:pt idx="6">
                  <c:v>6.6540410503147873</c:v>
                </c:pt>
              </c:numCache>
            </c:numRef>
          </c:val>
          <c:smooth val="0"/>
        </c:ser>
        <c:dLbls>
          <c:showLegendKey val="0"/>
          <c:showVal val="0"/>
          <c:showCatName val="0"/>
          <c:showSerName val="0"/>
          <c:showPercent val="0"/>
          <c:showBubbleSize val="0"/>
        </c:dLbls>
        <c:marker val="1"/>
        <c:smooth val="0"/>
        <c:axId val="403407872"/>
        <c:axId val="369552768"/>
      </c:lineChart>
      <c:catAx>
        <c:axId val="403407872"/>
        <c:scaling>
          <c:orientation val="minMax"/>
        </c:scaling>
        <c:delete val="0"/>
        <c:axPos val="b"/>
        <c:numFmt formatCode="General" sourceLinked="1"/>
        <c:majorTickMark val="out"/>
        <c:minorTickMark val="none"/>
        <c:tickLblPos val="nextTo"/>
        <c:crossAx val="369552768"/>
        <c:crosses val="autoZero"/>
        <c:auto val="1"/>
        <c:lblAlgn val="ctr"/>
        <c:lblOffset val="100"/>
        <c:noMultiLvlLbl val="0"/>
      </c:catAx>
      <c:valAx>
        <c:axId val="369552768"/>
        <c:scaling>
          <c:orientation val="minMax"/>
          <c:max val="14"/>
        </c:scaling>
        <c:delete val="0"/>
        <c:axPos val="l"/>
        <c:title>
          <c:tx>
            <c:rich>
              <a:bodyPr rot="-5400000" vert="horz"/>
              <a:lstStyle/>
              <a:p>
                <a:pPr>
                  <a:defRPr b="0"/>
                </a:pPr>
                <a:r>
                  <a:rPr lang="en-US" b="0"/>
                  <a:t>Rate per 10 000 patient days</a:t>
                </a:r>
              </a:p>
            </c:rich>
          </c:tx>
          <c:overlay val="0"/>
        </c:title>
        <c:numFmt formatCode="0" sourceLinked="0"/>
        <c:majorTickMark val="out"/>
        <c:minorTickMark val="none"/>
        <c:tickLblPos val="nextTo"/>
        <c:crossAx val="403407872"/>
        <c:crosses val="autoZero"/>
        <c:crossBetween val="between"/>
      </c:valAx>
    </c:plotArea>
    <c:legend>
      <c:legendPos val="t"/>
      <c:overlay val="0"/>
    </c:legend>
    <c:plotVisOnly val="1"/>
    <c:dispBlanksAs val="gap"/>
    <c:showDLblsOverMax val="0"/>
  </c:chart>
  <c:txPr>
    <a:bodyPr/>
    <a:lstStyle/>
    <a:p>
      <a:pPr>
        <a:defRPr>
          <a:latin typeface="Gill Sans MT"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200"/>
            </a:pPr>
            <a:r>
              <a:rPr lang="en-US" sz="1200"/>
              <a:t>Tasmanian acute public hospitals</a:t>
            </a:r>
          </a:p>
          <a:p>
            <a:pPr>
              <a:defRPr sz="1200"/>
            </a:pPr>
            <a:r>
              <a:rPr lang="en-US" sz="1200"/>
              <a:t>HCA - HCF CDI rate by financial year</a:t>
            </a:r>
          </a:p>
        </c:rich>
      </c:tx>
      <c:overlay val="0"/>
    </c:title>
    <c:autoTitleDeleted val="0"/>
    <c:plotArea>
      <c:layout>
        <c:manualLayout>
          <c:layoutTarget val="inner"/>
          <c:xMode val="edge"/>
          <c:yMode val="edge"/>
          <c:x val="0.1013534630485239"/>
          <c:y val="0.22855709876543209"/>
          <c:w val="0.87440411270905183"/>
          <c:h val="0.67623888888888883"/>
        </c:manualLayout>
      </c:layout>
      <c:lineChart>
        <c:grouping val="standard"/>
        <c:varyColors val="0"/>
        <c:ser>
          <c:idx val="0"/>
          <c:order val="0"/>
          <c:tx>
            <c:v>RHH</c:v>
          </c:tx>
          <c:cat>
            <c:strRef>
              <c:f>'CDI from July 2009'!$A$185:$A$191</c:f>
              <c:strCache>
                <c:ptCount val="7"/>
                <c:pt idx="0">
                  <c:v>2009 - 10</c:v>
                </c:pt>
                <c:pt idx="1">
                  <c:v>2010 - 11</c:v>
                </c:pt>
                <c:pt idx="2">
                  <c:v>2011 - 12</c:v>
                </c:pt>
                <c:pt idx="3">
                  <c:v>2012 - 13</c:v>
                </c:pt>
                <c:pt idx="4">
                  <c:v>2013 - 14</c:v>
                </c:pt>
                <c:pt idx="5">
                  <c:v>2014 - 15</c:v>
                </c:pt>
                <c:pt idx="6">
                  <c:v>2015 - 16</c:v>
                </c:pt>
              </c:strCache>
            </c:strRef>
          </c:cat>
          <c:val>
            <c:numRef>
              <c:f>'CDI from July 2009'!$D$185:$D$191</c:f>
              <c:numCache>
                <c:formatCode>0.0</c:formatCode>
                <c:ptCount val="7"/>
                <c:pt idx="0">
                  <c:v>2.4305008145462188</c:v>
                </c:pt>
                <c:pt idx="1">
                  <c:v>4.6659201194475548</c:v>
                </c:pt>
                <c:pt idx="2">
                  <c:v>5.0771222013257722</c:v>
                </c:pt>
                <c:pt idx="3">
                  <c:v>4.9765745526414946</c:v>
                </c:pt>
                <c:pt idx="4">
                  <c:v>3.7797656545294194</c:v>
                </c:pt>
                <c:pt idx="5">
                  <c:v>3.6707020397587411</c:v>
                </c:pt>
                <c:pt idx="6">
                  <c:v>4.0864316132084939</c:v>
                </c:pt>
              </c:numCache>
            </c:numRef>
          </c:val>
          <c:smooth val="0"/>
        </c:ser>
        <c:ser>
          <c:idx val="1"/>
          <c:order val="1"/>
          <c:tx>
            <c:v>LGH</c:v>
          </c:tx>
          <c:spPr>
            <a:ln>
              <a:prstDash val="sysDot"/>
            </a:ln>
          </c:spPr>
          <c:cat>
            <c:strRef>
              <c:f>'CDI from July 2009'!$A$185:$A$191</c:f>
              <c:strCache>
                <c:ptCount val="7"/>
                <c:pt idx="0">
                  <c:v>2009 - 10</c:v>
                </c:pt>
                <c:pt idx="1">
                  <c:v>2010 - 11</c:v>
                </c:pt>
                <c:pt idx="2">
                  <c:v>2011 - 12</c:v>
                </c:pt>
                <c:pt idx="3">
                  <c:v>2012 - 13</c:v>
                </c:pt>
                <c:pt idx="4">
                  <c:v>2013 - 14</c:v>
                </c:pt>
                <c:pt idx="5">
                  <c:v>2014 - 15</c:v>
                </c:pt>
                <c:pt idx="6">
                  <c:v>2015 - 16</c:v>
                </c:pt>
              </c:strCache>
            </c:strRef>
          </c:cat>
          <c:val>
            <c:numRef>
              <c:f>'CDI from July 2009'!$H$185:$H$191</c:f>
              <c:numCache>
                <c:formatCode>0.0</c:formatCode>
                <c:ptCount val="7"/>
                <c:pt idx="0">
                  <c:v>1.5988864226327075</c:v>
                </c:pt>
                <c:pt idx="1">
                  <c:v>1.5132742525843887</c:v>
                </c:pt>
                <c:pt idx="2">
                  <c:v>3.0587376293796682</c:v>
                </c:pt>
                <c:pt idx="3">
                  <c:v>1.5754233950374164</c:v>
                </c:pt>
                <c:pt idx="4">
                  <c:v>0.98422554870574352</c:v>
                </c:pt>
                <c:pt idx="5">
                  <c:v>0.86260437512939059</c:v>
                </c:pt>
                <c:pt idx="6">
                  <c:v>1.2268834706079617</c:v>
                </c:pt>
              </c:numCache>
            </c:numRef>
          </c:val>
          <c:smooth val="0"/>
        </c:ser>
        <c:ser>
          <c:idx val="2"/>
          <c:order val="2"/>
          <c:tx>
            <c:v>MCH</c:v>
          </c:tx>
          <c:spPr>
            <a:ln>
              <a:prstDash val="dash"/>
            </a:ln>
          </c:spPr>
          <c:cat>
            <c:strRef>
              <c:f>'CDI from July 2009'!$A$185:$A$191</c:f>
              <c:strCache>
                <c:ptCount val="7"/>
                <c:pt idx="0">
                  <c:v>2009 - 10</c:v>
                </c:pt>
                <c:pt idx="1">
                  <c:v>2010 - 11</c:v>
                </c:pt>
                <c:pt idx="2">
                  <c:v>2011 - 12</c:v>
                </c:pt>
                <c:pt idx="3">
                  <c:v>2012 - 13</c:v>
                </c:pt>
                <c:pt idx="4">
                  <c:v>2013 - 14</c:v>
                </c:pt>
                <c:pt idx="5">
                  <c:v>2014 - 15</c:v>
                </c:pt>
                <c:pt idx="6">
                  <c:v>2015 - 16</c:v>
                </c:pt>
              </c:strCache>
            </c:strRef>
          </c:cat>
          <c:val>
            <c:numRef>
              <c:f>'CDI from July 2009'!$L$185:$L$191</c:f>
              <c:numCache>
                <c:formatCode>0.0</c:formatCode>
                <c:ptCount val="7"/>
                <c:pt idx="0">
                  <c:v>0.86281276962899045</c:v>
                </c:pt>
                <c:pt idx="1">
                  <c:v>3.2999216268613618</c:v>
                </c:pt>
                <c:pt idx="2">
                  <c:v>4.237886707162029</c:v>
                </c:pt>
                <c:pt idx="3">
                  <c:v>2.8296547821165818</c:v>
                </c:pt>
                <c:pt idx="4">
                  <c:v>2.3361211045180581</c:v>
                </c:pt>
                <c:pt idx="5">
                  <c:v>2.2010917415037858</c:v>
                </c:pt>
                <c:pt idx="6">
                  <c:v>1.8237359230383439</c:v>
                </c:pt>
              </c:numCache>
            </c:numRef>
          </c:val>
          <c:smooth val="0"/>
        </c:ser>
        <c:ser>
          <c:idx val="3"/>
          <c:order val="3"/>
          <c:tx>
            <c:v>NWRH</c:v>
          </c:tx>
          <c:spPr>
            <a:ln>
              <a:prstDash val="lgDash"/>
            </a:ln>
          </c:spPr>
          <c:cat>
            <c:strRef>
              <c:f>'CDI from July 2009'!$A$185:$A$191</c:f>
              <c:strCache>
                <c:ptCount val="7"/>
                <c:pt idx="0">
                  <c:v>2009 - 10</c:v>
                </c:pt>
                <c:pt idx="1">
                  <c:v>2010 - 11</c:v>
                </c:pt>
                <c:pt idx="2">
                  <c:v>2011 - 12</c:v>
                </c:pt>
                <c:pt idx="3">
                  <c:v>2012 - 13</c:v>
                </c:pt>
                <c:pt idx="4">
                  <c:v>2013 - 14</c:v>
                </c:pt>
                <c:pt idx="5">
                  <c:v>2014 - 15</c:v>
                </c:pt>
                <c:pt idx="6">
                  <c:v>2015 - 16</c:v>
                </c:pt>
              </c:strCache>
            </c:strRef>
          </c:cat>
          <c:val>
            <c:numRef>
              <c:f>'CDI from July 2009'!$P$185:$P$191</c:f>
              <c:numCache>
                <c:formatCode>0.0</c:formatCode>
                <c:ptCount val="7"/>
                <c:pt idx="0">
                  <c:v>1.9233939660383579</c:v>
                </c:pt>
                <c:pt idx="1">
                  <c:v>0.83031192051147218</c:v>
                </c:pt>
                <c:pt idx="2">
                  <c:v>2.0888040105037002</c:v>
                </c:pt>
                <c:pt idx="3">
                  <c:v>3.0462728851250493</c:v>
                </c:pt>
                <c:pt idx="4">
                  <c:v>3.7114226168384388</c:v>
                </c:pt>
                <c:pt idx="5">
                  <c:v>1.2702283870639941</c:v>
                </c:pt>
                <c:pt idx="6">
                  <c:v>1.5355479346880279</c:v>
                </c:pt>
              </c:numCache>
            </c:numRef>
          </c:val>
          <c:smooth val="0"/>
        </c:ser>
        <c:dLbls>
          <c:showLegendKey val="0"/>
          <c:showVal val="0"/>
          <c:showCatName val="0"/>
          <c:showSerName val="0"/>
          <c:showPercent val="0"/>
          <c:showBubbleSize val="0"/>
        </c:dLbls>
        <c:marker val="1"/>
        <c:smooth val="0"/>
        <c:axId val="403408384"/>
        <c:axId val="369554496"/>
      </c:lineChart>
      <c:catAx>
        <c:axId val="403408384"/>
        <c:scaling>
          <c:orientation val="minMax"/>
        </c:scaling>
        <c:delete val="0"/>
        <c:axPos val="b"/>
        <c:numFmt formatCode="General" sourceLinked="1"/>
        <c:majorTickMark val="none"/>
        <c:minorTickMark val="none"/>
        <c:tickLblPos val="nextTo"/>
        <c:crossAx val="369554496"/>
        <c:crosses val="autoZero"/>
        <c:auto val="1"/>
        <c:lblAlgn val="ctr"/>
        <c:lblOffset val="100"/>
        <c:noMultiLvlLbl val="0"/>
      </c:catAx>
      <c:valAx>
        <c:axId val="369554496"/>
        <c:scaling>
          <c:orientation val="minMax"/>
          <c:max val="10"/>
        </c:scaling>
        <c:delete val="0"/>
        <c:axPos val="l"/>
        <c:title>
          <c:tx>
            <c:rich>
              <a:bodyPr rot="-5400000" vert="horz"/>
              <a:lstStyle/>
              <a:p>
                <a:pPr>
                  <a:defRPr b="0"/>
                </a:pPr>
                <a:r>
                  <a:rPr lang="en-US" b="0"/>
                  <a:t>Rate per 10 000 patient days</a:t>
                </a:r>
              </a:p>
            </c:rich>
          </c:tx>
          <c:layout>
            <c:manualLayout>
              <c:xMode val="edge"/>
              <c:yMode val="edge"/>
              <c:x val="2.4242424242424242E-2"/>
              <c:y val="0.26761882716049384"/>
            </c:manualLayout>
          </c:layout>
          <c:overlay val="0"/>
        </c:title>
        <c:numFmt formatCode="0" sourceLinked="0"/>
        <c:majorTickMark val="none"/>
        <c:minorTickMark val="none"/>
        <c:tickLblPos val="nextTo"/>
        <c:crossAx val="403408384"/>
        <c:crosses val="autoZero"/>
        <c:crossBetween val="between"/>
        <c:majorUnit val="2"/>
      </c:valAx>
    </c:plotArea>
    <c:legend>
      <c:legendPos val="t"/>
      <c:overlay val="0"/>
    </c:legend>
    <c:plotVisOnly val="1"/>
    <c:dispBlanksAs val="gap"/>
    <c:showDLblsOverMax val="0"/>
  </c:chart>
  <c:txPr>
    <a:bodyPr/>
    <a:lstStyle/>
    <a:p>
      <a:pPr>
        <a:defRPr>
          <a:latin typeface="Gill Sans MT"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200"/>
            </a:pPr>
            <a:r>
              <a:rPr lang="en-AU" sz="1200"/>
              <a:t>VRE in Tasmania - new isolates identified by quarter</a:t>
            </a:r>
          </a:p>
        </c:rich>
      </c:tx>
      <c:overlay val="0"/>
    </c:title>
    <c:autoTitleDeleted val="0"/>
    <c:plotArea>
      <c:layout>
        <c:manualLayout>
          <c:layoutTarget val="inner"/>
          <c:xMode val="edge"/>
          <c:yMode val="edge"/>
          <c:x val="7.907460190383056E-2"/>
          <c:y val="0.17319506172839505"/>
          <c:w val="0.89678273090023264"/>
          <c:h val="0.73924999999999996"/>
        </c:manualLayout>
      </c:layout>
      <c:barChart>
        <c:barDir val="col"/>
        <c:grouping val="stacked"/>
        <c:varyColors val="0"/>
        <c:ser>
          <c:idx val="0"/>
          <c:order val="0"/>
          <c:tx>
            <c:v>Screening</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Data!$A$27:$A$33</c:f>
              <c:strCache>
                <c:ptCount val="7"/>
                <c:pt idx="0">
                  <c:v>Q4 2014</c:v>
                </c:pt>
                <c:pt idx="1">
                  <c:v>Q1 2015</c:v>
                </c:pt>
                <c:pt idx="2">
                  <c:v>Q2 2015</c:v>
                </c:pt>
                <c:pt idx="3">
                  <c:v>Q3 2015</c:v>
                </c:pt>
                <c:pt idx="4">
                  <c:v>Q4 2015</c:v>
                </c:pt>
                <c:pt idx="5">
                  <c:v>Q1 2016</c:v>
                </c:pt>
                <c:pt idx="6">
                  <c:v>Q2 2016</c:v>
                </c:pt>
              </c:strCache>
            </c:strRef>
          </c:cat>
          <c:val>
            <c:numRef>
              <c:f>Data!$X$27:$X$33</c:f>
              <c:numCache>
                <c:formatCode>0</c:formatCode>
                <c:ptCount val="7"/>
                <c:pt idx="0">
                  <c:v>19</c:v>
                </c:pt>
                <c:pt idx="1">
                  <c:v>27</c:v>
                </c:pt>
                <c:pt idx="2">
                  <c:v>16</c:v>
                </c:pt>
                <c:pt idx="3">
                  <c:v>72</c:v>
                </c:pt>
                <c:pt idx="4">
                  <c:v>70</c:v>
                </c:pt>
                <c:pt idx="5">
                  <c:v>65</c:v>
                </c:pt>
                <c:pt idx="6">
                  <c:v>125</c:v>
                </c:pt>
              </c:numCache>
            </c:numRef>
          </c:val>
        </c:ser>
        <c:ser>
          <c:idx val="1"/>
          <c:order val="1"/>
          <c:tx>
            <c:v>Clinical</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Data!$A$27:$A$33</c:f>
              <c:strCache>
                <c:ptCount val="7"/>
                <c:pt idx="0">
                  <c:v>Q4 2014</c:v>
                </c:pt>
                <c:pt idx="1">
                  <c:v>Q1 2015</c:v>
                </c:pt>
                <c:pt idx="2">
                  <c:v>Q2 2015</c:v>
                </c:pt>
                <c:pt idx="3">
                  <c:v>Q3 2015</c:v>
                </c:pt>
                <c:pt idx="4">
                  <c:v>Q4 2015</c:v>
                </c:pt>
                <c:pt idx="5">
                  <c:v>Q1 2016</c:v>
                </c:pt>
                <c:pt idx="6">
                  <c:v>Q2 2016</c:v>
                </c:pt>
              </c:strCache>
            </c:strRef>
          </c:cat>
          <c:val>
            <c:numRef>
              <c:f>Data!$Y$27:$Y$33</c:f>
              <c:numCache>
                <c:formatCode>0</c:formatCode>
                <c:ptCount val="7"/>
                <c:pt idx="0">
                  <c:v>0</c:v>
                </c:pt>
                <c:pt idx="1">
                  <c:v>9</c:v>
                </c:pt>
                <c:pt idx="2">
                  <c:v>13</c:v>
                </c:pt>
                <c:pt idx="3">
                  <c:v>11</c:v>
                </c:pt>
                <c:pt idx="4">
                  <c:v>12</c:v>
                </c:pt>
                <c:pt idx="5">
                  <c:v>8</c:v>
                </c:pt>
                <c:pt idx="6">
                  <c:v>13</c:v>
                </c:pt>
              </c:numCache>
            </c:numRef>
          </c:val>
        </c:ser>
        <c:dLbls>
          <c:showLegendKey val="0"/>
          <c:showVal val="0"/>
          <c:showCatName val="0"/>
          <c:showSerName val="0"/>
          <c:showPercent val="0"/>
          <c:showBubbleSize val="0"/>
        </c:dLbls>
        <c:gapWidth val="25"/>
        <c:overlap val="100"/>
        <c:axId val="436298752"/>
        <c:axId val="369555648"/>
      </c:barChart>
      <c:catAx>
        <c:axId val="436298752"/>
        <c:scaling>
          <c:orientation val="minMax"/>
        </c:scaling>
        <c:delete val="0"/>
        <c:axPos val="b"/>
        <c:numFmt formatCode="General" sourceLinked="0"/>
        <c:majorTickMark val="none"/>
        <c:minorTickMark val="none"/>
        <c:tickLblPos val="nextTo"/>
        <c:crossAx val="369555648"/>
        <c:crosses val="autoZero"/>
        <c:auto val="1"/>
        <c:lblAlgn val="ctr"/>
        <c:lblOffset val="100"/>
        <c:noMultiLvlLbl val="0"/>
      </c:catAx>
      <c:valAx>
        <c:axId val="369555648"/>
        <c:scaling>
          <c:orientation val="minMax"/>
        </c:scaling>
        <c:delete val="0"/>
        <c:axPos val="l"/>
        <c:majorGridlines>
          <c:spPr>
            <a:ln>
              <a:noFill/>
            </a:ln>
          </c:spPr>
        </c:majorGridlines>
        <c:title>
          <c:tx>
            <c:rich>
              <a:bodyPr rot="-5400000" vert="horz"/>
              <a:lstStyle/>
              <a:p>
                <a:pPr>
                  <a:defRPr b="0"/>
                </a:pPr>
                <a:r>
                  <a:rPr lang="en-US" b="0"/>
                  <a:t>Number of new isolates </a:t>
                </a:r>
              </a:p>
            </c:rich>
          </c:tx>
          <c:layout>
            <c:manualLayout>
              <c:xMode val="edge"/>
              <c:yMode val="edge"/>
              <c:x val="7.2972804892402219E-3"/>
              <c:y val="0.34957623456790121"/>
            </c:manualLayout>
          </c:layout>
          <c:overlay val="0"/>
        </c:title>
        <c:numFmt formatCode="0" sourceLinked="1"/>
        <c:majorTickMark val="none"/>
        <c:minorTickMark val="none"/>
        <c:tickLblPos val="nextTo"/>
        <c:crossAx val="436298752"/>
        <c:crosses val="autoZero"/>
        <c:crossBetween val="between"/>
      </c:valAx>
    </c:plotArea>
    <c:legend>
      <c:legendPos val="t"/>
      <c:overlay val="0"/>
    </c:legend>
    <c:plotVisOnly val="1"/>
    <c:dispBlanksAs val="gap"/>
    <c:showDLblsOverMax val="0"/>
  </c:chart>
  <c:txPr>
    <a:bodyPr/>
    <a:lstStyle/>
    <a:p>
      <a:pPr>
        <a:defRPr>
          <a:latin typeface="Gill Sans MT" panose="020B0502020104020203"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200"/>
            </a:pPr>
            <a:r>
              <a:rPr lang="en-AU" sz="1200"/>
              <a:t>VRE in Tasmania - new isolates identified by financial year</a:t>
            </a:r>
          </a:p>
        </c:rich>
      </c:tx>
      <c:overlay val="0"/>
    </c:title>
    <c:autoTitleDeleted val="0"/>
    <c:plotArea>
      <c:layout>
        <c:manualLayout>
          <c:layoutTarget val="inner"/>
          <c:xMode val="edge"/>
          <c:yMode val="edge"/>
          <c:x val="8.1857025784609377E-2"/>
          <c:y val="0.2221594201861643"/>
          <c:w val="0.88329011009423386"/>
          <c:h val="0.68188691465141082"/>
        </c:manualLayout>
      </c:layout>
      <c:barChart>
        <c:barDir val="col"/>
        <c:grouping val="stacked"/>
        <c:varyColors val="0"/>
        <c:ser>
          <c:idx val="0"/>
          <c:order val="0"/>
          <c:tx>
            <c:strRef>
              <c:f>Data!$X$40</c:f>
              <c:strCache>
                <c:ptCount val="1"/>
                <c:pt idx="0">
                  <c:v>Screening</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Data!$A$41:$A$47</c:f>
              <c:strCache>
                <c:ptCount val="7"/>
                <c:pt idx="0">
                  <c:v>2009-10</c:v>
                </c:pt>
                <c:pt idx="1">
                  <c:v>2010-11</c:v>
                </c:pt>
                <c:pt idx="2">
                  <c:v>2011-12</c:v>
                </c:pt>
                <c:pt idx="3">
                  <c:v>2012-13</c:v>
                </c:pt>
                <c:pt idx="4">
                  <c:v>2013-14</c:v>
                </c:pt>
                <c:pt idx="5">
                  <c:v>2014-15</c:v>
                </c:pt>
                <c:pt idx="6">
                  <c:v>2015-16</c:v>
                </c:pt>
              </c:strCache>
            </c:strRef>
          </c:cat>
          <c:val>
            <c:numRef>
              <c:f>Data!$X$41:$X$47</c:f>
              <c:numCache>
                <c:formatCode>#,##0</c:formatCode>
                <c:ptCount val="7"/>
                <c:pt idx="0" formatCode="0">
                  <c:v>13</c:v>
                </c:pt>
                <c:pt idx="1">
                  <c:v>27</c:v>
                </c:pt>
                <c:pt idx="2">
                  <c:v>21</c:v>
                </c:pt>
                <c:pt idx="3">
                  <c:v>47</c:v>
                </c:pt>
                <c:pt idx="4">
                  <c:v>41</c:v>
                </c:pt>
                <c:pt idx="5">
                  <c:v>70</c:v>
                </c:pt>
                <c:pt idx="6">
                  <c:v>332</c:v>
                </c:pt>
              </c:numCache>
            </c:numRef>
          </c:val>
        </c:ser>
        <c:ser>
          <c:idx val="1"/>
          <c:order val="1"/>
          <c:tx>
            <c:strRef>
              <c:f>Data!$Y$40</c:f>
              <c:strCache>
                <c:ptCount val="1"/>
                <c:pt idx="0">
                  <c:v>Clinical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Data!$A$41:$A$47</c:f>
              <c:strCache>
                <c:ptCount val="7"/>
                <c:pt idx="0">
                  <c:v>2009-10</c:v>
                </c:pt>
                <c:pt idx="1">
                  <c:v>2010-11</c:v>
                </c:pt>
                <c:pt idx="2">
                  <c:v>2011-12</c:v>
                </c:pt>
                <c:pt idx="3">
                  <c:v>2012-13</c:v>
                </c:pt>
                <c:pt idx="4">
                  <c:v>2013-14</c:v>
                </c:pt>
                <c:pt idx="5">
                  <c:v>2014-15</c:v>
                </c:pt>
                <c:pt idx="6">
                  <c:v>2015-16</c:v>
                </c:pt>
              </c:strCache>
            </c:strRef>
          </c:cat>
          <c:val>
            <c:numRef>
              <c:f>Data!$Y$41:$Y$47</c:f>
              <c:numCache>
                <c:formatCode>#,##0</c:formatCode>
                <c:ptCount val="7"/>
                <c:pt idx="0" formatCode="General">
                  <c:v>4</c:v>
                </c:pt>
                <c:pt idx="1">
                  <c:v>6</c:v>
                </c:pt>
                <c:pt idx="2">
                  <c:v>4</c:v>
                </c:pt>
                <c:pt idx="3">
                  <c:v>6</c:v>
                </c:pt>
                <c:pt idx="4">
                  <c:v>8</c:v>
                </c:pt>
                <c:pt idx="5">
                  <c:v>22</c:v>
                </c:pt>
                <c:pt idx="6">
                  <c:v>44</c:v>
                </c:pt>
              </c:numCache>
            </c:numRef>
          </c:val>
        </c:ser>
        <c:dLbls>
          <c:showLegendKey val="0"/>
          <c:showVal val="0"/>
          <c:showCatName val="0"/>
          <c:showSerName val="0"/>
          <c:showPercent val="0"/>
          <c:showBubbleSize val="0"/>
        </c:dLbls>
        <c:gapWidth val="55"/>
        <c:overlap val="100"/>
        <c:axId val="436299776"/>
        <c:axId val="372776960"/>
      </c:barChart>
      <c:catAx>
        <c:axId val="436299776"/>
        <c:scaling>
          <c:orientation val="minMax"/>
        </c:scaling>
        <c:delete val="0"/>
        <c:axPos val="b"/>
        <c:numFmt formatCode="General" sourceLinked="0"/>
        <c:majorTickMark val="none"/>
        <c:minorTickMark val="none"/>
        <c:tickLblPos val="nextTo"/>
        <c:crossAx val="372776960"/>
        <c:crosses val="autoZero"/>
        <c:auto val="1"/>
        <c:lblAlgn val="ctr"/>
        <c:lblOffset val="100"/>
        <c:noMultiLvlLbl val="0"/>
      </c:catAx>
      <c:valAx>
        <c:axId val="372776960"/>
        <c:scaling>
          <c:orientation val="minMax"/>
        </c:scaling>
        <c:delete val="0"/>
        <c:axPos val="l"/>
        <c:majorGridlines>
          <c:spPr>
            <a:ln>
              <a:noFill/>
            </a:ln>
          </c:spPr>
        </c:majorGridlines>
        <c:title>
          <c:tx>
            <c:rich>
              <a:bodyPr rot="-5400000" vert="horz"/>
              <a:lstStyle/>
              <a:p>
                <a:pPr>
                  <a:defRPr b="0"/>
                </a:pPr>
                <a:r>
                  <a:rPr lang="en-US" b="0"/>
                  <a:t>Number of new isolates </a:t>
                </a:r>
              </a:p>
            </c:rich>
          </c:tx>
          <c:overlay val="0"/>
        </c:title>
        <c:numFmt formatCode="0" sourceLinked="1"/>
        <c:majorTickMark val="none"/>
        <c:minorTickMark val="none"/>
        <c:tickLblPos val="nextTo"/>
        <c:txPr>
          <a:bodyPr/>
          <a:lstStyle/>
          <a:p>
            <a:pPr>
              <a:defRPr sz="800"/>
            </a:pPr>
            <a:endParaRPr lang="en-US"/>
          </a:p>
        </c:txPr>
        <c:crossAx val="436299776"/>
        <c:crosses val="autoZero"/>
        <c:crossBetween val="between"/>
        <c:majorUnit val="50"/>
      </c:valAx>
    </c:plotArea>
    <c:legend>
      <c:legendPos val="t"/>
      <c:overlay val="0"/>
    </c:legend>
    <c:plotVisOnly val="1"/>
    <c:dispBlanksAs val="gap"/>
    <c:showDLblsOverMax val="0"/>
  </c:chart>
  <c:txPr>
    <a:bodyPr/>
    <a:lstStyle/>
    <a:p>
      <a:pPr>
        <a:defRPr>
          <a:latin typeface="Gill Sans MT" panose="020B0502020104020203"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AU" sz="1200"/>
              <a:t>VRE in Tasmania - genotype by financial year </a:t>
            </a:r>
          </a:p>
        </c:rich>
      </c:tx>
      <c:overlay val="0"/>
    </c:title>
    <c:autoTitleDeleted val="0"/>
    <c:plotArea>
      <c:layout>
        <c:manualLayout>
          <c:layoutTarget val="inner"/>
          <c:xMode val="edge"/>
          <c:yMode val="edge"/>
          <c:x val="8.1555902777777772E-2"/>
          <c:y val="0.13293858024691357"/>
          <c:w val="0.87964843749999999"/>
          <c:h val="0.77185740740740738"/>
        </c:manualLayout>
      </c:layout>
      <c:barChart>
        <c:barDir val="col"/>
        <c:grouping val="stacked"/>
        <c:varyColors val="0"/>
        <c:ser>
          <c:idx val="0"/>
          <c:order val="0"/>
          <c:tx>
            <c:v>VAN B</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Data!$A$41:$A$47</c:f>
              <c:strCache>
                <c:ptCount val="7"/>
                <c:pt idx="0">
                  <c:v>2009-10</c:v>
                </c:pt>
                <c:pt idx="1">
                  <c:v>2010-11</c:v>
                </c:pt>
                <c:pt idx="2">
                  <c:v>2011-12</c:v>
                </c:pt>
                <c:pt idx="3">
                  <c:v>2012-13</c:v>
                </c:pt>
                <c:pt idx="4">
                  <c:v>2013-14</c:v>
                </c:pt>
                <c:pt idx="5">
                  <c:v>2014-15</c:v>
                </c:pt>
                <c:pt idx="6">
                  <c:v>2015-16</c:v>
                </c:pt>
              </c:strCache>
            </c:strRef>
          </c:cat>
          <c:val>
            <c:numRef>
              <c:f>Data!$AH$41:$AH$47</c:f>
              <c:numCache>
                <c:formatCode>#,##0</c:formatCode>
                <c:ptCount val="7"/>
                <c:pt idx="0" formatCode="0">
                  <c:v>17</c:v>
                </c:pt>
                <c:pt idx="1">
                  <c:v>33</c:v>
                </c:pt>
                <c:pt idx="2">
                  <c:v>18</c:v>
                </c:pt>
                <c:pt idx="3">
                  <c:v>49</c:v>
                </c:pt>
                <c:pt idx="4">
                  <c:v>46</c:v>
                </c:pt>
                <c:pt idx="5">
                  <c:v>85</c:v>
                </c:pt>
                <c:pt idx="6">
                  <c:v>338</c:v>
                </c:pt>
              </c:numCache>
            </c:numRef>
          </c:val>
        </c:ser>
        <c:ser>
          <c:idx val="1"/>
          <c:order val="1"/>
          <c:tx>
            <c:v>VAN A</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Data!$A$41:$A$47</c:f>
              <c:strCache>
                <c:ptCount val="7"/>
                <c:pt idx="0">
                  <c:v>2009-10</c:v>
                </c:pt>
                <c:pt idx="1">
                  <c:v>2010-11</c:v>
                </c:pt>
                <c:pt idx="2">
                  <c:v>2011-12</c:v>
                </c:pt>
                <c:pt idx="3">
                  <c:v>2012-13</c:v>
                </c:pt>
                <c:pt idx="4">
                  <c:v>2013-14</c:v>
                </c:pt>
                <c:pt idx="5">
                  <c:v>2014-15</c:v>
                </c:pt>
                <c:pt idx="6">
                  <c:v>2015-16</c:v>
                </c:pt>
              </c:strCache>
            </c:strRef>
          </c:cat>
          <c:val>
            <c:numRef>
              <c:f>Data!$AI$41:$AI$47</c:f>
              <c:numCache>
                <c:formatCode>#,##0</c:formatCode>
                <c:ptCount val="7"/>
                <c:pt idx="0" formatCode="0">
                  <c:v>0</c:v>
                </c:pt>
                <c:pt idx="1">
                  <c:v>0</c:v>
                </c:pt>
                <c:pt idx="2">
                  <c:v>5</c:v>
                </c:pt>
                <c:pt idx="3">
                  <c:v>3</c:v>
                </c:pt>
                <c:pt idx="4">
                  <c:v>2</c:v>
                </c:pt>
                <c:pt idx="5">
                  <c:v>7</c:v>
                </c:pt>
                <c:pt idx="6">
                  <c:v>29</c:v>
                </c:pt>
              </c:numCache>
            </c:numRef>
          </c:val>
        </c:ser>
        <c:ser>
          <c:idx val="2"/>
          <c:order val="2"/>
          <c:tx>
            <c:v>VAN A and B</c:v>
          </c:tx>
          <c:invertIfNegative val="0"/>
          <c:cat>
            <c:strRef>
              <c:f>Data!$A$41:$A$47</c:f>
              <c:strCache>
                <c:ptCount val="7"/>
                <c:pt idx="0">
                  <c:v>2009-10</c:v>
                </c:pt>
                <c:pt idx="1">
                  <c:v>2010-11</c:v>
                </c:pt>
                <c:pt idx="2">
                  <c:v>2011-12</c:v>
                </c:pt>
                <c:pt idx="3">
                  <c:v>2012-13</c:v>
                </c:pt>
                <c:pt idx="4">
                  <c:v>2013-14</c:v>
                </c:pt>
                <c:pt idx="5">
                  <c:v>2014-15</c:v>
                </c:pt>
                <c:pt idx="6">
                  <c:v>2015-16</c:v>
                </c:pt>
              </c:strCache>
            </c:strRef>
          </c:cat>
          <c:val>
            <c:numRef>
              <c:f>Data!$AJ$41:$AJ$47</c:f>
              <c:numCache>
                <c:formatCode>#,##0</c:formatCode>
                <c:ptCount val="7"/>
                <c:pt idx="0" formatCode="0">
                  <c:v>0</c:v>
                </c:pt>
                <c:pt idx="1">
                  <c:v>0</c:v>
                </c:pt>
                <c:pt idx="2">
                  <c:v>1</c:v>
                </c:pt>
                <c:pt idx="3">
                  <c:v>0</c:v>
                </c:pt>
                <c:pt idx="4">
                  <c:v>0</c:v>
                </c:pt>
                <c:pt idx="5">
                  <c:v>0</c:v>
                </c:pt>
                <c:pt idx="6">
                  <c:v>3</c:v>
                </c:pt>
              </c:numCache>
            </c:numRef>
          </c:val>
        </c:ser>
        <c:ser>
          <c:idx val="3"/>
          <c:order val="3"/>
          <c:tx>
            <c:v>Unknown</c:v>
          </c:tx>
          <c:invertIfNegative val="0"/>
          <c:cat>
            <c:strRef>
              <c:f>Data!$A$41:$A$47</c:f>
              <c:strCache>
                <c:ptCount val="7"/>
                <c:pt idx="0">
                  <c:v>2009-10</c:v>
                </c:pt>
                <c:pt idx="1">
                  <c:v>2010-11</c:v>
                </c:pt>
                <c:pt idx="2">
                  <c:v>2011-12</c:v>
                </c:pt>
                <c:pt idx="3">
                  <c:v>2012-13</c:v>
                </c:pt>
                <c:pt idx="4">
                  <c:v>2013-14</c:v>
                </c:pt>
                <c:pt idx="5">
                  <c:v>2014-15</c:v>
                </c:pt>
                <c:pt idx="6">
                  <c:v>2015-16</c:v>
                </c:pt>
              </c:strCache>
            </c:strRef>
          </c:cat>
          <c:val>
            <c:numRef>
              <c:f>Data!$AK$41:$AK$47</c:f>
              <c:numCache>
                <c:formatCode>#,##0</c:formatCode>
                <c:ptCount val="7"/>
                <c:pt idx="0" formatCode="0">
                  <c:v>0</c:v>
                </c:pt>
                <c:pt idx="1">
                  <c:v>0</c:v>
                </c:pt>
                <c:pt idx="2">
                  <c:v>1</c:v>
                </c:pt>
                <c:pt idx="3">
                  <c:v>1</c:v>
                </c:pt>
                <c:pt idx="4">
                  <c:v>1</c:v>
                </c:pt>
                <c:pt idx="5">
                  <c:v>0</c:v>
                </c:pt>
                <c:pt idx="6">
                  <c:v>6</c:v>
                </c:pt>
              </c:numCache>
            </c:numRef>
          </c:val>
        </c:ser>
        <c:dLbls>
          <c:showLegendKey val="0"/>
          <c:showVal val="0"/>
          <c:showCatName val="0"/>
          <c:showSerName val="0"/>
          <c:showPercent val="0"/>
          <c:showBubbleSize val="0"/>
        </c:dLbls>
        <c:gapWidth val="55"/>
        <c:overlap val="100"/>
        <c:axId val="208244736"/>
        <c:axId val="372778688"/>
      </c:barChart>
      <c:catAx>
        <c:axId val="208244736"/>
        <c:scaling>
          <c:orientation val="minMax"/>
        </c:scaling>
        <c:delete val="0"/>
        <c:axPos val="b"/>
        <c:numFmt formatCode="General" sourceLinked="0"/>
        <c:majorTickMark val="out"/>
        <c:minorTickMark val="none"/>
        <c:tickLblPos val="nextTo"/>
        <c:crossAx val="372778688"/>
        <c:crosses val="autoZero"/>
        <c:auto val="1"/>
        <c:lblAlgn val="ctr"/>
        <c:lblOffset val="100"/>
        <c:noMultiLvlLbl val="0"/>
      </c:catAx>
      <c:valAx>
        <c:axId val="372778688"/>
        <c:scaling>
          <c:orientation val="minMax"/>
        </c:scaling>
        <c:delete val="0"/>
        <c:axPos val="l"/>
        <c:majorGridlines>
          <c:spPr>
            <a:ln>
              <a:noFill/>
            </a:ln>
          </c:spPr>
        </c:majorGridlines>
        <c:title>
          <c:tx>
            <c:rich>
              <a:bodyPr rot="-5400000" vert="horz"/>
              <a:lstStyle/>
              <a:p>
                <a:pPr>
                  <a:defRPr b="0"/>
                </a:pPr>
                <a:r>
                  <a:rPr lang="en-US" b="0"/>
                  <a:t>Number of new isolates</a:t>
                </a:r>
              </a:p>
            </c:rich>
          </c:tx>
          <c:overlay val="0"/>
        </c:title>
        <c:numFmt formatCode="0" sourceLinked="1"/>
        <c:majorTickMark val="out"/>
        <c:minorTickMark val="none"/>
        <c:tickLblPos val="nextTo"/>
        <c:crossAx val="208244736"/>
        <c:crosses val="autoZero"/>
        <c:crossBetween val="between"/>
      </c:valAx>
    </c:plotArea>
    <c:legend>
      <c:legendPos val="t"/>
      <c:overlay val="0"/>
    </c:legend>
    <c:plotVisOnly val="1"/>
    <c:dispBlanksAs val="gap"/>
    <c:showDLblsOverMax val="0"/>
  </c:chart>
  <c:txPr>
    <a:bodyPr/>
    <a:lstStyle/>
    <a:p>
      <a:pPr>
        <a:defRPr>
          <a:latin typeface="Gill Sans MT" panose="020B0502020104020203"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AU" sz="1200" b="1"/>
              <a:t>Hand Hygiene Compliance by Moment 
NHHI</a:t>
            </a:r>
            <a:r>
              <a:rPr lang="en-AU" sz="1200" b="1" baseline="0"/>
              <a:t> Audit Two 2016</a:t>
            </a:r>
            <a:endParaRPr lang="en-AU" sz="1200" b="1"/>
          </a:p>
        </c:rich>
      </c:tx>
      <c:layout>
        <c:manualLayout>
          <c:xMode val="edge"/>
          <c:yMode val="edge"/>
          <c:x val="0.26330483069781613"/>
          <c:y val="2.0771902119477461E-2"/>
        </c:manualLayout>
      </c:layout>
      <c:overlay val="0"/>
    </c:title>
    <c:autoTitleDeleted val="0"/>
    <c:plotArea>
      <c:layout>
        <c:manualLayout>
          <c:layoutTarget val="inner"/>
          <c:xMode val="edge"/>
          <c:yMode val="edge"/>
          <c:x val="0.10917212207978168"/>
          <c:y val="0.16946189848214618"/>
          <c:w val="0.86596021778269461"/>
          <c:h val="0.72021306854911693"/>
        </c:manualLayout>
      </c:layout>
      <c:barChart>
        <c:barDir val="col"/>
        <c:grouping val="clustered"/>
        <c:varyColors val="0"/>
        <c:ser>
          <c:idx val="0"/>
          <c:order val="0"/>
          <c:spPr>
            <a:solidFill>
              <a:srgbClr val="004F8C"/>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errBars>
            <c:errBarType val="both"/>
            <c:errValType val="cust"/>
            <c:noEndCap val="0"/>
            <c:plus>
              <c:numRef>
                <c:f>'Mar 2012'!$Y$42:$Y$46</c:f>
              </c:numRef>
            </c:plus>
            <c:minus>
              <c:numRef>
                <c:f>'Mar 2012'!$X$42:$X$46</c:f>
              </c:numRef>
            </c:minus>
          </c:errBars>
          <c:cat>
            <c:strRef>
              <c:f>'Jun 2016'!$M$23:$M$27</c:f>
              <c:strCache>
                <c:ptCount val="5"/>
                <c:pt idx="0">
                  <c:v>Moment 1 </c:v>
                </c:pt>
                <c:pt idx="1">
                  <c:v>Moment 2 </c:v>
                </c:pt>
                <c:pt idx="2">
                  <c:v>Moment 3 </c:v>
                </c:pt>
                <c:pt idx="3">
                  <c:v>Moment 4 </c:v>
                </c:pt>
                <c:pt idx="4">
                  <c:v>Moment 5 </c:v>
                </c:pt>
              </c:strCache>
            </c:strRef>
          </c:cat>
          <c:val>
            <c:numRef>
              <c:f>'Jun 2016'!$P$23:$P$27</c:f>
              <c:numCache>
                <c:formatCode>0%</c:formatCode>
                <c:ptCount val="5"/>
                <c:pt idx="0">
                  <c:v>0.78335579514824794</c:v>
                </c:pt>
                <c:pt idx="1">
                  <c:v>0.7315716272600834</c:v>
                </c:pt>
                <c:pt idx="2">
                  <c:v>0.86790697674418604</c:v>
                </c:pt>
                <c:pt idx="3">
                  <c:v>0.86812173378419921</c:v>
                </c:pt>
                <c:pt idx="4">
                  <c:v>0.73574561403508776</c:v>
                </c:pt>
              </c:numCache>
            </c:numRef>
          </c:val>
        </c:ser>
        <c:dLbls>
          <c:showLegendKey val="0"/>
          <c:showVal val="0"/>
          <c:showCatName val="0"/>
          <c:showSerName val="0"/>
          <c:showPercent val="0"/>
          <c:showBubbleSize val="0"/>
        </c:dLbls>
        <c:gapWidth val="40"/>
        <c:axId val="208245248"/>
        <c:axId val="372780416"/>
      </c:barChart>
      <c:catAx>
        <c:axId val="208245248"/>
        <c:scaling>
          <c:orientation val="minMax"/>
        </c:scaling>
        <c:delete val="0"/>
        <c:axPos val="b"/>
        <c:numFmt formatCode="General" sourceLinked="1"/>
        <c:majorTickMark val="out"/>
        <c:minorTickMark val="none"/>
        <c:tickLblPos val="nextTo"/>
        <c:txPr>
          <a:bodyPr rot="0" vert="horz"/>
          <a:lstStyle/>
          <a:p>
            <a:pPr>
              <a:defRPr sz="1000"/>
            </a:pPr>
            <a:endParaRPr lang="en-US"/>
          </a:p>
        </c:txPr>
        <c:crossAx val="372780416"/>
        <c:crosses val="autoZero"/>
        <c:auto val="1"/>
        <c:lblAlgn val="ctr"/>
        <c:lblOffset val="100"/>
        <c:tickLblSkip val="1"/>
        <c:tickMarkSkip val="1"/>
        <c:noMultiLvlLbl val="0"/>
      </c:catAx>
      <c:valAx>
        <c:axId val="372780416"/>
        <c:scaling>
          <c:orientation val="minMax"/>
          <c:max val="1"/>
        </c:scaling>
        <c:delete val="0"/>
        <c:axPos val="l"/>
        <c:title>
          <c:tx>
            <c:rich>
              <a:bodyPr/>
              <a:lstStyle/>
              <a:p>
                <a:pPr>
                  <a:defRPr sz="1000" b="0"/>
                </a:pPr>
                <a:r>
                  <a:rPr lang="en-US" sz="1000" b="0"/>
                  <a:t>Compliance (%)</a:t>
                </a:r>
              </a:p>
            </c:rich>
          </c:tx>
          <c:layout>
            <c:manualLayout>
              <c:xMode val="edge"/>
              <c:yMode val="edge"/>
              <c:x val="1.5616147155159322E-2"/>
              <c:y val="0.41571118373434562"/>
            </c:manualLayout>
          </c:layout>
          <c:overlay val="0"/>
        </c:title>
        <c:numFmt formatCode="0%" sourceLinked="0"/>
        <c:majorTickMark val="out"/>
        <c:minorTickMark val="none"/>
        <c:tickLblPos val="nextTo"/>
        <c:txPr>
          <a:bodyPr rot="0" vert="horz"/>
          <a:lstStyle/>
          <a:p>
            <a:pPr>
              <a:defRPr/>
            </a:pPr>
            <a:endParaRPr lang="en-US"/>
          </a:p>
        </c:txPr>
        <c:crossAx val="208245248"/>
        <c:crosses val="autoZero"/>
        <c:crossBetween val="between"/>
        <c:majorUnit val="0.2"/>
        <c:minorUnit val="4.0000000000000022E-2"/>
      </c:valAx>
    </c:plotArea>
    <c:plotVisOnly val="1"/>
    <c:dispBlanksAs val="gap"/>
    <c:showDLblsOverMax val="0"/>
  </c:chart>
  <c:spPr>
    <a:ln>
      <a:solidFill>
        <a:sysClr val="windowText" lastClr="000000"/>
      </a:solidFill>
    </a:ln>
  </c:spPr>
  <c:txPr>
    <a:bodyPr/>
    <a:lstStyle/>
    <a:p>
      <a:pPr>
        <a:defRPr sz="800" b="0" i="0" u="none" strike="noStrike" baseline="0">
          <a:solidFill>
            <a:srgbClr val="000000"/>
          </a:solidFill>
          <a:latin typeface="Gill Sans MT" pitchFamily="34" charset="0"/>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Gill Sans MT" pitchFamily="34" charset="0"/>
                <a:ea typeface="Arial"/>
                <a:cs typeface="Arial"/>
              </a:defRPr>
            </a:pPr>
            <a:r>
              <a:rPr lang="en-AU">
                <a:latin typeface="Gill Sans MT" pitchFamily="34" charset="0"/>
              </a:rPr>
              <a:t>Hand Hygiene Compliance by Tasmanian Public Healthcare Worker 
NHHI</a:t>
            </a:r>
            <a:r>
              <a:rPr lang="en-AU" baseline="0">
                <a:latin typeface="Gill Sans MT" pitchFamily="34" charset="0"/>
              </a:rPr>
              <a:t> Audit Two 2016</a:t>
            </a:r>
            <a:endParaRPr lang="en-AU">
              <a:latin typeface="Gill Sans MT" pitchFamily="34" charset="0"/>
            </a:endParaRPr>
          </a:p>
        </c:rich>
      </c:tx>
      <c:layout>
        <c:manualLayout>
          <c:xMode val="edge"/>
          <c:yMode val="edge"/>
          <c:x val="0.12637070779375681"/>
          <c:y val="3.2114578992389183E-2"/>
        </c:manualLayout>
      </c:layout>
      <c:overlay val="0"/>
    </c:title>
    <c:autoTitleDeleted val="0"/>
    <c:plotArea>
      <c:layout>
        <c:manualLayout>
          <c:layoutTarget val="inner"/>
          <c:xMode val="edge"/>
          <c:yMode val="edge"/>
          <c:x val="0.10134947181189125"/>
          <c:y val="0.24956199416577107"/>
          <c:w val="0.87326209843604252"/>
          <c:h val="0.60974828007223336"/>
        </c:manualLayout>
      </c:layout>
      <c:barChart>
        <c:barDir val="col"/>
        <c:grouping val="clustered"/>
        <c:varyColors val="0"/>
        <c:ser>
          <c:idx val="0"/>
          <c:order val="0"/>
          <c:spPr>
            <a:solidFill>
              <a:srgbClr val="004F8C"/>
            </a:solidFill>
          </c:spPr>
          <c:invertIfNegative val="0"/>
          <c:dLbls>
            <c:spPr>
              <a:noFill/>
              <a:ln>
                <a:noFill/>
              </a:ln>
              <a:effectLst/>
            </c:spPr>
            <c:txPr>
              <a:bodyPr/>
              <a:lstStyle/>
              <a:p>
                <a:pPr>
                  <a:defRPr sz="1000" b="0" i="0" u="none" strike="noStrike" baseline="0">
                    <a:solidFill>
                      <a:srgbClr val="000000"/>
                    </a:solidFill>
                    <a:latin typeface="Gill Sans MT" pitchFamily="34" charset="0"/>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errBars>
            <c:errBarType val="both"/>
            <c:errValType val="cust"/>
            <c:noEndCap val="0"/>
            <c:plus>
              <c:numRef>
                <c:f>'Mar 2012'!$Y$62:$Y$72</c:f>
              </c:numRef>
            </c:plus>
            <c:minus>
              <c:numRef>
                <c:f>'Mar 2012'!$X$62:$X$72</c:f>
              </c:numRef>
            </c:minus>
          </c:errBars>
          <c:cat>
            <c:strRef>
              <c:f>'Jun 2016'!$L$31:$L$41</c:f>
              <c:strCache>
                <c:ptCount val="11"/>
                <c:pt idx="0">
                  <c:v>AC</c:v>
                </c:pt>
                <c:pt idx="1">
                  <c:v>AH</c:v>
                </c:pt>
                <c:pt idx="2">
                  <c:v>D</c:v>
                </c:pt>
                <c:pt idx="3">
                  <c:v>BL</c:v>
                </c:pt>
                <c:pt idx="4">
                  <c:v>DR</c:v>
                </c:pt>
                <c:pt idx="5">
                  <c:v>N</c:v>
                </c:pt>
                <c:pt idx="6">
                  <c:v>O</c:v>
                </c:pt>
                <c:pt idx="7">
                  <c:v>PC</c:v>
                </c:pt>
                <c:pt idx="8">
                  <c:v>SDR</c:v>
                </c:pt>
                <c:pt idx="9">
                  <c:v>SN</c:v>
                </c:pt>
                <c:pt idx="10">
                  <c:v>SAH</c:v>
                </c:pt>
              </c:strCache>
            </c:strRef>
          </c:cat>
          <c:val>
            <c:numRef>
              <c:f>'Jun 2016'!$P$31:$P$41</c:f>
              <c:numCache>
                <c:formatCode>0%</c:formatCode>
                <c:ptCount val="11"/>
                <c:pt idx="0">
                  <c:v>0.7142857142857143</c:v>
                </c:pt>
                <c:pt idx="1">
                  <c:v>0.80701754385964908</c:v>
                </c:pt>
                <c:pt idx="2">
                  <c:v>0.69277108433734935</c:v>
                </c:pt>
                <c:pt idx="3">
                  <c:v>0.68292682926829273</c:v>
                </c:pt>
                <c:pt idx="4">
                  <c:v>0.67061435973353067</c:v>
                </c:pt>
                <c:pt idx="5">
                  <c:v>0.83412443874278386</c:v>
                </c:pt>
                <c:pt idx="6">
                  <c:v>0.55319148936170215</c:v>
                </c:pt>
                <c:pt idx="7">
                  <c:v>0.76512455516014233</c:v>
                </c:pt>
                <c:pt idx="8">
                  <c:v>0.60869565217391308</c:v>
                </c:pt>
                <c:pt idx="9">
                  <c:v>0.7649572649572649</c:v>
                </c:pt>
                <c:pt idx="10">
                  <c:v>0.77777777777777779</c:v>
                </c:pt>
              </c:numCache>
            </c:numRef>
          </c:val>
        </c:ser>
        <c:dLbls>
          <c:showLegendKey val="0"/>
          <c:showVal val="0"/>
          <c:showCatName val="0"/>
          <c:showSerName val="0"/>
          <c:showPercent val="0"/>
          <c:showBubbleSize val="0"/>
        </c:dLbls>
        <c:gapWidth val="20"/>
        <c:axId val="436300800"/>
        <c:axId val="372782720"/>
      </c:barChart>
      <c:catAx>
        <c:axId val="436300800"/>
        <c:scaling>
          <c:orientation val="minMax"/>
        </c:scaling>
        <c:delete val="0"/>
        <c:axPos val="b"/>
        <c:title>
          <c:tx>
            <c:rich>
              <a:bodyPr/>
              <a:lstStyle/>
              <a:p>
                <a:pPr>
                  <a:defRPr sz="1000" b="0" i="0" u="none" strike="noStrike" baseline="0">
                    <a:solidFill>
                      <a:srgbClr val="000000"/>
                    </a:solidFill>
                    <a:latin typeface="Gill Sans MT" pitchFamily="34" charset="0"/>
                    <a:ea typeface="Arial"/>
                    <a:cs typeface="Arial"/>
                  </a:defRPr>
                </a:pPr>
                <a:r>
                  <a:rPr lang="en-AU" sz="1000" b="0">
                    <a:latin typeface="Gill Sans MT" pitchFamily="34" charset="0"/>
                  </a:rPr>
                  <a:t>Healthcare Worker Category</a:t>
                </a:r>
              </a:p>
            </c:rich>
          </c:tx>
          <c:layout>
            <c:manualLayout>
              <c:xMode val="edge"/>
              <c:yMode val="edge"/>
              <c:x val="0.39296067330426815"/>
              <c:y val="0.92863699836963276"/>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Gill Sans MT" pitchFamily="34" charset="0"/>
                <a:ea typeface="Arial"/>
                <a:cs typeface="Arial"/>
              </a:defRPr>
            </a:pPr>
            <a:endParaRPr lang="en-US"/>
          </a:p>
        </c:txPr>
        <c:crossAx val="372782720"/>
        <c:crosses val="autoZero"/>
        <c:auto val="1"/>
        <c:lblAlgn val="ctr"/>
        <c:lblOffset val="100"/>
        <c:tickLblSkip val="1"/>
        <c:tickMarkSkip val="1"/>
        <c:noMultiLvlLbl val="0"/>
      </c:catAx>
      <c:valAx>
        <c:axId val="372782720"/>
        <c:scaling>
          <c:orientation val="minMax"/>
          <c:max val="1"/>
        </c:scaling>
        <c:delete val="0"/>
        <c:axPos val="l"/>
        <c:title>
          <c:tx>
            <c:rich>
              <a:bodyPr/>
              <a:lstStyle/>
              <a:p>
                <a:pPr>
                  <a:defRPr sz="1000" b="0" i="0" u="none" strike="noStrike" baseline="0">
                    <a:solidFill>
                      <a:srgbClr val="000000"/>
                    </a:solidFill>
                    <a:latin typeface="Gill Sans MT" pitchFamily="34" charset="0"/>
                    <a:ea typeface="Arial"/>
                    <a:cs typeface="Arial"/>
                  </a:defRPr>
                </a:pPr>
                <a:r>
                  <a:rPr lang="en-AU" sz="1000" b="0">
                    <a:latin typeface="Gill Sans MT" pitchFamily="34" charset="0"/>
                  </a:rPr>
                  <a:t>Compliance (%)</a:t>
                </a:r>
              </a:p>
            </c:rich>
          </c:tx>
          <c:layout>
            <c:manualLayout>
              <c:xMode val="edge"/>
              <c:yMode val="edge"/>
              <c:x val="8.6554304678857531E-3"/>
              <c:y val="0.40945671484657731"/>
            </c:manualLayout>
          </c:layout>
          <c:overlay val="0"/>
        </c:title>
        <c:numFmt formatCode="0%" sourceLinked="0"/>
        <c:majorTickMark val="out"/>
        <c:minorTickMark val="none"/>
        <c:tickLblPos val="nextTo"/>
        <c:txPr>
          <a:bodyPr rot="0" vert="horz"/>
          <a:lstStyle/>
          <a:p>
            <a:pPr>
              <a:defRPr sz="1000" b="0" i="0" u="none" strike="noStrike" baseline="0">
                <a:solidFill>
                  <a:srgbClr val="000000"/>
                </a:solidFill>
                <a:latin typeface="Gill Sans MT" pitchFamily="34" charset="0"/>
                <a:ea typeface="Arial"/>
                <a:cs typeface="Arial"/>
              </a:defRPr>
            </a:pPr>
            <a:endParaRPr lang="en-US"/>
          </a:p>
        </c:txPr>
        <c:crossAx val="436300800"/>
        <c:crosses val="autoZero"/>
        <c:crossBetween val="between"/>
        <c:majorUnit val="0.2"/>
        <c:minorUnit val="4.0000000000000022E-2"/>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200"/>
            </a:pPr>
            <a:r>
              <a:rPr lang="en-AU" sz="1200"/>
              <a:t>Cephalosporin use in Tasmania  - 3 point rolling average</a:t>
            </a:r>
          </a:p>
        </c:rich>
      </c:tx>
      <c:layout/>
      <c:overlay val="0"/>
    </c:title>
    <c:autoTitleDeleted val="0"/>
    <c:plotArea>
      <c:layout>
        <c:manualLayout>
          <c:layoutTarget val="inner"/>
          <c:xMode val="edge"/>
          <c:yMode val="edge"/>
          <c:x val="8.1563002971735965E-2"/>
          <c:y val="0.20145216049382716"/>
          <c:w val="0.90058818680722763"/>
          <c:h val="0.56593888888888888"/>
        </c:manualLayout>
      </c:layout>
      <c:lineChart>
        <c:grouping val="standard"/>
        <c:varyColors val="0"/>
        <c:ser>
          <c:idx val="0"/>
          <c:order val="0"/>
          <c:tx>
            <c:v>RHH</c:v>
          </c:tx>
          <c:marker>
            <c:symbol val="none"/>
          </c:marker>
          <c:cat>
            <c:strRef>
              <c:f>'3 point roll ave'!$A$2:$A$63</c:f>
              <c:strCache>
                <c:ptCount val="62"/>
                <c:pt idx="0">
                  <c:v>Jan-Mar 2011</c:v>
                </c:pt>
                <c:pt idx="1">
                  <c:v>Feb-Apr 2011</c:v>
                </c:pt>
                <c:pt idx="2">
                  <c:v>Mar-May 2011</c:v>
                </c:pt>
                <c:pt idx="3">
                  <c:v>Apr-Jun 2011</c:v>
                </c:pt>
                <c:pt idx="4">
                  <c:v>May-Jul 2011</c:v>
                </c:pt>
                <c:pt idx="5">
                  <c:v>Jun-Aug 2011</c:v>
                </c:pt>
                <c:pt idx="6">
                  <c:v>Jul-Sept 2011</c:v>
                </c:pt>
                <c:pt idx="7">
                  <c:v>Aug-Oct 2011</c:v>
                </c:pt>
                <c:pt idx="8">
                  <c:v>Sept-Nov 2011</c:v>
                </c:pt>
                <c:pt idx="9">
                  <c:v>Oct-Dec 2011</c:v>
                </c:pt>
                <c:pt idx="10">
                  <c:v>Nov 2011-Jan 2012</c:v>
                </c:pt>
                <c:pt idx="11">
                  <c:v>Dec 2011-Feb 2012</c:v>
                </c:pt>
                <c:pt idx="12">
                  <c:v>Jan-Mar 2012</c:v>
                </c:pt>
                <c:pt idx="13">
                  <c:v>Feb-Apr 2012</c:v>
                </c:pt>
                <c:pt idx="14">
                  <c:v>Mar-May 2012</c:v>
                </c:pt>
                <c:pt idx="15">
                  <c:v>Apr-Jun 2012</c:v>
                </c:pt>
                <c:pt idx="16">
                  <c:v>May-Jul 2012</c:v>
                </c:pt>
                <c:pt idx="17">
                  <c:v>Jun-Aug 2012</c:v>
                </c:pt>
                <c:pt idx="18">
                  <c:v>Jul-Sept 2012</c:v>
                </c:pt>
                <c:pt idx="19">
                  <c:v>Aug-Oct 2012</c:v>
                </c:pt>
                <c:pt idx="20">
                  <c:v>Sept-Nov 2012</c:v>
                </c:pt>
                <c:pt idx="21">
                  <c:v>Oct-Dec 2012</c:v>
                </c:pt>
                <c:pt idx="22">
                  <c:v>Nov 2012-Jan 2013</c:v>
                </c:pt>
                <c:pt idx="23">
                  <c:v>Dec 2012-Feb 2013</c:v>
                </c:pt>
                <c:pt idx="24">
                  <c:v>Jan-Mar 2013</c:v>
                </c:pt>
                <c:pt idx="25">
                  <c:v>Feb-Apr 2013</c:v>
                </c:pt>
                <c:pt idx="26">
                  <c:v>Mar-May 2013</c:v>
                </c:pt>
                <c:pt idx="27">
                  <c:v>Apr-Jun 2013</c:v>
                </c:pt>
                <c:pt idx="28">
                  <c:v>May-Jul 2013</c:v>
                </c:pt>
                <c:pt idx="29">
                  <c:v>Jun-Aug 2013</c:v>
                </c:pt>
                <c:pt idx="30">
                  <c:v>Jul-Sept 2013</c:v>
                </c:pt>
                <c:pt idx="31">
                  <c:v>Aug-Oct 2013</c:v>
                </c:pt>
                <c:pt idx="32">
                  <c:v>Sept-Nov 2013</c:v>
                </c:pt>
                <c:pt idx="33">
                  <c:v>Oct-Dec 2013</c:v>
                </c:pt>
                <c:pt idx="34">
                  <c:v>Nov 2013-Jan 2013</c:v>
                </c:pt>
                <c:pt idx="35">
                  <c:v>Dec 2012-Feb 2014</c:v>
                </c:pt>
                <c:pt idx="36">
                  <c:v>Jan-Mar 2014</c:v>
                </c:pt>
                <c:pt idx="37">
                  <c:v>Feb-Apr 2014</c:v>
                </c:pt>
                <c:pt idx="38">
                  <c:v>Mar-May 2014</c:v>
                </c:pt>
                <c:pt idx="39">
                  <c:v>Apr-Jun 2014</c:v>
                </c:pt>
                <c:pt idx="40">
                  <c:v>May-Jul 2014</c:v>
                </c:pt>
                <c:pt idx="41">
                  <c:v>Jun-Aug 2014</c:v>
                </c:pt>
                <c:pt idx="42">
                  <c:v>Jul-Sept 2014</c:v>
                </c:pt>
                <c:pt idx="43">
                  <c:v>Aug-Oct 2014</c:v>
                </c:pt>
                <c:pt idx="44">
                  <c:v>Sept-Nov 2014</c:v>
                </c:pt>
                <c:pt idx="45">
                  <c:v>Oct-Dec 2014</c:v>
                </c:pt>
                <c:pt idx="46">
                  <c:v>Nov 2014-Jan 2015</c:v>
                </c:pt>
                <c:pt idx="47">
                  <c:v>Dec 2014-Jan 2015</c:v>
                </c:pt>
                <c:pt idx="48">
                  <c:v>Jan-Mar 2015</c:v>
                </c:pt>
                <c:pt idx="49">
                  <c:v>Feb-Apr 2015</c:v>
                </c:pt>
                <c:pt idx="50">
                  <c:v>Mar-May 2015</c:v>
                </c:pt>
                <c:pt idx="51">
                  <c:v>Apr-Jun2015</c:v>
                </c:pt>
                <c:pt idx="52">
                  <c:v>May-Jul 2015</c:v>
                </c:pt>
                <c:pt idx="53">
                  <c:v>Jun-Aug 2015</c:v>
                </c:pt>
                <c:pt idx="54">
                  <c:v>Jul-Sept 2015</c:v>
                </c:pt>
                <c:pt idx="55">
                  <c:v>Aug-Oct 2015</c:v>
                </c:pt>
                <c:pt idx="56">
                  <c:v>Sept-Nov 2015</c:v>
                </c:pt>
                <c:pt idx="57">
                  <c:v>Oct-Dec 2015</c:v>
                </c:pt>
                <c:pt idx="58">
                  <c:v>Nov 2015-Jan 2016</c:v>
                </c:pt>
                <c:pt idx="59">
                  <c:v>Dec 2015-Feb 2016</c:v>
                </c:pt>
                <c:pt idx="60">
                  <c:v>Jan-Mar 2016</c:v>
                </c:pt>
                <c:pt idx="61">
                  <c:v>Feb-Apr 2016</c:v>
                </c:pt>
              </c:strCache>
            </c:strRef>
          </c:cat>
          <c:val>
            <c:numRef>
              <c:f>'3 point roll ave'!$B$2:$B$63</c:f>
              <c:numCache>
                <c:formatCode>0.0</c:formatCode>
                <c:ptCount val="62"/>
                <c:pt idx="0">
                  <c:v>44.70244396373176</c:v>
                </c:pt>
                <c:pt idx="1">
                  <c:v>53.266343483785953</c:v>
                </c:pt>
                <c:pt idx="2">
                  <c:v>45.186662483753864</c:v>
                </c:pt>
                <c:pt idx="3">
                  <c:v>44.478935698447891</c:v>
                </c:pt>
                <c:pt idx="4">
                  <c:v>42.295645364771396</c:v>
                </c:pt>
                <c:pt idx="5">
                  <c:v>50.527721818341071</c:v>
                </c:pt>
                <c:pt idx="6">
                  <c:v>54.91262852137028</c:v>
                </c:pt>
                <c:pt idx="7">
                  <c:v>54.089407013034695</c:v>
                </c:pt>
                <c:pt idx="8">
                  <c:v>59.154859059730633</c:v>
                </c:pt>
                <c:pt idx="9">
                  <c:v>59.568160352607826</c:v>
                </c:pt>
                <c:pt idx="10">
                  <c:v>57.847403539309546</c:v>
                </c:pt>
                <c:pt idx="11">
                  <c:v>48.30683156654888</c:v>
                </c:pt>
                <c:pt idx="12">
                  <c:v>41.379709473927889</c:v>
                </c:pt>
                <c:pt idx="13">
                  <c:v>44.275544144249288</c:v>
                </c:pt>
                <c:pt idx="14">
                  <c:v>44.824213130790035</c:v>
                </c:pt>
                <c:pt idx="15">
                  <c:v>44.961420200730984</c:v>
                </c:pt>
                <c:pt idx="16">
                  <c:v>45.175588135015339</c:v>
                </c:pt>
                <c:pt idx="17">
                  <c:v>53.778829746243183</c:v>
                </c:pt>
                <c:pt idx="18">
                  <c:v>57.778577758085952</c:v>
                </c:pt>
                <c:pt idx="19">
                  <c:v>56.284454244762955</c:v>
                </c:pt>
                <c:pt idx="20">
                  <c:v>48.824982762583311</c:v>
                </c:pt>
                <c:pt idx="21">
                  <c:v>50.055293638321402</c:v>
                </c:pt>
                <c:pt idx="22">
                  <c:v>49.81760850748114</c:v>
                </c:pt>
                <c:pt idx="23">
                  <c:v>52.402651201325604</c:v>
                </c:pt>
                <c:pt idx="24">
                  <c:v>52.016104247341573</c:v>
                </c:pt>
                <c:pt idx="25">
                  <c:v>47.988338192419832</c:v>
                </c:pt>
                <c:pt idx="26">
                  <c:v>47.381885477901157</c:v>
                </c:pt>
                <c:pt idx="27">
                  <c:v>49.095430695233929</c:v>
                </c:pt>
                <c:pt idx="28">
                  <c:v>56.772254218450037</c:v>
                </c:pt>
                <c:pt idx="29">
                  <c:v>67.981286663111462</c:v>
                </c:pt>
                <c:pt idx="30">
                  <c:v>67.547450688500177</c:v>
                </c:pt>
                <c:pt idx="31">
                  <c:v>62.416138435201034</c:v>
                </c:pt>
                <c:pt idx="32">
                  <c:v>52.134627891851714</c:v>
                </c:pt>
                <c:pt idx="33">
                  <c:v>55.028901734104046</c:v>
                </c:pt>
                <c:pt idx="34">
                  <c:v>60.049019607843142</c:v>
                </c:pt>
                <c:pt idx="35">
                  <c:v>60.075989341754664</c:v>
                </c:pt>
                <c:pt idx="36">
                  <c:v>55.5743406434161</c:v>
                </c:pt>
                <c:pt idx="37">
                  <c:v>50.838934406122746</c:v>
                </c:pt>
                <c:pt idx="38">
                  <c:v>47.688741101536152</c:v>
                </c:pt>
                <c:pt idx="39">
                  <c:v>47.997772612822004</c:v>
                </c:pt>
                <c:pt idx="40">
                  <c:v>49.894379132990444</c:v>
                </c:pt>
                <c:pt idx="41">
                  <c:v>53.338341628321906</c:v>
                </c:pt>
                <c:pt idx="42">
                  <c:v>50.50176963397697</c:v>
                </c:pt>
                <c:pt idx="43">
                  <c:v>55.323780155994925</c:v>
                </c:pt>
                <c:pt idx="44">
                  <c:v>57.892087318658184</c:v>
                </c:pt>
                <c:pt idx="45">
                  <c:v>64.678579716871653</c:v>
                </c:pt>
                <c:pt idx="46">
                  <c:v>61.670134760206103</c:v>
                </c:pt>
                <c:pt idx="47">
                  <c:v>63.13571998404467</c:v>
                </c:pt>
                <c:pt idx="48">
                  <c:v>61.197785606441876</c:v>
                </c:pt>
                <c:pt idx="49">
                  <c:v>61.936081299268686</c:v>
                </c:pt>
                <c:pt idx="50">
                  <c:v>59.453204108201938</c:v>
                </c:pt>
                <c:pt idx="51">
                  <c:v>66.679049034175335</c:v>
                </c:pt>
                <c:pt idx="52">
                  <c:v>69.77783452502554</c:v>
                </c:pt>
                <c:pt idx="53">
                  <c:v>71.655248841426555</c:v>
                </c:pt>
                <c:pt idx="54">
                  <c:v>71.056835786212233</c:v>
                </c:pt>
                <c:pt idx="55">
                  <c:v>68.086361491269471</c:v>
                </c:pt>
                <c:pt idx="56">
                  <c:v>70.9548458658779</c:v>
                </c:pt>
                <c:pt idx="57">
                  <c:v>61.313145280235986</c:v>
                </c:pt>
                <c:pt idx="58">
                  <c:v>65.696409140369965</c:v>
                </c:pt>
                <c:pt idx="59">
                  <c:v>59.846964375313597</c:v>
                </c:pt>
                <c:pt idx="60">
                  <c:v>59.056814150321827</c:v>
                </c:pt>
                <c:pt idx="61">
                  <c:v>52.52130349283641</c:v>
                </c:pt>
              </c:numCache>
            </c:numRef>
          </c:val>
          <c:smooth val="0"/>
        </c:ser>
        <c:ser>
          <c:idx val="1"/>
          <c:order val="1"/>
          <c:tx>
            <c:v>LGH</c:v>
          </c:tx>
          <c:spPr>
            <a:ln>
              <a:prstDash val="sysDot"/>
            </a:ln>
          </c:spPr>
          <c:marker>
            <c:symbol val="none"/>
          </c:marker>
          <c:cat>
            <c:strRef>
              <c:f>'3 point roll ave'!$A$2:$A$63</c:f>
              <c:strCache>
                <c:ptCount val="62"/>
                <c:pt idx="0">
                  <c:v>Jan-Mar 2011</c:v>
                </c:pt>
                <c:pt idx="1">
                  <c:v>Feb-Apr 2011</c:v>
                </c:pt>
                <c:pt idx="2">
                  <c:v>Mar-May 2011</c:v>
                </c:pt>
                <c:pt idx="3">
                  <c:v>Apr-Jun 2011</c:v>
                </c:pt>
                <c:pt idx="4">
                  <c:v>May-Jul 2011</c:v>
                </c:pt>
                <c:pt idx="5">
                  <c:v>Jun-Aug 2011</c:v>
                </c:pt>
                <c:pt idx="6">
                  <c:v>Jul-Sept 2011</c:v>
                </c:pt>
                <c:pt idx="7">
                  <c:v>Aug-Oct 2011</c:v>
                </c:pt>
                <c:pt idx="8">
                  <c:v>Sept-Nov 2011</c:v>
                </c:pt>
                <c:pt idx="9">
                  <c:v>Oct-Dec 2011</c:v>
                </c:pt>
                <c:pt idx="10">
                  <c:v>Nov 2011-Jan 2012</c:v>
                </c:pt>
                <c:pt idx="11">
                  <c:v>Dec 2011-Feb 2012</c:v>
                </c:pt>
                <c:pt idx="12">
                  <c:v>Jan-Mar 2012</c:v>
                </c:pt>
                <c:pt idx="13">
                  <c:v>Feb-Apr 2012</c:v>
                </c:pt>
                <c:pt idx="14">
                  <c:v>Mar-May 2012</c:v>
                </c:pt>
                <c:pt idx="15">
                  <c:v>Apr-Jun 2012</c:v>
                </c:pt>
                <c:pt idx="16">
                  <c:v>May-Jul 2012</c:v>
                </c:pt>
                <c:pt idx="17">
                  <c:v>Jun-Aug 2012</c:v>
                </c:pt>
                <c:pt idx="18">
                  <c:v>Jul-Sept 2012</c:v>
                </c:pt>
                <c:pt idx="19">
                  <c:v>Aug-Oct 2012</c:v>
                </c:pt>
                <c:pt idx="20">
                  <c:v>Sept-Nov 2012</c:v>
                </c:pt>
                <c:pt idx="21">
                  <c:v>Oct-Dec 2012</c:v>
                </c:pt>
                <c:pt idx="22">
                  <c:v>Nov 2012-Jan 2013</c:v>
                </c:pt>
                <c:pt idx="23">
                  <c:v>Dec 2012-Feb 2013</c:v>
                </c:pt>
                <c:pt idx="24">
                  <c:v>Jan-Mar 2013</c:v>
                </c:pt>
                <c:pt idx="25">
                  <c:v>Feb-Apr 2013</c:v>
                </c:pt>
                <c:pt idx="26">
                  <c:v>Mar-May 2013</c:v>
                </c:pt>
                <c:pt idx="27">
                  <c:v>Apr-Jun 2013</c:v>
                </c:pt>
                <c:pt idx="28">
                  <c:v>May-Jul 2013</c:v>
                </c:pt>
                <c:pt idx="29">
                  <c:v>Jun-Aug 2013</c:v>
                </c:pt>
                <c:pt idx="30">
                  <c:v>Jul-Sept 2013</c:v>
                </c:pt>
                <c:pt idx="31">
                  <c:v>Aug-Oct 2013</c:v>
                </c:pt>
                <c:pt idx="32">
                  <c:v>Sept-Nov 2013</c:v>
                </c:pt>
                <c:pt idx="33">
                  <c:v>Oct-Dec 2013</c:v>
                </c:pt>
                <c:pt idx="34">
                  <c:v>Nov 2013-Jan 2013</c:v>
                </c:pt>
                <c:pt idx="35">
                  <c:v>Dec 2012-Feb 2014</c:v>
                </c:pt>
                <c:pt idx="36">
                  <c:v>Jan-Mar 2014</c:v>
                </c:pt>
                <c:pt idx="37">
                  <c:v>Feb-Apr 2014</c:v>
                </c:pt>
                <c:pt idx="38">
                  <c:v>Mar-May 2014</c:v>
                </c:pt>
                <c:pt idx="39">
                  <c:v>Apr-Jun 2014</c:v>
                </c:pt>
                <c:pt idx="40">
                  <c:v>May-Jul 2014</c:v>
                </c:pt>
                <c:pt idx="41">
                  <c:v>Jun-Aug 2014</c:v>
                </c:pt>
                <c:pt idx="42">
                  <c:v>Jul-Sept 2014</c:v>
                </c:pt>
                <c:pt idx="43">
                  <c:v>Aug-Oct 2014</c:v>
                </c:pt>
                <c:pt idx="44">
                  <c:v>Sept-Nov 2014</c:v>
                </c:pt>
                <c:pt idx="45">
                  <c:v>Oct-Dec 2014</c:v>
                </c:pt>
                <c:pt idx="46">
                  <c:v>Nov 2014-Jan 2015</c:v>
                </c:pt>
                <c:pt idx="47">
                  <c:v>Dec 2014-Jan 2015</c:v>
                </c:pt>
                <c:pt idx="48">
                  <c:v>Jan-Mar 2015</c:v>
                </c:pt>
                <c:pt idx="49">
                  <c:v>Feb-Apr 2015</c:v>
                </c:pt>
                <c:pt idx="50">
                  <c:v>Mar-May 2015</c:v>
                </c:pt>
                <c:pt idx="51">
                  <c:v>Apr-Jun2015</c:v>
                </c:pt>
                <c:pt idx="52">
                  <c:v>May-Jul 2015</c:v>
                </c:pt>
                <c:pt idx="53">
                  <c:v>Jun-Aug 2015</c:v>
                </c:pt>
                <c:pt idx="54">
                  <c:v>Jul-Sept 2015</c:v>
                </c:pt>
                <c:pt idx="55">
                  <c:v>Aug-Oct 2015</c:v>
                </c:pt>
                <c:pt idx="56">
                  <c:v>Sept-Nov 2015</c:v>
                </c:pt>
                <c:pt idx="57">
                  <c:v>Oct-Dec 2015</c:v>
                </c:pt>
                <c:pt idx="58">
                  <c:v>Nov 2015-Jan 2016</c:v>
                </c:pt>
                <c:pt idx="59">
                  <c:v>Dec 2015-Feb 2016</c:v>
                </c:pt>
                <c:pt idx="60">
                  <c:v>Jan-Mar 2016</c:v>
                </c:pt>
                <c:pt idx="61">
                  <c:v>Feb-Apr 2016</c:v>
                </c:pt>
              </c:strCache>
            </c:strRef>
          </c:cat>
          <c:val>
            <c:numRef>
              <c:f>'3 point roll ave'!$C$2:$C$63</c:f>
              <c:numCache>
                <c:formatCode>0.0</c:formatCode>
                <c:ptCount val="62"/>
                <c:pt idx="0">
                  <c:v>54.873414020932003</c:v>
                </c:pt>
                <c:pt idx="1">
                  <c:v>55.335968379446641</c:v>
                </c:pt>
                <c:pt idx="2">
                  <c:v>52.497739602169979</c:v>
                </c:pt>
                <c:pt idx="3">
                  <c:v>58.927947852403676</c:v>
                </c:pt>
                <c:pt idx="4">
                  <c:v>55.870997047467633</c:v>
                </c:pt>
                <c:pt idx="5">
                  <c:v>57.298870447210696</c:v>
                </c:pt>
                <c:pt idx="6">
                  <c:v>58.224985867721877</c:v>
                </c:pt>
                <c:pt idx="7">
                  <c:v>64.18684119077956</c:v>
                </c:pt>
                <c:pt idx="8">
                  <c:v>64.252751153709625</c:v>
                </c:pt>
                <c:pt idx="9">
                  <c:v>68.539325842696627</c:v>
                </c:pt>
                <c:pt idx="10">
                  <c:v>70.546006764685586</c:v>
                </c:pt>
                <c:pt idx="11">
                  <c:v>70.427811493219451</c:v>
                </c:pt>
                <c:pt idx="12">
                  <c:v>61.195858362314262</c:v>
                </c:pt>
                <c:pt idx="13">
                  <c:v>56.675802662490213</c:v>
                </c:pt>
                <c:pt idx="14">
                  <c:v>56.947738924171702</c:v>
                </c:pt>
                <c:pt idx="15">
                  <c:v>58.415466262319946</c:v>
                </c:pt>
                <c:pt idx="16">
                  <c:v>59.662847069193475</c:v>
                </c:pt>
                <c:pt idx="17">
                  <c:v>55.496112418860122</c:v>
                </c:pt>
                <c:pt idx="18">
                  <c:v>55.667443996890675</c:v>
                </c:pt>
                <c:pt idx="19">
                  <c:v>69.105691056910572</c:v>
                </c:pt>
                <c:pt idx="20">
                  <c:v>79.55891059798698</c:v>
                </c:pt>
                <c:pt idx="21">
                  <c:v>72.36363636363636</c:v>
                </c:pt>
                <c:pt idx="22">
                  <c:v>48.576423576423579</c:v>
                </c:pt>
                <c:pt idx="23">
                  <c:v>46.718372722616522</c:v>
                </c:pt>
                <c:pt idx="24">
                  <c:v>46.556028785431046</c:v>
                </c:pt>
                <c:pt idx="25">
                  <c:v>50.357653791130183</c:v>
                </c:pt>
                <c:pt idx="26">
                  <c:v>47.331747110808976</c:v>
                </c:pt>
                <c:pt idx="27">
                  <c:v>57.755946225439502</c:v>
                </c:pt>
                <c:pt idx="28">
                  <c:v>67.531580744281328</c:v>
                </c:pt>
                <c:pt idx="29">
                  <c:v>70.469569958427044</c:v>
                </c:pt>
                <c:pt idx="30">
                  <c:v>69.301352221506761</c:v>
                </c:pt>
                <c:pt idx="31">
                  <c:v>67.834151316208803</c:v>
                </c:pt>
                <c:pt idx="32">
                  <c:v>73.747863809649004</c:v>
                </c:pt>
                <c:pt idx="33">
                  <c:v>73.985277233740788</c:v>
                </c:pt>
                <c:pt idx="34">
                  <c:v>71.873326191751474</c:v>
                </c:pt>
                <c:pt idx="35">
                  <c:v>58.732089753987559</c:v>
                </c:pt>
                <c:pt idx="36">
                  <c:v>59.095121466869664</c:v>
                </c:pt>
                <c:pt idx="37">
                  <c:v>56.343208720658062</c:v>
                </c:pt>
                <c:pt idx="38">
                  <c:v>62.99811401107258</c:v>
                </c:pt>
                <c:pt idx="39">
                  <c:v>62.455239914060634</c:v>
                </c:pt>
                <c:pt idx="40">
                  <c:v>64.276086712344153</c:v>
                </c:pt>
                <c:pt idx="41">
                  <c:v>60.826146164321379</c:v>
                </c:pt>
                <c:pt idx="42">
                  <c:v>57.96328524111604</c:v>
                </c:pt>
                <c:pt idx="43">
                  <c:v>58.303176517893043</c:v>
                </c:pt>
                <c:pt idx="44">
                  <c:v>58.080521689821374</c:v>
                </c:pt>
                <c:pt idx="45">
                  <c:v>67.313822080556363</c:v>
                </c:pt>
                <c:pt idx="46">
                  <c:v>63.392381065228989</c:v>
                </c:pt>
                <c:pt idx="47">
                  <c:v>65.481027692692379</c:v>
                </c:pt>
                <c:pt idx="48">
                  <c:v>51.898001462344624</c:v>
                </c:pt>
                <c:pt idx="49">
                  <c:v>50.709851707092767</c:v>
                </c:pt>
                <c:pt idx="50">
                  <c:v>48.716178906681385</c:v>
                </c:pt>
                <c:pt idx="51">
                  <c:v>46.712517193947726</c:v>
                </c:pt>
                <c:pt idx="52">
                  <c:v>44.510102935569961</c:v>
                </c:pt>
                <c:pt idx="53">
                  <c:v>46.719493725659888</c:v>
                </c:pt>
                <c:pt idx="54">
                  <c:v>50.050962931173217</c:v>
                </c:pt>
                <c:pt idx="55">
                  <c:v>53.195057863252643</c:v>
                </c:pt>
                <c:pt idx="56">
                  <c:v>51.650556780283765</c:v>
                </c:pt>
                <c:pt idx="57">
                  <c:v>54.528387757424049</c:v>
                </c:pt>
                <c:pt idx="58">
                  <c:v>58.083361420065167</c:v>
                </c:pt>
                <c:pt idx="59">
                  <c:v>61.741755425186533</c:v>
                </c:pt>
                <c:pt idx="60">
                  <c:v>61.958830256494032</c:v>
                </c:pt>
                <c:pt idx="61">
                  <c:v>63.404996131314242</c:v>
                </c:pt>
              </c:numCache>
            </c:numRef>
          </c:val>
          <c:smooth val="0"/>
        </c:ser>
        <c:ser>
          <c:idx val="2"/>
          <c:order val="2"/>
          <c:tx>
            <c:v>MCH</c:v>
          </c:tx>
          <c:spPr>
            <a:ln>
              <a:prstDash val="dash"/>
            </a:ln>
          </c:spPr>
          <c:marker>
            <c:symbol val="none"/>
          </c:marker>
          <c:cat>
            <c:strRef>
              <c:f>'3 point roll ave'!$A$2:$A$63</c:f>
              <c:strCache>
                <c:ptCount val="62"/>
                <c:pt idx="0">
                  <c:v>Jan-Mar 2011</c:v>
                </c:pt>
                <c:pt idx="1">
                  <c:v>Feb-Apr 2011</c:v>
                </c:pt>
                <c:pt idx="2">
                  <c:v>Mar-May 2011</c:v>
                </c:pt>
                <c:pt idx="3">
                  <c:v>Apr-Jun 2011</c:v>
                </c:pt>
                <c:pt idx="4">
                  <c:v>May-Jul 2011</c:v>
                </c:pt>
                <c:pt idx="5">
                  <c:v>Jun-Aug 2011</c:v>
                </c:pt>
                <c:pt idx="6">
                  <c:v>Jul-Sept 2011</c:v>
                </c:pt>
                <c:pt idx="7">
                  <c:v>Aug-Oct 2011</c:v>
                </c:pt>
                <c:pt idx="8">
                  <c:v>Sept-Nov 2011</c:v>
                </c:pt>
                <c:pt idx="9">
                  <c:v>Oct-Dec 2011</c:v>
                </c:pt>
                <c:pt idx="10">
                  <c:v>Nov 2011-Jan 2012</c:v>
                </c:pt>
                <c:pt idx="11">
                  <c:v>Dec 2011-Feb 2012</c:v>
                </c:pt>
                <c:pt idx="12">
                  <c:v>Jan-Mar 2012</c:v>
                </c:pt>
                <c:pt idx="13">
                  <c:v>Feb-Apr 2012</c:v>
                </c:pt>
                <c:pt idx="14">
                  <c:v>Mar-May 2012</c:v>
                </c:pt>
                <c:pt idx="15">
                  <c:v>Apr-Jun 2012</c:v>
                </c:pt>
                <c:pt idx="16">
                  <c:v>May-Jul 2012</c:v>
                </c:pt>
                <c:pt idx="17">
                  <c:v>Jun-Aug 2012</c:v>
                </c:pt>
                <c:pt idx="18">
                  <c:v>Jul-Sept 2012</c:v>
                </c:pt>
                <c:pt idx="19">
                  <c:v>Aug-Oct 2012</c:v>
                </c:pt>
                <c:pt idx="20">
                  <c:v>Sept-Nov 2012</c:v>
                </c:pt>
                <c:pt idx="21">
                  <c:v>Oct-Dec 2012</c:v>
                </c:pt>
                <c:pt idx="22">
                  <c:v>Nov 2012-Jan 2013</c:v>
                </c:pt>
                <c:pt idx="23">
                  <c:v>Dec 2012-Feb 2013</c:v>
                </c:pt>
                <c:pt idx="24">
                  <c:v>Jan-Mar 2013</c:v>
                </c:pt>
                <c:pt idx="25">
                  <c:v>Feb-Apr 2013</c:v>
                </c:pt>
                <c:pt idx="26">
                  <c:v>Mar-May 2013</c:v>
                </c:pt>
                <c:pt idx="27">
                  <c:v>Apr-Jun 2013</c:v>
                </c:pt>
                <c:pt idx="28">
                  <c:v>May-Jul 2013</c:v>
                </c:pt>
                <c:pt idx="29">
                  <c:v>Jun-Aug 2013</c:v>
                </c:pt>
                <c:pt idx="30">
                  <c:v>Jul-Sept 2013</c:v>
                </c:pt>
                <c:pt idx="31">
                  <c:v>Aug-Oct 2013</c:v>
                </c:pt>
                <c:pt idx="32">
                  <c:v>Sept-Nov 2013</c:v>
                </c:pt>
                <c:pt idx="33">
                  <c:v>Oct-Dec 2013</c:v>
                </c:pt>
                <c:pt idx="34">
                  <c:v>Nov 2013-Jan 2013</c:v>
                </c:pt>
                <c:pt idx="35">
                  <c:v>Dec 2012-Feb 2014</c:v>
                </c:pt>
                <c:pt idx="36">
                  <c:v>Jan-Mar 2014</c:v>
                </c:pt>
                <c:pt idx="37">
                  <c:v>Feb-Apr 2014</c:v>
                </c:pt>
                <c:pt idx="38">
                  <c:v>Mar-May 2014</c:v>
                </c:pt>
                <c:pt idx="39">
                  <c:v>Apr-Jun 2014</c:v>
                </c:pt>
                <c:pt idx="40">
                  <c:v>May-Jul 2014</c:v>
                </c:pt>
                <c:pt idx="41">
                  <c:v>Jun-Aug 2014</c:v>
                </c:pt>
                <c:pt idx="42">
                  <c:v>Jul-Sept 2014</c:v>
                </c:pt>
                <c:pt idx="43">
                  <c:v>Aug-Oct 2014</c:v>
                </c:pt>
                <c:pt idx="44">
                  <c:v>Sept-Nov 2014</c:v>
                </c:pt>
                <c:pt idx="45">
                  <c:v>Oct-Dec 2014</c:v>
                </c:pt>
                <c:pt idx="46">
                  <c:v>Nov 2014-Jan 2015</c:v>
                </c:pt>
                <c:pt idx="47">
                  <c:v>Dec 2014-Jan 2015</c:v>
                </c:pt>
                <c:pt idx="48">
                  <c:v>Jan-Mar 2015</c:v>
                </c:pt>
                <c:pt idx="49">
                  <c:v>Feb-Apr 2015</c:v>
                </c:pt>
                <c:pt idx="50">
                  <c:v>Mar-May 2015</c:v>
                </c:pt>
                <c:pt idx="51">
                  <c:v>Apr-Jun2015</c:v>
                </c:pt>
                <c:pt idx="52">
                  <c:v>May-Jul 2015</c:v>
                </c:pt>
                <c:pt idx="53">
                  <c:v>Jun-Aug 2015</c:v>
                </c:pt>
                <c:pt idx="54">
                  <c:v>Jul-Sept 2015</c:v>
                </c:pt>
                <c:pt idx="55">
                  <c:v>Aug-Oct 2015</c:v>
                </c:pt>
                <c:pt idx="56">
                  <c:v>Sept-Nov 2015</c:v>
                </c:pt>
                <c:pt idx="57">
                  <c:v>Oct-Dec 2015</c:v>
                </c:pt>
                <c:pt idx="58">
                  <c:v>Nov 2015-Jan 2016</c:v>
                </c:pt>
                <c:pt idx="59">
                  <c:v>Dec 2015-Feb 2016</c:v>
                </c:pt>
                <c:pt idx="60">
                  <c:v>Jan-Mar 2016</c:v>
                </c:pt>
                <c:pt idx="61">
                  <c:v>Feb-Apr 2016</c:v>
                </c:pt>
              </c:strCache>
            </c:strRef>
          </c:cat>
          <c:val>
            <c:numRef>
              <c:f>'3 point roll ave'!$D$2:$D$63</c:f>
              <c:numCache>
                <c:formatCode>0.0</c:formatCode>
                <c:ptCount val="62"/>
                <c:pt idx="0">
                  <c:v>57.113341204250297</c:v>
                </c:pt>
                <c:pt idx="1">
                  <c:v>52.411873840445267</c:v>
                </c:pt>
                <c:pt idx="2">
                  <c:v>59.850374064837901</c:v>
                </c:pt>
                <c:pt idx="3">
                  <c:v>74.57747912848707</c:v>
                </c:pt>
                <c:pt idx="4">
                  <c:v>74.880730138975309</c:v>
                </c:pt>
                <c:pt idx="5">
                  <c:v>72.442588726513577</c:v>
                </c:pt>
                <c:pt idx="6">
                  <c:v>73.402417962003454</c:v>
                </c:pt>
                <c:pt idx="7">
                  <c:v>75.042517006802711</c:v>
                </c:pt>
                <c:pt idx="8">
                  <c:v>83.627927529827659</c:v>
                </c:pt>
                <c:pt idx="9">
                  <c:v>88.790233074361822</c:v>
                </c:pt>
                <c:pt idx="10">
                  <c:v>103.04878048780488</c:v>
                </c:pt>
                <c:pt idx="11">
                  <c:v>105.91397849462365</c:v>
                </c:pt>
                <c:pt idx="12">
                  <c:v>103.17460317460316</c:v>
                </c:pt>
                <c:pt idx="13">
                  <c:v>90.251332825590254</c:v>
                </c:pt>
                <c:pt idx="14">
                  <c:v>85.977011494252864</c:v>
                </c:pt>
                <c:pt idx="15">
                  <c:v>82.726883561643831</c:v>
                </c:pt>
                <c:pt idx="16">
                  <c:v>101.57375025714873</c:v>
                </c:pt>
                <c:pt idx="17">
                  <c:v>103.15060476004682</c:v>
                </c:pt>
                <c:pt idx="18">
                  <c:v>111.78699641005186</c:v>
                </c:pt>
                <c:pt idx="19">
                  <c:v>96.185313970137045</c:v>
                </c:pt>
                <c:pt idx="20">
                  <c:v>95.954585537918874</c:v>
                </c:pt>
                <c:pt idx="21">
                  <c:v>87.080656673804427</c:v>
                </c:pt>
                <c:pt idx="22">
                  <c:v>80.605764533463599</c:v>
                </c:pt>
                <c:pt idx="23">
                  <c:v>65.200314218381777</c:v>
                </c:pt>
                <c:pt idx="24">
                  <c:v>72.014351614556631</c:v>
                </c:pt>
                <c:pt idx="25">
                  <c:v>75.184375853591916</c:v>
                </c:pt>
                <c:pt idx="26">
                  <c:v>86.27717391304347</c:v>
                </c:pt>
                <c:pt idx="27">
                  <c:v>74.797655595869387</c:v>
                </c:pt>
                <c:pt idx="28">
                  <c:v>80.08802347292611</c:v>
                </c:pt>
                <c:pt idx="29">
                  <c:v>69.084967320261441</c:v>
                </c:pt>
                <c:pt idx="30">
                  <c:v>74.400299850074958</c:v>
                </c:pt>
                <c:pt idx="31">
                  <c:v>65.856622114216279</c:v>
                </c:pt>
                <c:pt idx="32">
                  <c:v>74.014381353830899</c:v>
                </c:pt>
                <c:pt idx="33">
                  <c:v>79.285530711899256</c:v>
                </c:pt>
                <c:pt idx="34">
                  <c:v>79.486831387455879</c:v>
                </c:pt>
                <c:pt idx="35">
                  <c:v>72.979148814624395</c:v>
                </c:pt>
                <c:pt idx="36">
                  <c:v>74.418604651162795</c:v>
                </c:pt>
                <c:pt idx="37">
                  <c:v>81.788693234476369</c:v>
                </c:pt>
                <c:pt idx="38">
                  <c:v>86.811470755252699</c:v>
                </c:pt>
                <c:pt idx="39">
                  <c:v>81.803880440482445</c:v>
                </c:pt>
                <c:pt idx="40">
                  <c:v>86.669232743135751</c:v>
                </c:pt>
                <c:pt idx="41">
                  <c:v>95.725574712643677</c:v>
                </c:pt>
                <c:pt idx="42">
                  <c:v>98.523304107060454</c:v>
                </c:pt>
                <c:pt idx="43">
                  <c:v>92.381386861313857</c:v>
                </c:pt>
                <c:pt idx="44">
                  <c:v>85.852478839177749</c:v>
                </c:pt>
                <c:pt idx="45">
                  <c:v>77.605598600349907</c:v>
                </c:pt>
                <c:pt idx="46">
                  <c:v>75.217735550277126</c:v>
                </c:pt>
                <c:pt idx="47">
                  <c:v>74.51329860159035</c:v>
                </c:pt>
                <c:pt idx="48">
                  <c:v>73.203363914373085</c:v>
                </c:pt>
                <c:pt idx="49">
                  <c:v>75.18842693897399</c:v>
                </c:pt>
                <c:pt idx="50">
                  <c:v>82.121364092276821</c:v>
                </c:pt>
                <c:pt idx="51">
                  <c:v>85.431881138252322</c:v>
                </c:pt>
                <c:pt idx="52">
                  <c:v>93.124246079613997</c:v>
                </c:pt>
                <c:pt idx="53">
                  <c:v>87.514318442153481</c:v>
                </c:pt>
                <c:pt idx="54">
                  <c:v>84.969611968209449</c:v>
                </c:pt>
                <c:pt idx="55">
                  <c:v>67.214811407543692</c:v>
                </c:pt>
                <c:pt idx="56">
                  <c:v>56.577166064981945</c:v>
                </c:pt>
                <c:pt idx="57">
                  <c:v>46.273893055891605</c:v>
                </c:pt>
                <c:pt idx="58">
                  <c:v>35.220627325890483</c:v>
                </c:pt>
                <c:pt idx="59">
                  <c:v>30.426247896803144</c:v>
                </c:pt>
                <c:pt idx="60">
                  <c:v>24.923632324354347</c:v>
                </c:pt>
                <c:pt idx="61">
                  <c:v>32.348993288590606</c:v>
                </c:pt>
              </c:numCache>
            </c:numRef>
          </c:val>
          <c:smooth val="0"/>
        </c:ser>
        <c:ser>
          <c:idx val="3"/>
          <c:order val="3"/>
          <c:tx>
            <c:v>NWRH</c:v>
          </c:tx>
          <c:spPr>
            <a:ln>
              <a:prstDash val="lgDash"/>
            </a:ln>
          </c:spPr>
          <c:marker>
            <c:symbol val="none"/>
          </c:marker>
          <c:cat>
            <c:strRef>
              <c:f>'3 point roll ave'!$A$2:$A$63</c:f>
              <c:strCache>
                <c:ptCount val="62"/>
                <c:pt idx="0">
                  <c:v>Jan-Mar 2011</c:v>
                </c:pt>
                <c:pt idx="1">
                  <c:v>Feb-Apr 2011</c:v>
                </c:pt>
                <c:pt idx="2">
                  <c:v>Mar-May 2011</c:v>
                </c:pt>
                <c:pt idx="3">
                  <c:v>Apr-Jun 2011</c:v>
                </c:pt>
                <c:pt idx="4">
                  <c:v>May-Jul 2011</c:v>
                </c:pt>
                <c:pt idx="5">
                  <c:v>Jun-Aug 2011</c:v>
                </c:pt>
                <c:pt idx="6">
                  <c:v>Jul-Sept 2011</c:v>
                </c:pt>
                <c:pt idx="7">
                  <c:v>Aug-Oct 2011</c:v>
                </c:pt>
                <c:pt idx="8">
                  <c:v>Sept-Nov 2011</c:v>
                </c:pt>
                <c:pt idx="9">
                  <c:v>Oct-Dec 2011</c:v>
                </c:pt>
                <c:pt idx="10">
                  <c:v>Nov 2011-Jan 2012</c:v>
                </c:pt>
                <c:pt idx="11">
                  <c:v>Dec 2011-Feb 2012</c:v>
                </c:pt>
                <c:pt idx="12">
                  <c:v>Jan-Mar 2012</c:v>
                </c:pt>
                <c:pt idx="13">
                  <c:v>Feb-Apr 2012</c:v>
                </c:pt>
                <c:pt idx="14">
                  <c:v>Mar-May 2012</c:v>
                </c:pt>
                <c:pt idx="15">
                  <c:v>Apr-Jun 2012</c:v>
                </c:pt>
                <c:pt idx="16">
                  <c:v>May-Jul 2012</c:v>
                </c:pt>
                <c:pt idx="17">
                  <c:v>Jun-Aug 2012</c:v>
                </c:pt>
                <c:pt idx="18">
                  <c:v>Jul-Sept 2012</c:v>
                </c:pt>
                <c:pt idx="19">
                  <c:v>Aug-Oct 2012</c:v>
                </c:pt>
                <c:pt idx="20">
                  <c:v>Sept-Nov 2012</c:v>
                </c:pt>
                <c:pt idx="21">
                  <c:v>Oct-Dec 2012</c:v>
                </c:pt>
                <c:pt idx="22">
                  <c:v>Nov 2012-Jan 2013</c:v>
                </c:pt>
                <c:pt idx="23">
                  <c:v>Dec 2012-Feb 2013</c:v>
                </c:pt>
                <c:pt idx="24">
                  <c:v>Jan-Mar 2013</c:v>
                </c:pt>
                <c:pt idx="25">
                  <c:v>Feb-Apr 2013</c:v>
                </c:pt>
                <c:pt idx="26">
                  <c:v>Mar-May 2013</c:v>
                </c:pt>
                <c:pt idx="27">
                  <c:v>Apr-Jun 2013</c:v>
                </c:pt>
                <c:pt idx="28">
                  <c:v>May-Jul 2013</c:v>
                </c:pt>
                <c:pt idx="29">
                  <c:v>Jun-Aug 2013</c:v>
                </c:pt>
                <c:pt idx="30">
                  <c:v>Jul-Sept 2013</c:v>
                </c:pt>
                <c:pt idx="31">
                  <c:v>Aug-Oct 2013</c:v>
                </c:pt>
                <c:pt idx="32">
                  <c:v>Sept-Nov 2013</c:v>
                </c:pt>
                <c:pt idx="33">
                  <c:v>Oct-Dec 2013</c:v>
                </c:pt>
                <c:pt idx="34">
                  <c:v>Nov 2013-Jan 2013</c:v>
                </c:pt>
                <c:pt idx="35">
                  <c:v>Dec 2012-Feb 2014</c:v>
                </c:pt>
                <c:pt idx="36">
                  <c:v>Jan-Mar 2014</c:v>
                </c:pt>
                <c:pt idx="37">
                  <c:v>Feb-Apr 2014</c:v>
                </c:pt>
                <c:pt idx="38">
                  <c:v>Mar-May 2014</c:v>
                </c:pt>
                <c:pt idx="39">
                  <c:v>Apr-Jun 2014</c:v>
                </c:pt>
                <c:pt idx="40">
                  <c:v>May-Jul 2014</c:v>
                </c:pt>
                <c:pt idx="41">
                  <c:v>Jun-Aug 2014</c:v>
                </c:pt>
                <c:pt idx="42">
                  <c:v>Jul-Sept 2014</c:v>
                </c:pt>
                <c:pt idx="43">
                  <c:v>Aug-Oct 2014</c:v>
                </c:pt>
                <c:pt idx="44">
                  <c:v>Sept-Nov 2014</c:v>
                </c:pt>
                <c:pt idx="45">
                  <c:v>Oct-Dec 2014</c:v>
                </c:pt>
                <c:pt idx="46">
                  <c:v>Nov 2014-Jan 2015</c:v>
                </c:pt>
                <c:pt idx="47">
                  <c:v>Dec 2014-Jan 2015</c:v>
                </c:pt>
                <c:pt idx="48">
                  <c:v>Jan-Mar 2015</c:v>
                </c:pt>
                <c:pt idx="49">
                  <c:v>Feb-Apr 2015</c:v>
                </c:pt>
                <c:pt idx="50">
                  <c:v>Mar-May 2015</c:v>
                </c:pt>
                <c:pt idx="51">
                  <c:v>Apr-Jun2015</c:v>
                </c:pt>
                <c:pt idx="52">
                  <c:v>May-Jul 2015</c:v>
                </c:pt>
                <c:pt idx="53">
                  <c:v>Jun-Aug 2015</c:v>
                </c:pt>
                <c:pt idx="54">
                  <c:v>Jul-Sept 2015</c:v>
                </c:pt>
                <c:pt idx="55">
                  <c:v>Aug-Oct 2015</c:v>
                </c:pt>
                <c:pt idx="56">
                  <c:v>Sept-Nov 2015</c:v>
                </c:pt>
                <c:pt idx="57">
                  <c:v>Oct-Dec 2015</c:v>
                </c:pt>
                <c:pt idx="58">
                  <c:v>Nov 2015-Jan 2016</c:v>
                </c:pt>
                <c:pt idx="59">
                  <c:v>Dec 2015-Feb 2016</c:v>
                </c:pt>
                <c:pt idx="60">
                  <c:v>Jan-Mar 2016</c:v>
                </c:pt>
                <c:pt idx="61">
                  <c:v>Feb-Apr 2016</c:v>
                </c:pt>
              </c:strCache>
            </c:strRef>
          </c:cat>
          <c:val>
            <c:numRef>
              <c:f>'3 point roll ave'!$E$2:$E$63</c:f>
              <c:numCache>
                <c:formatCode>0.0</c:formatCode>
                <c:ptCount val="62"/>
                <c:pt idx="0">
                  <c:v>73.848238482384829</c:v>
                </c:pt>
                <c:pt idx="1">
                  <c:v>78.514938488576448</c:v>
                </c:pt>
                <c:pt idx="2">
                  <c:v>74.524400330851947</c:v>
                </c:pt>
                <c:pt idx="3">
                  <c:v>70.617158358765678</c:v>
                </c:pt>
                <c:pt idx="4">
                  <c:v>60.52937271822104</c:v>
                </c:pt>
                <c:pt idx="5">
                  <c:v>64.59231024196221</c:v>
                </c:pt>
                <c:pt idx="6">
                  <c:v>64.992553367532679</c:v>
                </c:pt>
                <c:pt idx="7">
                  <c:v>70.76350093109869</c:v>
                </c:pt>
                <c:pt idx="8">
                  <c:v>68.821009498975599</c:v>
                </c:pt>
                <c:pt idx="9">
                  <c:v>78.262694083088547</c:v>
                </c:pt>
                <c:pt idx="10">
                  <c:v>91.682998530132281</c:v>
                </c:pt>
                <c:pt idx="11">
                  <c:v>88.891706822216591</c:v>
                </c:pt>
                <c:pt idx="12">
                  <c:v>89.55314009661835</c:v>
                </c:pt>
                <c:pt idx="13">
                  <c:v>78.449469312413484</c:v>
                </c:pt>
                <c:pt idx="14">
                  <c:v>81.693363844393588</c:v>
                </c:pt>
                <c:pt idx="15">
                  <c:v>89.597078228086716</c:v>
                </c:pt>
                <c:pt idx="16">
                  <c:v>105.2504816955684</c:v>
                </c:pt>
                <c:pt idx="17">
                  <c:v>112.98606016140866</c:v>
                </c:pt>
                <c:pt idx="18">
                  <c:v>119.03200419727177</c:v>
                </c:pt>
                <c:pt idx="19">
                  <c:v>129.95276830228286</c:v>
                </c:pt>
                <c:pt idx="20">
                  <c:v>132.21495592834802</c:v>
                </c:pt>
                <c:pt idx="21">
                  <c:v>127.63083048919228</c:v>
                </c:pt>
                <c:pt idx="22">
                  <c:v>119.51631046119235</c:v>
                </c:pt>
                <c:pt idx="23">
                  <c:v>121.41891891891892</c:v>
                </c:pt>
                <c:pt idx="24">
                  <c:v>141.16129032258064</c:v>
                </c:pt>
                <c:pt idx="25">
                  <c:v>137.03365510044353</c:v>
                </c:pt>
                <c:pt idx="26">
                  <c:v>116.19718309859155</c:v>
                </c:pt>
                <c:pt idx="27">
                  <c:v>91.984147276911273</c:v>
                </c:pt>
                <c:pt idx="28">
                  <c:v>82.072412861388813</c:v>
                </c:pt>
                <c:pt idx="29">
                  <c:v>103.53535353535354</c:v>
                </c:pt>
                <c:pt idx="30">
                  <c:v>106.14297363413971</c:v>
                </c:pt>
                <c:pt idx="31">
                  <c:v>120.66684308017994</c:v>
                </c:pt>
                <c:pt idx="32">
                  <c:v>124.52399086062452</c:v>
                </c:pt>
                <c:pt idx="33">
                  <c:v>156.11096571578119</c:v>
                </c:pt>
                <c:pt idx="34">
                  <c:v>158.19462227912931</c:v>
                </c:pt>
                <c:pt idx="35">
                  <c:v>157.90529695024077</c:v>
                </c:pt>
                <c:pt idx="36">
                  <c:v>139.33121019108279</c:v>
                </c:pt>
                <c:pt idx="37">
                  <c:v>133.82973115445441</c:v>
                </c:pt>
                <c:pt idx="38">
                  <c:v>135.4375</c:v>
                </c:pt>
                <c:pt idx="39">
                  <c:v>126.42467789890982</c:v>
                </c:pt>
                <c:pt idx="40">
                  <c:v>121.54197738753909</c:v>
                </c:pt>
                <c:pt idx="41">
                  <c:v>122.02517162471396</c:v>
                </c:pt>
                <c:pt idx="42">
                  <c:v>119.85596707818929</c:v>
                </c:pt>
                <c:pt idx="43">
                  <c:v>112.99116375258507</c:v>
                </c:pt>
                <c:pt idx="44">
                  <c:v>90.366387167335034</c:v>
                </c:pt>
                <c:pt idx="45">
                  <c:v>87.638888888888886</c:v>
                </c:pt>
                <c:pt idx="46">
                  <c:v>81.600316894434542</c:v>
                </c:pt>
                <c:pt idx="47">
                  <c:v>77.653459248614254</c:v>
                </c:pt>
                <c:pt idx="48">
                  <c:v>71.420974260795575</c:v>
                </c:pt>
                <c:pt idx="49">
                  <c:v>74.594257178526846</c:v>
                </c:pt>
                <c:pt idx="50">
                  <c:v>83.832335329341305</c:v>
                </c:pt>
                <c:pt idx="51">
                  <c:v>74.739103744628608</c:v>
                </c:pt>
                <c:pt idx="52">
                  <c:v>72.34793439900352</c:v>
                </c:pt>
                <c:pt idx="53">
                  <c:v>74.561403508771932</c:v>
                </c:pt>
                <c:pt idx="54">
                  <c:v>84.483103379324135</c:v>
                </c:pt>
                <c:pt idx="55">
                  <c:v>84.65842167255596</c:v>
                </c:pt>
                <c:pt idx="56">
                  <c:v>83.236377738995543</c:v>
                </c:pt>
                <c:pt idx="57">
                  <c:v>76.267748478701819</c:v>
                </c:pt>
                <c:pt idx="58">
                  <c:v>63.475546305931317</c:v>
                </c:pt>
                <c:pt idx="59">
                  <c:v>51.461506792918897</c:v>
                </c:pt>
                <c:pt idx="60">
                  <c:v>45.20911054388376</c:v>
                </c:pt>
                <c:pt idx="61">
                  <c:v>39.071510957324108</c:v>
                </c:pt>
              </c:numCache>
            </c:numRef>
          </c:val>
          <c:smooth val="0"/>
        </c:ser>
        <c:dLbls>
          <c:showLegendKey val="0"/>
          <c:showVal val="0"/>
          <c:showCatName val="0"/>
          <c:showSerName val="0"/>
          <c:showPercent val="0"/>
          <c:showBubbleSize val="0"/>
        </c:dLbls>
        <c:marker val="1"/>
        <c:smooth val="0"/>
        <c:axId val="210102784"/>
        <c:axId val="372784448"/>
      </c:lineChart>
      <c:catAx>
        <c:axId val="210102784"/>
        <c:scaling>
          <c:orientation val="minMax"/>
        </c:scaling>
        <c:delete val="0"/>
        <c:axPos val="b"/>
        <c:numFmt formatCode="General" sourceLinked="1"/>
        <c:majorTickMark val="out"/>
        <c:minorTickMark val="none"/>
        <c:tickLblPos val="nextTo"/>
        <c:txPr>
          <a:bodyPr rot="-5400000" vert="horz"/>
          <a:lstStyle/>
          <a:p>
            <a:pPr>
              <a:defRPr sz="600"/>
            </a:pPr>
            <a:endParaRPr lang="en-US"/>
          </a:p>
        </c:txPr>
        <c:crossAx val="372784448"/>
        <c:crosses val="autoZero"/>
        <c:auto val="1"/>
        <c:lblAlgn val="ctr"/>
        <c:lblOffset val="100"/>
        <c:tickMarkSkip val="1"/>
        <c:noMultiLvlLbl val="0"/>
      </c:catAx>
      <c:valAx>
        <c:axId val="372784448"/>
        <c:scaling>
          <c:orientation val="minMax"/>
        </c:scaling>
        <c:delete val="0"/>
        <c:axPos val="l"/>
        <c:title>
          <c:tx>
            <c:rich>
              <a:bodyPr rot="-5400000" vert="horz"/>
              <a:lstStyle/>
              <a:p>
                <a:pPr>
                  <a:defRPr b="0"/>
                </a:pPr>
                <a:r>
                  <a:rPr lang="en-AU" b="0"/>
                  <a:t>DDD/100 beds days</a:t>
                </a:r>
              </a:p>
            </c:rich>
          </c:tx>
          <c:layout>
            <c:manualLayout>
              <c:xMode val="edge"/>
              <c:yMode val="edge"/>
              <c:x val="3.9912366326110063E-6"/>
              <c:y val="0.32525984251968504"/>
            </c:manualLayout>
          </c:layout>
          <c:overlay val="0"/>
        </c:title>
        <c:numFmt formatCode="0" sourceLinked="0"/>
        <c:majorTickMark val="out"/>
        <c:minorTickMark val="none"/>
        <c:tickLblPos val="nextTo"/>
        <c:crossAx val="210102784"/>
        <c:crosses val="autoZero"/>
        <c:crossBetween val="between"/>
      </c:valAx>
    </c:plotArea>
    <c:legend>
      <c:legendPos val="t"/>
      <c:layout>
        <c:manualLayout>
          <c:xMode val="edge"/>
          <c:yMode val="edge"/>
          <c:x val="0.14950175631815057"/>
          <c:y val="0.11368761470275733"/>
          <c:w val="0.68898736982051845"/>
          <c:h val="6.8723824242559337E-2"/>
        </c:manualLayout>
      </c:layout>
      <c:overlay val="0"/>
    </c:legend>
    <c:plotVisOnly val="1"/>
    <c:dispBlanksAs val="gap"/>
    <c:showDLblsOverMax val="0"/>
  </c:chart>
  <c:txPr>
    <a:bodyPr/>
    <a:lstStyle/>
    <a:p>
      <a:pPr>
        <a:defRPr>
          <a:latin typeface="Gill Sans MT" panose="020B0502020104020203"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Gill Sans MT"/>
                <a:ea typeface="Gill Sans MT"/>
                <a:cs typeface="Gill Sans MT"/>
              </a:defRPr>
            </a:pPr>
            <a:r>
              <a:rPr lang="en-AU" sz="1200" b="1" i="0" u="none" strike="noStrike" baseline="0">
                <a:solidFill>
                  <a:srgbClr val="000000"/>
                </a:solidFill>
                <a:latin typeface="Gill Sans MT"/>
              </a:rPr>
              <a:t>Tasmanian acute public hospitals</a:t>
            </a:r>
          </a:p>
          <a:p>
            <a:pPr>
              <a:defRPr sz="1000" b="0" i="0" u="none" strike="noStrike" baseline="0">
                <a:solidFill>
                  <a:srgbClr val="000000"/>
                </a:solidFill>
                <a:latin typeface="Gill Sans MT"/>
                <a:ea typeface="Gill Sans MT"/>
                <a:cs typeface="Gill Sans MT"/>
              </a:defRPr>
            </a:pPr>
            <a:r>
              <a:rPr lang="en-AU" sz="1200" b="1" i="0" u="none" strike="noStrike" baseline="0">
                <a:solidFill>
                  <a:srgbClr val="000000"/>
                </a:solidFill>
                <a:latin typeface="Gill Sans MT"/>
              </a:rPr>
              <a:t>Healthcare associated SAB rate by financial year </a:t>
            </a:r>
          </a:p>
        </c:rich>
      </c:tx>
      <c:overlay val="0"/>
    </c:title>
    <c:autoTitleDeleted val="0"/>
    <c:plotArea>
      <c:layout>
        <c:manualLayout>
          <c:layoutTarget val="inner"/>
          <c:xMode val="edge"/>
          <c:yMode val="edge"/>
          <c:x val="0.10747393996907084"/>
          <c:y val="0.26957764940075396"/>
          <c:w val="0.86132899182234957"/>
          <c:h val="0.59029104938271604"/>
        </c:manualLayout>
      </c:layout>
      <c:lineChart>
        <c:grouping val="standard"/>
        <c:varyColors val="0"/>
        <c:ser>
          <c:idx val="0"/>
          <c:order val="0"/>
          <c:tx>
            <c:v>HCA SAB rate/10 000 patient days</c:v>
          </c:tx>
          <c:marker>
            <c:symbol val="none"/>
          </c:marker>
          <c:errBars>
            <c:errDir val="y"/>
            <c:errBarType val="both"/>
            <c:errValType val="cust"/>
            <c:noEndCap val="0"/>
            <c:plus>
              <c:numRef>
                <c:f>'Data from July 2009'!$AO$139:$AO$145</c:f>
                <c:numCache>
                  <c:formatCode>General</c:formatCode>
                  <c:ptCount val="7"/>
                  <c:pt idx="0">
                    <c:v>0.35233543331863193</c:v>
                  </c:pt>
                  <c:pt idx="1">
                    <c:v>0.37122417289782361</c:v>
                  </c:pt>
                  <c:pt idx="2">
                    <c:v>0.32040101012706612</c:v>
                  </c:pt>
                  <c:pt idx="3">
                    <c:v>0.33642806741457643</c:v>
                  </c:pt>
                  <c:pt idx="4">
                    <c:v>0.34685337310354125</c:v>
                  </c:pt>
                  <c:pt idx="5">
                    <c:v>0.30875619116940989</c:v>
                  </c:pt>
                  <c:pt idx="6">
                    <c:v>0.33767098900846482</c:v>
                  </c:pt>
                </c:numCache>
              </c:numRef>
            </c:plus>
            <c:minus>
              <c:numRef>
                <c:f>'Data from July 2009'!$AP$139:$AP$145</c:f>
                <c:numCache>
                  <c:formatCode>General</c:formatCode>
                  <c:ptCount val="7"/>
                  <c:pt idx="0">
                    <c:v>0.35233543331863193</c:v>
                  </c:pt>
                  <c:pt idx="1">
                    <c:v>0.3712241728978235</c:v>
                  </c:pt>
                  <c:pt idx="2">
                    <c:v>0.32040101012706612</c:v>
                  </c:pt>
                  <c:pt idx="3">
                    <c:v>0.33642806741457643</c:v>
                  </c:pt>
                  <c:pt idx="4">
                    <c:v>0.34685337310354125</c:v>
                  </c:pt>
                  <c:pt idx="5">
                    <c:v>0.30875619116940989</c:v>
                  </c:pt>
                  <c:pt idx="6">
                    <c:v>0.33767098900846482</c:v>
                  </c:pt>
                </c:numCache>
              </c:numRef>
            </c:minus>
          </c:errBars>
          <c:cat>
            <c:strRef>
              <c:f>'Data from July 2009'!$A$139:$A$145</c:f>
              <c:strCache>
                <c:ptCount val="7"/>
                <c:pt idx="0">
                  <c:v>2009-10</c:v>
                </c:pt>
                <c:pt idx="1">
                  <c:v>2010-11</c:v>
                </c:pt>
                <c:pt idx="2">
                  <c:v>2011-12</c:v>
                </c:pt>
                <c:pt idx="3">
                  <c:v>2012-13</c:v>
                </c:pt>
                <c:pt idx="4">
                  <c:v>2013-14</c:v>
                </c:pt>
                <c:pt idx="5">
                  <c:v>2014-15</c:v>
                </c:pt>
                <c:pt idx="6">
                  <c:v>2015-16</c:v>
                </c:pt>
              </c:strCache>
            </c:strRef>
          </c:cat>
          <c:val>
            <c:numRef>
              <c:f>'Data from July 2009'!$AK$139:$AK$145</c:f>
              <c:numCache>
                <c:formatCode>0.0</c:formatCode>
                <c:ptCount val="7"/>
                <c:pt idx="0">
                  <c:v>1.1081334075977125</c:v>
                </c:pt>
                <c:pt idx="1">
                  <c:v>1.2274528599651637</c:v>
                </c:pt>
                <c:pt idx="2">
                  <c:v>0.84941453316806459</c:v>
                </c:pt>
                <c:pt idx="3">
                  <c:v>0.95568990020747713</c:v>
                </c:pt>
                <c:pt idx="4">
                  <c:v>1.0469450144478412</c:v>
                </c:pt>
                <c:pt idx="5">
                  <c:v>0.84831784421959155</c:v>
                </c:pt>
                <c:pt idx="6">
                  <c:v>1.0336867010463207</c:v>
                </c:pt>
              </c:numCache>
            </c:numRef>
          </c:val>
          <c:smooth val="0"/>
        </c:ser>
        <c:ser>
          <c:idx val="1"/>
          <c:order val="1"/>
          <c:tx>
            <c:v>National threshold</c:v>
          </c:tx>
          <c:spPr>
            <a:ln>
              <a:solidFill>
                <a:schemeClr val="tx1"/>
              </a:solidFill>
            </a:ln>
          </c:spPr>
          <c:marker>
            <c:symbol val="none"/>
          </c:marker>
          <c:dPt>
            <c:idx val="0"/>
            <c:bubble3D val="0"/>
            <c:spPr/>
          </c:dPt>
          <c:errBars>
            <c:errDir val="y"/>
            <c:errBarType val="both"/>
            <c:errValType val="stdErr"/>
            <c:noEndCap val="0"/>
          </c:errBars>
          <c:cat>
            <c:strRef>
              <c:f>'Data from July 2009'!$A$139:$A$145</c:f>
              <c:strCache>
                <c:ptCount val="7"/>
                <c:pt idx="0">
                  <c:v>2009-10</c:v>
                </c:pt>
                <c:pt idx="1">
                  <c:v>2010-11</c:v>
                </c:pt>
                <c:pt idx="2">
                  <c:v>2011-12</c:v>
                </c:pt>
                <c:pt idx="3">
                  <c:v>2012-13</c:v>
                </c:pt>
                <c:pt idx="4">
                  <c:v>2013-14</c:v>
                </c:pt>
                <c:pt idx="5">
                  <c:v>2014-15</c:v>
                </c:pt>
                <c:pt idx="6">
                  <c:v>2015-16</c:v>
                </c:pt>
              </c:strCache>
            </c:strRef>
          </c:cat>
          <c:val>
            <c:numRef>
              <c:f>'Data from July 2009'!$AQ$139:$AQ$145</c:f>
              <c:numCache>
                <c:formatCode>General</c:formatCode>
                <c:ptCount val="7"/>
                <c:pt idx="0">
                  <c:v>2</c:v>
                </c:pt>
                <c:pt idx="1">
                  <c:v>2</c:v>
                </c:pt>
                <c:pt idx="2">
                  <c:v>2</c:v>
                </c:pt>
                <c:pt idx="3">
                  <c:v>2</c:v>
                </c:pt>
                <c:pt idx="4">
                  <c:v>2</c:v>
                </c:pt>
                <c:pt idx="5">
                  <c:v>2</c:v>
                </c:pt>
                <c:pt idx="6">
                  <c:v>2</c:v>
                </c:pt>
              </c:numCache>
            </c:numRef>
          </c:val>
          <c:smooth val="0"/>
        </c:ser>
        <c:dLbls>
          <c:showLegendKey val="0"/>
          <c:showVal val="0"/>
          <c:showCatName val="0"/>
          <c:showSerName val="0"/>
          <c:showPercent val="0"/>
          <c:showBubbleSize val="0"/>
        </c:dLbls>
        <c:marker val="1"/>
        <c:smooth val="0"/>
        <c:axId val="184113664"/>
        <c:axId val="327913408"/>
      </c:lineChart>
      <c:catAx>
        <c:axId val="18411366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Gill Sans MT"/>
                <a:ea typeface="Gill Sans MT"/>
                <a:cs typeface="Gill Sans MT"/>
              </a:defRPr>
            </a:pPr>
            <a:endParaRPr lang="en-US"/>
          </a:p>
        </c:txPr>
        <c:crossAx val="327913408"/>
        <c:crosses val="autoZero"/>
        <c:auto val="1"/>
        <c:lblAlgn val="ctr"/>
        <c:lblOffset val="100"/>
        <c:noMultiLvlLbl val="0"/>
      </c:catAx>
      <c:valAx>
        <c:axId val="327913408"/>
        <c:scaling>
          <c:orientation val="minMax"/>
          <c:max val="2.5"/>
        </c:scaling>
        <c:delete val="0"/>
        <c:axPos val="l"/>
        <c:title>
          <c:tx>
            <c:rich>
              <a:bodyPr/>
              <a:lstStyle/>
              <a:p>
                <a:pPr>
                  <a:defRPr sz="1000" b="1" i="0" u="none" strike="noStrike" baseline="0">
                    <a:solidFill>
                      <a:srgbClr val="000000"/>
                    </a:solidFill>
                    <a:latin typeface="Gill Sans MT"/>
                    <a:ea typeface="Gill Sans MT"/>
                    <a:cs typeface="Gill Sans MT"/>
                  </a:defRPr>
                </a:pPr>
                <a:r>
                  <a:rPr lang="en-AU" b="1"/>
                  <a:t>Rate/10 000 patient days </a:t>
                </a:r>
              </a:p>
            </c:rich>
          </c:tx>
          <c:layout>
            <c:manualLayout>
              <c:xMode val="edge"/>
              <c:yMode val="edge"/>
              <c:x val="4.8495331526182423E-3"/>
              <c:y val="0.31570299614188174"/>
            </c:manualLayout>
          </c:layout>
          <c:overlay val="0"/>
        </c:title>
        <c:numFmt formatCode="0.0" sourceLinked="0"/>
        <c:majorTickMark val="out"/>
        <c:minorTickMark val="none"/>
        <c:tickLblPos val="nextTo"/>
        <c:txPr>
          <a:bodyPr rot="0" vert="horz"/>
          <a:lstStyle/>
          <a:p>
            <a:pPr>
              <a:defRPr sz="1000" b="0" i="0" u="none" strike="noStrike" baseline="0">
                <a:solidFill>
                  <a:srgbClr val="000000"/>
                </a:solidFill>
                <a:latin typeface="Gill Sans MT"/>
                <a:ea typeface="Gill Sans MT"/>
                <a:cs typeface="Gill Sans MT"/>
              </a:defRPr>
            </a:pPr>
            <a:endParaRPr lang="en-US"/>
          </a:p>
        </c:txPr>
        <c:crossAx val="184113664"/>
        <c:crosses val="autoZero"/>
        <c:crossBetween val="between"/>
        <c:majorUnit val="0.5"/>
      </c:valAx>
    </c:plotArea>
    <c:legend>
      <c:legendPos val="t"/>
      <c:overlay val="0"/>
    </c:legend>
    <c:plotVisOnly val="1"/>
    <c:dispBlanksAs val="gap"/>
    <c:showDLblsOverMax val="0"/>
  </c:chart>
  <c:spPr>
    <a:ln w="12700">
      <a:solidFill>
        <a:sysClr val="windowText" lastClr="000000"/>
      </a:solidFill>
    </a:ln>
  </c:spPr>
  <c:txPr>
    <a:bodyPr/>
    <a:lstStyle/>
    <a:p>
      <a:pPr>
        <a:defRPr sz="1000" b="0" i="0" u="none" strike="noStrike" baseline="0">
          <a:solidFill>
            <a:srgbClr val="000000"/>
          </a:solidFill>
          <a:latin typeface="Gill Sans MT"/>
          <a:ea typeface="Gill Sans MT"/>
          <a:cs typeface="Gill Sans MT"/>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200"/>
            </a:pPr>
            <a:r>
              <a:rPr lang="en-AU" sz="1200"/>
              <a:t>Fluoroquinolone use in Tasmania - 3 point rolling average</a:t>
            </a:r>
          </a:p>
        </c:rich>
      </c:tx>
      <c:layout/>
      <c:overlay val="0"/>
    </c:title>
    <c:autoTitleDeleted val="0"/>
    <c:plotArea>
      <c:layout>
        <c:manualLayout>
          <c:layoutTarget val="inner"/>
          <c:xMode val="edge"/>
          <c:yMode val="edge"/>
          <c:x val="8.7970312499999995E-2"/>
          <c:y val="0.1818533950617284"/>
          <c:w val="0.88507447916666671"/>
          <c:h val="0.62866388888888891"/>
        </c:manualLayout>
      </c:layout>
      <c:lineChart>
        <c:grouping val="standard"/>
        <c:varyColors val="0"/>
        <c:ser>
          <c:idx val="0"/>
          <c:order val="0"/>
          <c:tx>
            <c:v>RHH</c:v>
          </c:tx>
          <c:marker>
            <c:symbol val="none"/>
          </c:marker>
          <c:cat>
            <c:strRef>
              <c:f>'3 point roll ave'!$H$2:$H$63</c:f>
              <c:strCache>
                <c:ptCount val="62"/>
                <c:pt idx="0">
                  <c:v>Jan-Mar 2011</c:v>
                </c:pt>
                <c:pt idx="1">
                  <c:v>Feb-Apr 2011</c:v>
                </c:pt>
                <c:pt idx="2">
                  <c:v>Mar-May 2011</c:v>
                </c:pt>
                <c:pt idx="3">
                  <c:v>Apr-Jun 2011</c:v>
                </c:pt>
                <c:pt idx="4">
                  <c:v>May-Jul 2011</c:v>
                </c:pt>
                <c:pt idx="5">
                  <c:v>Jun-Aug 2011</c:v>
                </c:pt>
                <c:pt idx="6">
                  <c:v>Jul-Sept 2011</c:v>
                </c:pt>
                <c:pt idx="7">
                  <c:v>Aug-Oct 2011</c:v>
                </c:pt>
                <c:pt idx="8">
                  <c:v>Sept-Nov 2011</c:v>
                </c:pt>
                <c:pt idx="9">
                  <c:v>Oct-Dec 2011</c:v>
                </c:pt>
                <c:pt idx="10">
                  <c:v>Nov 2011-Jan 2012</c:v>
                </c:pt>
                <c:pt idx="11">
                  <c:v>Dec 2011-Feb 2012</c:v>
                </c:pt>
                <c:pt idx="12">
                  <c:v>Jan-Mar 2012</c:v>
                </c:pt>
                <c:pt idx="13">
                  <c:v>Feb-Apr 2012</c:v>
                </c:pt>
                <c:pt idx="14">
                  <c:v>Mar-May 2012</c:v>
                </c:pt>
                <c:pt idx="15">
                  <c:v>Apr-Jun 2012</c:v>
                </c:pt>
                <c:pt idx="16">
                  <c:v>May-Jul 2012</c:v>
                </c:pt>
                <c:pt idx="17">
                  <c:v>Jun-Aug 2012</c:v>
                </c:pt>
                <c:pt idx="18">
                  <c:v>Jul-Sept 2012</c:v>
                </c:pt>
                <c:pt idx="19">
                  <c:v>Aug-Oct 2012</c:v>
                </c:pt>
                <c:pt idx="20">
                  <c:v>Sept-Nov 2012</c:v>
                </c:pt>
                <c:pt idx="21">
                  <c:v>Oct-Dec 2012</c:v>
                </c:pt>
                <c:pt idx="22">
                  <c:v>Nov 2012-Jan 2013</c:v>
                </c:pt>
                <c:pt idx="23">
                  <c:v>Dec 2012-Feb 2013</c:v>
                </c:pt>
                <c:pt idx="24">
                  <c:v>Jan-Mar 2013</c:v>
                </c:pt>
                <c:pt idx="25">
                  <c:v>Feb-Apr 2013</c:v>
                </c:pt>
                <c:pt idx="26">
                  <c:v>Mar-May 2013</c:v>
                </c:pt>
                <c:pt idx="27">
                  <c:v>Apr-Jun 2013</c:v>
                </c:pt>
                <c:pt idx="28">
                  <c:v>May-Jul 2013</c:v>
                </c:pt>
                <c:pt idx="29">
                  <c:v>Jun-Aug 2013</c:v>
                </c:pt>
                <c:pt idx="30">
                  <c:v>Jul-Sept 2013</c:v>
                </c:pt>
                <c:pt idx="31">
                  <c:v>Aug-Oct 2013</c:v>
                </c:pt>
                <c:pt idx="32">
                  <c:v>Sept-Nov 2013</c:v>
                </c:pt>
                <c:pt idx="33">
                  <c:v>Oct-Dec 2013</c:v>
                </c:pt>
                <c:pt idx="34">
                  <c:v>Nov 2013-Jan 2013</c:v>
                </c:pt>
                <c:pt idx="35">
                  <c:v>Dec 2012-Feb 2014</c:v>
                </c:pt>
                <c:pt idx="36">
                  <c:v>Jan-Mar 2014</c:v>
                </c:pt>
                <c:pt idx="37">
                  <c:v>Feb-Apr 2014</c:v>
                </c:pt>
                <c:pt idx="38">
                  <c:v>Mar-May 2014</c:v>
                </c:pt>
                <c:pt idx="39">
                  <c:v>Apr-Jun 2014</c:v>
                </c:pt>
                <c:pt idx="40">
                  <c:v>May-Jul 2014</c:v>
                </c:pt>
                <c:pt idx="41">
                  <c:v>Jun-Aug 2014</c:v>
                </c:pt>
                <c:pt idx="42">
                  <c:v>Jul-Sept 2014</c:v>
                </c:pt>
                <c:pt idx="43">
                  <c:v>Aug-Oct 2014</c:v>
                </c:pt>
                <c:pt idx="44">
                  <c:v>Sept-Nov 2014</c:v>
                </c:pt>
                <c:pt idx="45">
                  <c:v>Oct-Dec 2014</c:v>
                </c:pt>
                <c:pt idx="46">
                  <c:v>Nov 2014-Jan 2015</c:v>
                </c:pt>
                <c:pt idx="47">
                  <c:v>Dec 2014-Jan 2015</c:v>
                </c:pt>
                <c:pt idx="48">
                  <c:v>Jan-Mar 2015</c:v>
                </c:pt>
                <c:pt idx="49">
                  <c:v>Feb-Apr 2015</c:v>
                </c:pt>
                <c:pt idx="50">
                  <c:v>Mar-May 2015</c:v>
                </c:pt>
                <c:pt idx="51">
                  <c:v>Apr-Jun2015</c:v>
                </c:pt>
                <c:pt idx="52">
                  <c:v>May-Jul 2015</c:v>
                </c:pt>
                <c:pt idx="53">
                  <c:v>Jun-Aug 2015</c:v>
                </c:pt>
                <c:pt idx="54">
                  <c:v>Jul-Sept 2015</c:v>
                </c:pt>
                <c:pt idx="55">
                  <c:v>Aug-Oct 2015</c:v>
                </c:pt>
                <c:pt idx="56">
                  <c:v>Sept-Nov 2015</c:v>
                </c:pt>
                <c:pt idx="57">
                  <c:v>Oct-Dec 2015</c:v>
                </c:pt>
                <c:pt idx="58">
                  <c:v>Nov 2015-Jan 2016</c:v>
                </c:pt>
                <c:pt idx="59">
                  <c:v>Dec 2015-Feb 2016</c:v>
                </c:pt>
                <c:pt idx="60">
                  <c:v>Jan-Mar 2016</c:v>
                </c:pt>
                <c:pt idx="61">
                  <c:v>Feb-Apr 2016</c:v>
                </c:pt>
              </c:strCache>
            </c:strRef>
          </c:cat>
          <c:val>
            <c:numRef>
              <c:f>'3 point roll ave'!$I$2:$I$63</c:f>
              <c:numCache>
                <c:formatCode>0.0</c:formatCode>
                <c:ptCount val="62"/>
                <c:pt idx="0">
                  <c:v>31.741611819395221</c:v>
                </c:pt>
                <c:pt idx="1">
                  <c:v>38.826657881112631</c:v>
                </c:pt>
                <c:pt idx="2">
                  <c:v>37.258548828037469</c:v>
                </c:pt>
                <c:pt idx="3">
                  <c:v>41.776053215077603</c:v>
                </c:pt>
                <c:pt idx="4">
                  <c:v>33.068690999260447</c:v>
                </c:pt>
                <c:pt idx="5">
                  <c:v>34.133309976351057</c:v>
                </c:pt>
                <c:pt idx="6">
                  <c:v>34.231638157591405</c:v>
                </c:pt>
                <c:pt idx="7">
                  <c:v>34.209197723517526</c:v>
                </c:pt>
                <c:pt idx="8">
                  <c:v>34.922144895609073</c:v>
                </c:pt>
                <c:pt idx="9">
                  <c:v>32.01017945219855</c:v>
                </c:pt>
                <c:pt idx="10">
                  <c:v>34.456048738033076</c:v>
                </c:pt>
                <c:pt idx="11">
                  <c:v>44.94994110718492</c:v>
                </c:pt>
                <c:pt idx="12">
                  <c:v>55.066844146073265</c:v>
                </c:pt>
                <c:pt idx="13">
                  <c:v>54.67117931960086</c:v>
                </c:pt>
                <c:pt idx="14">
                  <c:v>47.968812935151618</c:v>
                </c:pt>
                <c:pt idx="15">
                  <c:v>45.086151882578179</c:v>
                </c:pt>
                <c:pt idx="16">
                  <c:v>42.956585975679054</c:v>
                </c:pt>
                <c:pt idx="17">
                  <c:v>39.007541146034015</c:v>
                </c:pt>
                <c:pt idx="18">
                  <c:v>32.629042977403635</c:v>
                </c:pt>
                <c:pt idx="19">
                  <c:v>33.219404630650502</c:v>
                </c:pt>
                <c:pt idx="20">
                  <c:v>29.814985060905535</c:v>
                </c:pt>
                <c:pt idx="21">
                  <c:v>30.327105523543448</c:v>
                </c:pt>
                <c:pt idx="22">
                  <c:v>32.542970199084955</c:v>
                </c:pt>
                <c:pt idx="23">
                  <c:v>35.609585112484858</c:v>
                </c:pt>
                <c:pt idx="24">
                  <c:v>37.174995390005527</c:v>
                </c:pt>
                <c:pt idx="25">
                  <c:v>44.749271137026241</c:v>
                </c:pt>
                <c:pt idx="26">
                  <c:v>41.544197692140209</c:v>
                </c:pt>
                <c:pt idx="27">
                  <c:v>41.189331001311757</c:v>
                </c:pt>
                <c:pt idx="28">
                  <c:v>33.904213397999385</c:v>
                </c:pt>
                <c:pt idx="29">
                  <c:v>35.468075822950503</c:v>
                </c:pt>
                <c:pt idx="30">
                  <c:v>39.525958317826571</c:v>
                </c:pt>
                <c:pt idx="31">
                  <c:v>36.399389256466023</c:v>
                </c:pt>
                <c:pt idx="32">
                  <c:v>33.663941280312187</c:v>
                </c:pt>
                <c:pt idx="33">
                  <c:v>33.216184971098265</c:v>
                </c:pt>
                <c:pt idx="34">
                  <c:v>31.914592760180994</c:v>
                </c:pt>
                <c:pt idx="35">
                  <c:v>40.355768281851368</c:v>
                </c:pt>
                <c:pt idx="36">
                  <c:v>38.414162882813258</c:v>
                </c:pt>
                <c:pt idx="37">
                  <c:v>47.066182603149691</c:v>
                </c:pt>
                <c:pt idx="38">
                  <c:v>41.965623829149493</c:v>
                </c:pt>
                <c:pt idx="39">
                  <c:v>46.28365291497191</c:v>
                </c:pt>
                <c:pt idx="40">
                  <c:v>48.48686627479794</c:v>
                </c:pt>
                <c:pt idx="41">
                  <c:v>53.866560240398158</c:v>
                </c:pt>
                <c:pt idx="42">
                  <c:v>48.700775054881056</c:v>
                </c:pt>
                <c:pt idx="43">
                  <c:v>40.653908942499548</c:v>
                </c:pt>
                <c:pt idx="44">
                  <c:v>39.403230973410828</c:v>
                </c:pt>
                <c:pt idx="45">
                  <c:v>37.974007890461827</c:v>
                </c:pt>
                <c:pt idx="46">
                  <c:v>44.337098692033287</c:v>
                </c:pt>
                <c:pt idx="47">
                  <c:v>37.5</c:v>
                </c:pt>
                <c:pt idx="48">
                  <c:v>38.797181680926023</c:v>
                </c:pt>
                <c:pt idx="49">
                  <c:v>33.248646595118245</c:v>
                </c:pt>
                <c:pt idx="50">
                  <c:v>45.534982400308593</c:v>
                </c:pt>
                <c:pt idx="51">
                  <c:v>43.541357107478959</c:v>
                </c:pt>
                <c:pt idx="52">
                  <c:v>47.995403472931564</c:v>
                </c:pt>
                <c:pt idx="53">
                  <c:v>38.804654442877293</c:v>
                </c:pt>
                <c:pt idx="54">
                  <c:v>35.624031758326872</c:v>
                </c:pt>
                <c:pt idx="55">
                  <c:v>38.699858423784804</c:v>
                </c:pt>
                <c:pt idx="56">
                  <c:v>39.749040994592598</c:v>
                </c:pt>
                <c:pt idx="57">
                  <c:v>41.625184365781706</c:v>
                </c:pt>
                <c:pt idx="58">
                  <c:v>39.566228113562175</c:v>
                </c:pt>
                <c:pt idx="59">
                  <c:v>40.072754641244352</c:v>
                </c:pt>
                <c:pt idx="60">
                  <c:v>41.711013126552132</c:v>
                </c:pt>
                <c:pt idx="61">
                  <c:v>40.411087180447609</c:v>
                </c:pt>
              </c:numCache>
            </c:numRef>
          </c:val>
          <c:smooth val="0"/>
        </c:ser>
        <c:ser>
          <c:idx val="1"/>
          <c:order val="1"/>
          <c:tx>
            <c:v>LGH</c:v>
          </c:tx>
          <c:spPr>
            <a:ln>
              <a:prstDash val="sysDot"/>
            </a:ln>
          </c:spPr>
          <c:marker>
            <c:symbol val="none"/>
          </c:marker>
          <c:cat>
            <c:strRef>
              <c:f>'3 point roll ave'!$H$2:$H$63</c:f>
              <c:strCache>
                <c:ptCount val="62"/>
                <c:pt idx="0">
                  <c:v>Jan-Mar 2011</c:v>
                </c:pt>
                <c:pt idx="1">
                  <c:v>Feb-Apr 2011</c:v>
                </c:pt>
                <c:pt idx="2">
                  <c:v>Mar-May 2011</c:v>
                </c:pt>
                <c:pt idx="3">
                  <c:v>Apr-Jun 2011</c:v>
                </c:pt>
                <c:pt idx="4">
                  <c:v>May-Jul 2011</c:v>
                </c:pt>
                <c:pt idx="5">
                  <c:v>Jun-Aug 2011</c:v>
                </c:pt>
                <c:pt idx="6">
                  <c:v>Jul-Sept 2011</c:v>
                </c:pt>
                <c:pt idx="7">
                  <c:v>Aug-Oct 2011</c:v>
                </c:pt>
                <c:pt idx="8">
                  <c:v>Sept-Nov 2011</c:v>
                </c:pt>
                <c:pt idx="9">
                  <c:v>Oct-Dec 2011</c:v>
                </c:pt>
                <c:pt idx="10">
                  <c:v>Nov 2011-Jan 2012</c:v>
                </c:pt>
                <c:pt idx="11">
                  <c:v>Dec 2011-Feb 2012</c:v>
                </c:pt>
                <c:pt idx="12">
                  <c:v>Jan-Mar 2012</c:v>
                </c:pt>
                <c:pt idx="13">
                  <c:v>Feb-Apr 2012</c:v>
                </c:pt>
                <c:pt idx="14">
                  <c:v>Mar-May 2012</c:v>
                </c:pt>
                <c:pt idx="15">
                  <c:v>Apr-Jun 2012</c:v>
                </c:pt>
                <c:pt idx="16">
                  <c:v>May-Jul 2012</c:v>
                </c:pt>
                <c:pt idx="17">
                  <c:v>Jun-Aug 2012</c:v>
                </c:pt>
                <c:pt idx="18">
                  <c:v>Jul-Sept 2012</c:v>
                </c:pt>
                <c:pt idx="19">
                  <c:v>Aug-Oct 2012</c:v>
                </c:pt>
                <c:pt idx="20">
                  <c:v>Sept-Nov 2012</c:v>
                </c:pt>
                <c:pt idx="21">
                  <c:v>Oct-Dec 2012</c:v>
                </c:pt>
                <c:pt idx="22">
                  <c:v>Nov 2012-Jan 2013</c:v>
                </c:pt>
                <c:pt idx="23">
                  <c:v>Dec 2012-Feb 2013</c:v>
                </c:pt>
                <c:pt idx="24">
                  <c:v>Jan-Mar 2013</c:v>
                </c:pt>
                <c:pt idx="25">
                  <c:v>Feb-Apr 2013</c:v>
                </c:pt>
                <c:pt idx="26">
                  <c:v>Mar-May 2013</c:v>
                </c:pt>
                <c:pt idx="27">
                  <c:v>Apr-Jun 2013</c:v>
                </c:pt>
                <c:pt idx="28">
                  <c:v>May-Jul 2013</c:v>
                </c:pt>
                <c:pt idx="29">
                  <c:v>Jun-Aug 2013</c:v>
                </c:pt>
                <c:pt idx="30">
                  <c:v>Jul-Sept 2013</c:v>
                </c:pt>
                <c:pt idx="31">
                  <c:v>Aug-Oct 2013</c:v>
                </c:pt>
                <c:pt idx="32">
                  <c:v>Sept-Nov 2013</c:v>
                </c:pt>
                <c:pt idx="33">
                  <c:v>Oct-Dec 2013</c:v>
                </c:pt>
                <c:pt idx="34">
                  <c:v>Nov 2013-Jan 2013</c:v>
                </c:pt>
                <c:pt idx="35">
                  <c:v>Dec 2012-Feb 2014</c:v>
                </c:pt>
                <c:pt idx="36">
                  <c:v>Jan-Mar 2014</c:v>
                </c:pt>
                <c:pt idx="37">
                  <c:v>Feb-Apr 2014</c:v>
                </c:pt>
                <c:pt idx="38">
                  <c:v>Mar-May 2014</c:v>
                </c:pt>
                <c:pt idx="39">
                  <c:v>Apr-Jun 2014</c:v>
                </c:pt>
                <c:pt idx="40">
                  <c:v>May-Jul 2014</c:v>
                </c:pt>
                <c:pt idx="41">
                  <c:v>Jun-Aug 2014</c:v>
                </c:pt>
                <c:pt idx="42">
                  <c:v>Jul-Sept 2014</c:v>
                </c:pt>
                <c:pt idx="43">
                  <c:v>Aug-Oct 2014</c:v>
                </c:pt>
                <c:pt idx="44">
                  <c:v>Sept-Nov 2014</c:v>
                </c:pt>
                <c:pt idx="45">
                  <c:v>Oct-Dec 2014</c:v>
                </c:pt>
                <c:pt idx="46">
                  <c:v>Nov 2014-Jan 2015</c:v>
                </c:pt>
                <c:pt idx="47">
                  <c:v>Dec 2014-Jan 2015</c:v>
                </c:pt>
                <c:pt idx="48">
                  <c:v>Jan-Mar 2015</c:v>
                </c:pt>
                <c:pt idx="49">
                  <c:v>Feb-Apr 2015</c:v>
                </c:pt>
                <c:pt idx="50">
                  <c:v>Mar-May 2015</c:v>
                </c:pt>
                <c:pt idx="51">
                  <c:v>Apr-Jun2015</c:v>
                </c:pt>
                <c:pt idx="52">
                  <c:v>May-Jul 2015</c:v>
                </c:pt>
                <c:pt idx="53">
                  <c:v>Jun-Aug 2015</c:v>
                </c:pt>
                <c:pt idx="54">
                  <c:v>Jul-Sept 2015</c:v>
                </c:pt>
                <c:pt idx="55">
                  <c:v>Aug-Oct 2015</c:v>
                </c:pt>
                <c:pt idx="56">
                  <c:v>Sept-Nov 2015</c:v>
                </c:pt>
                <c:pt idx="57">
                  <c:v>Oct-Dec 2015</c:v>
                </c:pt>
                <c:pt idx="58">
                  <c:v>Nov 2015-Jan 2016</c:v>
                </c:pt>
                <c:pt idx="59">
                  <c:v>Dec 2015-Feb 2016</c:v>
                </c:pt>
                <c:pt idx="60">
                  <c:v>Jan-Mar 2016</c:v>
                </c:pt>
                <c:pt idx="61">
                  <c:v>Feb-Apr 2016</c:v>
                </c:pt>
              </c:strCache>
            </c:strRef>
          </c:cat>
          <c:val>
            <c:numRef>
              <c:f>'3 point roll ave'!$J$2:$J$63</c:f>
              <c:numCache>
                <c:formatCode>0.0</c:formatCode>
                <c:ptCount val="62"/>
                <c:pt idx="0">
                  <c:v>63.722738700812712</c:v>
                </c:pt>
                <c:pt idx="1">
                  <c:v>55.827133224831442</c:v>
                </c:pt>
                <c:pt idx="2">
                  <c:v>63.268535262206157</c:v>
                </c:pt>
                <c:pt idx="3">
                  <c:v>60.802002095215911</c:v>
                </c:pt>
                <c:pt idx="4">
                  <c:v>60.390642743583918</c:v>
                </c:pt>
                <c:pt idx="5">
                  <c:v>59.523397879207003</c:v>
                </c:pt>
                <c:pt idx="6">
                  <c:v>59.660825325042403</c:v>
                </c:pt>
                <c:pt idx="7">
                  <c:v>61.105641144445727</c:v>
                </c:pt>
                <c:pt idx="8">
                  <c:v>54.106022955863203</c:v>
                </c:pt>
                <c:pt idx="9">
                  <c:v>49.722222222222214</c:v>
                </c:pt>
                <c:pt idx="10">
                  <c:v>53.092427693794434</c:v>
                </c:pt>
                <c:pt idx="11">
                  <c:v>56.668165130740995</c:v>
                </c:pt>
                <c:pt idx="12">
                  <c:v>59.488618400252932</c:v>
                </c:pt>
                <c:pt idx="13">
                  <c:v>51.62098668754895</c:v>
                </c:pt>
                <c:pt idx="14">
                  <c:v>43.756217002065959</c:v>
                </c:pt>
                <c:pt idx="15">
                  <c:v>49.54510993176649</c:v>
                </c:pt>
                <c:pt idx="16">
                  <c:v>48.986337593653587</c:v>
                </c:pt>
                <c:pt idx="17">
                  <c:v>61.159854483201364</c:v>
                </c:pt>
                <c:pt idx="18">
                  <c:v>59.857960568157729</c:v>
                </c:pt>
                <c:pt idx="19">
                  <c:v>64.830139372822302</c:v>
                </c:pt>
                <c:pt idx="20">
                  <c:v>64.228093546477211</c:v>
                </c:pt>
                <c:pt idx="21">
                  <c:v>40.534545454545452</c:v>
                </c:pt>
                <c:pt idx="22">
                  <c:v>43.75981161695448</c:v>
                </c:pt>
                <c:pt idx="23">
                  <c:v>32.091900197556157</c:v>
                </c:pt>
                <c:pt idx="24">
                  <c:v>54.295784990453811</c:v>
                </c:pt>
                <c:pt idx="25">
                  <c:v>53.290414878397712</c:v>
                </c:pt>
                <c:pt idx="26">
                  <c:v>56.050305914343987</c:v>
                </c:pt>
                <c:pt idx="27">
                  <c:v>53.136849362288864</c:v>
                </c:pt>
                <c:pt idx="28">
                  <c:v>51.877773984294983</c:v>
                </c:pt>
                <c:pt idx="29">
                  <c:v>53.663190894840859</c:v>
                </c:pt>
                <c:pt idx="30">
                  <c:v>51.6456698106985</c:v>
                </c:pt>
                <c:pt idx="31">
                  <c:v>51.964751958224547</c:v>
                </c:pt>
                <c:pt idx="32">
                  <c:v>49.700235769619397</c:v>
                </c:pt>
                <c:pt idx="33">
                  <c:v>55.375835753359901</c:v>
                </c:pt>
                <c:pt idx="34">
                  <c:v>51.108061060524903</c:v>
                </c:pt>
                <c:pt idx="35">
                  <c:v>47.506082725060828</c:v>
                </c:pt>
                <c:pt idx="36">
                  <c:v>46.951744224531666</c:v>
                </c:pt>
                <c:pt idx="37">
                  <c:v>39.781314786330505</c:v>
                </c:pt>
                <c:pt idx="38">
                  <c:v>42.27352923282838</c:v>
                </c:pt>
                <c:pt idx="39">
                  <c:v>34.408570064454523</c:v>
                </c:pt>
                <c:pt idx="40">
                  <c:v>41.415814893856002</c:v>
                </c:pt>
                <c:pt idx="41">
                  <c:v>44.544371311847478</c:v>
                </c:pt>
                <c:pt idx="42">
                  <c:v>53.539549767024084</c:v>
                </c:pt>
                <c:pt idx="43">
                  <c:v>52.96398414613131</c:v>
                </c:pt>
                <c:pt idx="44">
                  <c:v>47.417068330025522</c:v>
                </c:pt>
                <c:pt idx="45">
                  <c:v>51.170675166618373</c:v>
                </c:pt>
                <c:pt idx="46">
                  <c:v>55.065465963623438</c:v>
                </c:pt>
                <c:pt idx="47">
                  <c:v>60.342564230793272</c:v>
                </c:pt>
                <c:pt idx="48">
                  <c:v>54.49670972459176</c:v>
                </c:pt>
                <c:pt idx="49">
                  <c:v>52.954362570410389</c:v>
                </c:pt>
                <c:pt idx="50">
                  <c:v>51.016013252346774</c:v>
                </c:pt>
                <c:pt idx="51">
                  <c:v>44.90784044016506</c:v>
                </c:pt>
                <c:pt idx="52">
                  <c:v>45.346114046075918</c:v>
                </c:pt>
                <c:pt idx="53">
                  <c:v>52.371808740804852</c:v>
                </c:pt>
                <c:pt idx="54">
                  <c:v>51.794431629204439</c:v>
                </c:pt>
                <c:pt idx="55">
                  <c:v>56.541063342092031</c:v>
                </c:pt>
                <c:pt idx="56">
                  <c:v>52.747159572664067</c:v>
                </c:pt>
                <c:pt idx="57">
                  <c:v>66.199226305609272</c:v>
                </c:pt>
                <c:pt idx="58">
                  <c:v>55.625772385125266</c:v>
                </c:pt>
                <c:pt idx="59">
                  <c:v>59.013498889331885</c:v>
                </c:pt>
                <c:pt idx="60">
                  <c:v>56.387845123345848</c:v>
                </c:pt>
                <c:pt idx="61">
                  <c:v>66.171106444125115</c:v>
                </c:pt>
              </c:numCache>
            </c:numRef>
          </c:val>
          <c:smooth val="0"/>
        </c:ser>
        <c:ser>
          <c:idx val="2"/>
          <c:order val="2"/>
          <c:tx>
            <c:v>MCH</c:v>
          </c:tx>
          <c:spPr>
            <a:ln>
              <a:prstDash val="dash"/>
            </a:ln>
          </c:spPr>
          <c:marker>
            <c:symbol val="none"/>
          </c:marker>
          <c:cat>
            <c:strRef>
              <c:f>'3 point roll ave'!$H$2:$H$63</c:f>
              <c:strCache>
                <c:ptCount val="62"/>
                <c:pt idx="0">
                  <c:v>Jan-Mar 2011</c:v>
                </c:pt>
                <c:pt idx="1">
                  <c:v>Feb-Apr 2011</c:v>
                </c:pt>
                <c:pt idx="2">
                  <c:v>Mar-May 2011</c:v>
                </c:pt>
                <c:pt idx="3">
                  <c:v>Apr-Jun 2011</c:v>
                </c:pt>
                <c:pt idx="4">
                  <c:v>May-Jul 2011</c:v>
                </c:pt>
                <c:pt idx="5">
                  <c:v>Jun-Aug 2011</c:v>
                </c:pt>
                <c:pt idx="6">
                  <c:v>Jul-Sept 2011</c:v>
                </c:pt>
                <c:pt idx="7">
                  <c:v>Aug-Oct 2011</c:v>
                </c:pt>
                <c:pt idx="8">
                  <c:v>Sept-Nov 2011</c:v>
                </c:pt>
                <c:pt idx="9">
                  <c:v>Oct-Dec 2011</c:v>
                </c:pt>
                <c:pt idx="10">
                  <c:v>Nov 2011-Jan 2012</c:v>
                </c:pt>
                <c:pt idx="11">
                  <c:v>Dec 2011-Feb 2012</c:v>
                </c:pt>
                <c:pt idx="12">
                  <c:v>Jan-Mar 2012</c:v>
                </c:pt>
                <c:pt idx="13">
                  <c:v>Feb-Apr 2012</c:v>
                </c:pt>
                <c:pt idx="14">
                  <c:v>Mar-May 2012</c:v>
                </c:pt>
                <c:pt idx="15">
                  <c:v>Apr-Jun 2012</c:v>
                </c:pt>
                <c:pt idx="16">
                  <c:v>May-Jul 2012</c:v>
                </c:pt>
                <c:pt idx="17">
                  <c:v>Jun-Aug 2012</c:v>
                </c:pt>
                <c:pt idx="18">
                  <c:v>Jul-Sept 2012</c:v>
                </c:pt>
                <c:pt idx="19">
                  <c:v>Aug-Oct 2012</c:v>
                </c:pt>
                <c:pt idx="20">
                  <c:v>Sept-Nov 2012</c:v>
                </c:pt>
                <c:pt idx="21">
                  <c:v>Oct-Dec 2012</c:v>
                </c:pt>
                <c:pt idx="22">
                  <c:v>Nov 2012-Jan 2013</c:v>
                </c:pt>
                <c:pt idx="23">
                  <c:v>Dec 2012-Feb 2013</c:v>
                </c:pt>
                <c:pt idx="24">
                  <c:v>Jan-Mar 2013</c:v>
                </c:pt>
                <c:pt idx="25">
                  <c:v>Feb-Apr 2013</c:v>
                </c:pt>
                <c:pt idx="26">
                  <c:v>Mar-May 2013</c:v>
                </c:pt>
                <c:pt idx="27">
                  <c:v>Apr-Jun 2013</c:v>
                </c:pt>
                <c:pt idx="28">
                  <c:v>May-Jul 2013</c:v>
                </c:pt>
                <c:pt idx="29">
                  <c:v>Jun-Aug 2013</c:v>
                </c:pt>
                <c:pt idx="30">
                  <c:v>Jul-Sept 2013</c:v>
                </c:pt>
                <c:pt idx="31">
                  <c:v>Aug-Oct 2013</c:v>
                </c:pt>
                <c:pt idx="32">
                  <c:v>Sept-Nov 2013</c:v>
                </c:pt>
                <c:pt idx="33">
                  <c:v>Oct-Dec 2013</c:v>
                </c:pt>
                <c:pt idx="34">
                  <c:v>Nov 2013-Jan 2013</c:v>
                </c:pt>
                <c:pt idx="35">
                  <c:v>Dec 2012-Feb 2014</c:v>
                </c:pt>
                <c:pt idx="36">
                  <c:v>Jan-Mar 2014</c:v>
                </c:pt>
                <c:pt idx="37">
                  <c:v>Feb-Apr 2014</c:v>
                </c:pt>
                <c:pt idx="38">
                  <c:v>Mar-May 2014</c:v>
                </c:pt>
                <c:pt idx="39">
                  <c:v>Apr-Jun 2014</c:v>
                </c:pt>
                <c:pt idx="40">
                  <c:v>May-Jul 2014</c:v>
                </c:pt>
                <c:pt idx="41">
                  <c:v>Jun-Aug 2014</c:v>
                </c:pt>
                <c:pt idx="42">
                  <c:v>Jul-Sept 2014</c:v>
                </c:pt>
                <c:pt idx="43">
                  <c:v>Aug-Oct 2014</c:v>
                </c:pt>
                <c:pt idx="44">
                  <c:v>Sept-Nov 2014</c:v>
                </c:pt>
                <c:pt idx="45">
                  <c:v>Oct-Dec 2014</c:v>
                </c:pt>
                <c:pt idx="46">
                  <c:v>Nov 2014-Jan 2015</c:v>
                </c:pt>
                <c:pt idx="47">
                  <c:v>Dec 2014-Jan 2015</c:v>
                </c:pt>
                <c:pt idx="48">
                  <c:v>Jan-Mar 2015</c:v>
                </c:pt>
                <c:pt idx="49">
                  <c:v>Feb-Apr 2015</c:v>
                </c:pt>
                <c:pt idx="50">
                  <c:v>Mar-May 2015</c:v>
                </c:pt>
                <c:pt idx="51">
                  <c:v>Apr-Jun2015</c:v>
                </c:pt>
                <c:pt idx="52">
                  <c:v>May-Jul 2015</c:v>
                </c:pt>
                <c:pt idx="53">
                  <c:v>Jun-Aug 2015</c:v>
                </c:pt>
                <c:pt idx="54">
                  <c:v>Jul-Sept 2015</c:v>
                </c:pt>
                <c:pt idx="55">
                  <c:v>Aug-Oct 2015</c:v>
                </c:pt>
                <c:pt idx="56">
                  <c:v>Sept-Nov 2015</c:v>
                </c:pt>
                <c:pt idx="57">
                  <c:v>Oct-Dec 2015</c:v>
                </c:pt>
                <c:pt idx="58">
                  <c:v>Nov 2015-Jan 2016</c:v>
                </c:pt>
                <c:pt idx="59">
                  <c:v>Dec 2015-Feb 2016</c:v>
                </c:pt>
                <c:pt idx="60">
                  <c:v>Jan-Mar 2016</c:v>
                </c:pt>
                <c:pt idx="61">
                  <c:v>Feb-Apr 2016</c:v>
                </c:pt>
              </c:strCache>
            </c:strRef>
          </c:cat>
          <c:val>
            <c:numRef>
              <c:f>'3 point roll ave'!$K$2:$K$63</c:f>
              <c:numCache>
                <c:formatCode>0.0</c:formatCode>
                <c:ptCount val="62"/>
                <c:pt idx="0">
                  <c:v>29.486422668240849</c:v>
                </c:pt>
                <c:pt idx="1">
                  <c:v>39.311482168625027</c:v>
                </c:pt>
                <c:pt idx="2">
                  <c:v>41.856896220985988</c:v>
                </c:pt>
                <c:pt idx="3">
                  <c:v>48.788434127468953</c:v>
                </c:pt>
                <c:pt idx="4">
                  <c:v>27.753578095830743</c:v>
                </c:pt>
                <c:pt idx="5">
                  <c:v>24.384133611691023</c:v>
                </c:pt>
                <c:pt idx="6">
                  <c:v>23.618307426597582</c:v>
                </c:pt>
                <c:pt idx="7">
                  <c:v>40.476190476190482</c:v>
                </c:pt>
                <c:pt idx="8">
                  <c:v>49.657534246575338</c:v>
                </c:pt>
                <c:pt idx="9">
                  <c:v>65.871254162042177</c:v>
                </c:pt>
                <c:pt idx="10">
                  <c:v>61.629711751662974</c:v>
                </c:pt>
                <c:pt idx="11">
                  <c:v>63.894862604540023</c:v>
                </c:pt>
                <c:pt idx="12">
                  <c:v>67.142857142857139</c:v>
                </c:pt>
                <c:pt idx="13">
                  <c:v>71.020563594821027</c:v>
                </c:pt>
                <c:pt idx="14">
                  <c:v>57.689655172413794</c:v>
                </c:pt>
                <c:pt idx="15">
                  <c:v>38.741438356164387</c:v>
                </c:pt>
                <c:pt idx="16">
                  <c:v>27.360625385723104</c:v>
                </c:pt>
                <c:pt idx="17">
                  <c:v>22.629730784237221</c:v>
                </c:pt>
                <c:pt idx="18">
                  <c:v>17.949740725967292</c:v>
                </c:pt>
                <c:pt idx="19">
                  <c:v>17.242789936592349</c:v>
                </c:pt>
                <c:pt idx="20">
                  <c:v>31.591710758377424</c:v>
                </c:pt>
                <c:pt idx="21">
                  <c:v>42.660004758505828</c:v>
                </c:pt>
                <c:pt idx="22">
                  <c:v>42.989741084513923</c:v>
                </c:pt>
                <c:pt idx="23">
                  <c:v>40.324692327834512</c:v>
                </c:pt>
                <c:pt idx="24">
                  <c:v>42.747309072270632</c:v>
                </c:pt>
                <c:pt idx="25">
                  <c:v>60.25676044796505</c:v>
                </c:pt>
                <c:pt idx="26">
                  <c:v>61.521739130434774</c:v>
                </c:pt>
                <c:pt idx="27">
                  <c:v>64.917666759698577</c:v>
                </c:pt>
                <c:pt idx="28">
                  <c:v>62.096559082421983</c:v>
                </c:pt>
                <c:pt idx="29">
                  <c:v>48.366013071895424</c:v>
                </c:pt>
                <c:pt idx="30">
                  <c:v>44.777611194402795</c:v>
                </c:pt>
                <c:pt idx="31">
                  <c:v>48.797083839611183</c:v>
                </c:pt>
                <c:pt idx="32">
                  <c:v>53.260600049590877</c:v>
                </c:pt>
                <c:pt idx="33">
                  <c:v>46.029298380878949</c:v>
                </c:pt>
                <c:pt idx="34">
                  <c:v>41.325006787944609</c:v>
                </c:pt>
                <c:pt idx="35">
                  <c:v>46.272493573264782</c:v>
                </c:pt>
                <c:pt idx="36">
                  <c:v>55.751937984496124</c:v>
                </c:pt>
                <c:pt idx="37">
                  <c:v>49.582947173308618</c:v>
                </c:pt>
                <c:pt idx="38">
                  <c:v>52.214650766609871</c:v>
                </c:pt>
                <c:pt idx="39">
                  <c:v>37.388568432092292</c:v>
                </c:pt>
                <c:pt idx="40">
                  <c:v>44.444444444444436</c:v>
                </c:pt>
                <c:pt idx="41">
                  <c:v>40.948275862068961</c:v>
                </c:pt>
                <c:pt idx="42">
                  <c:v>48.131056760498382</c:v>
                </c:pt>
                <c:pt idx="43">
                  <c:v>37.671076642335755</c:v>
                </c:pt>
                <c:pt idx="44">
                  <c:v>30.628778718258769</c:v>
                </c:pt>
                <c:pt idx="45">
                  <c:v>27.205698575356159</c:v>
                </c:pt>
                <c:pt idx="46">
                  <c:v>27.474267616785429</c:v>
                </c:pt>
                <c:pt idx="47">
                  <c:v>29.997258020290648</c:v>
                </c:pt>
                <c:pt idx="48">
                  <c:v>32.721712538226299</c:v>
                </c:pt>
                <c:pt idx="49">
                  <c:v>36.518356430829073</c:v>
                </c:pt>
                <c:pt idx="50">
                  <c:v>38.766298896690074</c:v>
                </c:pt>
                <c:pt idx="51">
                  <c:v>43.03701838327877</c:v>
                </c:pt>
                <c:pt idx="52">
                  <c:v>39.746682750301567</c:v>
                </c:pt>
                <c:pt idx="53">
                  <c:v>44.570446735395187</c:v>
                </c:pt>
                <c:pt idx="54">
                  <c:v>47.03132304815334</c:v>
                </c:pt>
                <c:pt idx="55">
                  <c:v>53.576356945722168</c:v>
                </c:pt>
                <c:pt idx="56">
                  <c:v>42.272111913357399</c:v>
                </c:pt>
                <c:pt idx="57">
                  <c:v>33.607548995886766</c:v>
                </c:pt>
                <c:pt idx="58">
                  <c:v>25.983519404572036</c:v>
                </c:pt>
                <c:pt idx="59">
                  <c:v>42.863151991026363</c:v>
                </c:pt>
                <c:pt idx="60">
                  <c:v>38.225492918633719</c:v>
                </c:pt>
                <c:pt idx="61">
                  <c:v>46.966442953020135</c:v>
                </c:pt>
              </c:numCache>
            </c:numRef>
          </c:val>
          <c:smooth val="0"/>
        </c:ser>
        <c:ser>
          <c:idx val="3"/>
          <c:order val="3"/>
          <c:tx>
            <c:v>NWRH</c:v>
          </c:tx>
          <c:spPr>
            <a:ln>
              <a:prstDash val="lgDash"/>
            </a:ln>
          </c:spPr>
          <c:marker>
            <c:symbol val="none"/>
          </c:marker>
          <c:cat>
            <c:strRef>
              <c:f>'3 point roll ave'!$H$2:$H$63</c:f>
              <c:strCache>
                <c:ptCount val="62"/>
                <c:pt idx="0">
                  <c:v>Jan-Mar 2011</c:v>
                </c:pt>
                <c:pt idx="1">
                  <c:v>Feb-Apr 2011</c:v>
                </c:pt>
                <c:pt idx="2">
                  <c:v>Mar-May 2011</c:v>
                </c:pt>
                <c:pt idx="3">
                  <c:v>Apr-Jun 2011</c:v>
                </c:pt>
                <c:pt idx="4">
                  <c:v>May-Jul 2011</c:v>
                </c:pt>
                <c:pt idx="5">
                  <c:v>Jun-Aug 2011</c:v>
                </c:pt>
                <c:pt idx="6">
                  <c:v>Jul-Sept 2011</c:v>
                </c:pt>
                <c:pt idx="7">
                  <c:v>Aug-Oct 2011</c:v>
                </c:pt>
                <c:pt idx="8">
                  <c:v>Sept-Nov 2011</c:v>
                </c:pt>
                <c:pt idx="9">
                  <c:v>Oct-Dec 2011</c:v>
                </c:pt>
                <c:pt idx="10">
                  <c:v>Nov 2011-Jan 2012</c:v>
                </c:pt>
                <c:pt idx="11">
                  <c:v>Dec 2011-Feb 2012</c:v>
                </c:pt>
                <c:pt idx="12">
                  <c:v>Jan-Mar 2012</c:v>
                </c:pt>
                <c:pt idx="13">
                  <c:v>Feb-Apr 2012</c:v>
                </c:pt>
                <c:pt idx="14">
                  <c:v>Mar-May 2012</c:v>
                </c:pt>
                <c:pt idx="15">
                  <c:v>Apr-Jun 2012</c:v>
                </c:pt>
                <c:pt idx="16">
                  <c:v>May-Jul 2012</c:v>
                </c:pt>
                <c:pt idx="17">
                  <c:v>Jun-Aug 2012</c:v>
                </c:pt>
                <c:pt idx="18">
                  <c:v>Jul-Sept 2012</c:v>
                </c:pt>
                <c:pt idx="19">
                  <c:v>Aug-Oct 2012</c:v>
                </c:pt>
                <c:pt idx="20">
                  <c:v>Sept-Nov 2012</c:v>
                </c:pt>
                <c:pt idx="21">
                  <c:v>Oct-Dec 2012</c:v>
                </c:pt>
                <c:pt idx="22">
                  <c:v>Nov 2012-Jan 2013</c:v>
                </c:pt>
                <c:pt idx="23">
                  <c:v>Dec 2012-Feb 2013</c:v>
                </c:pt>
                <c:pt idx="24">
                  <c:v>Jan-Mar 2013</c:v>
                </c:pt>
                <c:pt idx="25">
                  <c:v>Feb-Apr 2013</c:v>
                </c:pt>
                <c:pt idx="26">
                  <c:v>Mar-May 2013</c:v>
                </c:pt>
                <c:pt idx="27">
                  <c:v>Apr-Jun 2013</c:v>
                </c:pt>
                <c:pt idx="28">
                  <c:v>May-Jul 2013</c:v>
                </c:pt>
                <c:pt idx="29">
                  <c:v>Jun-Aug 2013</c:v>
                </c:pt>
                <c:pt idx="30">
                  <c:v>Jul-Sept 2013</c:v>
                </c:pt>
                <c:pt idx="31">
                  <c:v>Aug-Oct 2013</c:v>
                </c:pt>
                <c:pt idx="32">
                  <c:v>Sept-Nov 2013</c:v>
                </c:pt>
                <c:pt idx="33">
                  <c:v>Oct-Dec 2013</c:v>
                </c:pt>
                <c:pt idx="34">
                  <c:v>Nov 2013-Jan 2013</c:v>
                </c:pt>
                <c:pt idx="35">
                  <c:v>Dec 2012-Feb 2014</c:v>
                </c:pt>
                <c:pt idx="36">
                  <c:v>Jan-Mar 2014</c:v>
                </c:pt>
                <c:pt idx="37">
                  <c:v>Feb-Apr 2014</c:v>
                </c:pt>
                <c:pt idx="38">
                  <c:v>Mar-May 2014</c:v>
                </c:pt>
                <c:pt idx="39">
                  <c:v>Apr-Jun 2014</c:v>
                </c:pt>
                <c:pt idx="40">
                  <c:v>May-Jul 2014</c:v>
                </c:pt>
                <c:pt idx="41">
                  <c:v>Jun-Aug 2014</c:v>
                </c:pt>
                <c:pt idx="42">
                  <c:v>Jul-Sept 2014</c:v>
                </c:pt>
                <c:pt idx="43">
                  <c:v>Aug-Oct 2014</c:v>
                </c:pt>
                <c:pt idx="44">
                  <c:v>Sept-Nov 2014</c:v>
                </c:pt>
                <c:pt idx="45">
                  <c:v>Oct-Dec 2014</c:v>
                </c:pt>
                <c:pt idx="46">
                  <c:v>Nov 2014-Jan 2015</c:v>
                </c:pt>
                <c:pt idx="47">
                  <c:v>Dec 2014-Jan 2015</c:v>
                </c:pt>
                <c:pt idx="48">
                  <c:v>Jan-Mar 2015</c:v>
                </c:pt>
                <c:pt idx="49">
                  <c:v>Feb-Apr 2015</c:v>
                </c:pt>
                <c:pt idx="50">
                  <c:v>Mar-May 2015</c:v>
                </c:pt>
                <c:pt idx="51">
                  <c:v>Apr-Jun2015</c:v>
                </c:pt>
                <c:pt idx="52">
                  <c:v>May-Jul 2015</c:v>
                </c:pt>
                <c:pt idx="53">
                  <c:v>Jun-Aug 2015</c:v>
                </c:pt>
                <c:pt idx="54">
                  <c:v>Jul-Sept 2015</c:v>
                </c:pt>
                <c:pt idx="55">
                  <c:v>Aug-Oct 2015</c:v>
                </c:pt>
                <c:pt idx="56">
                  <c:v>Sept-Nov 2015</c:v>
                </c:pt>
                <c:pt idx="57">
                  <c:v>Oct-Dec 2015</c:v>
                </c:pt>
                <c:pt idx="58">
                  <c:v>Nov 2015-Jan 2016</c:v>
                </c:pt>
                <c:pt idx="59">
                  <c:v>Dec 2015-Feb 2016</c:v>
                </c:pt>
                <c:pt idx="60">
                  <c:v>Jan-Mar 2016</c:v>
                </c:pt>
                <c:pt idx="61">
                  <c:v>Feb-Apr 2016</c:v>
                </c:pt>
              </c:strCache>
            </c:strRef>
          </c:cat>
          <c:val>
            <c:numRef>
              <c:f>'3 point roll ave'!$L$2:$L$63</c:f>
              <c:numCache>
                <c:formatCode>0.0</c:formatCode>
                <c:ptCount val="62"/>
                <c:pt idx="0">
                  <c:v>38.663053297199639</c:v>
                </c:pt>
                <c:pt idx="1">
                  <c:v>49.068541300527251</c:v>
                </c:pt>
                <c:pt idx="2">
                  <c:v>45.889164598842015</c:v>
                </c:pt>
                <c:pt idx="3">
                  <c:v>51.169888097660227</c:v>
                </c:pt>
                <c:pt idx="4">
                  <c:v>37.968801858612679</c:v>
                </c:pt>
                <c:pt idx="5">
                  <c:v>44.133244945309919</c:v>
                </c:pt>
                <c:pt idx="6">
                  <c:v>44.08406420651994</c:v>
                </c:pt>
                <c:pt idx="7">
                  <c:v>41.91637040799052</c:v>
                </c:pt>
                <c:pt idx="8">
                  <c:v>31.830880983423356</c:v>
                </c:pt>
                <c:pt idx="9">
                  <c:v>33.025597985732261</c:v>
                </c:pt>
                <c:pt idx="10">
                  <c:v>43.998040176384123</c:v>
                </c:pt>
                <c:pt idx="11">
                  <c:v>44.078113111843777</c:v>
                </c:pt>
                <c:pt idx="12">
                  <c:v>52.765700483091784</c:v>
                </c:pt>
                <c:pt idx="13">
                  <c:v>51.99584679280111</c:v>
                </c:pt>
                <c:pt idx="14">
                  <c:v>65.881006864988564</c:v>
                </c:pt>
                <c:pt idx="15">
                  <c:v>74.446277097078223</c:v>
                </c:pt>
                <c:pt idx="16">
                  <c:v>74.144990366088635</c:v>
                </c:pt>
                <c:pt idx="17">
                  <c:v>68.231841526045486</c:v>
                </c:pt>
                <c:pt idx="18">
                  <c:v>53.830010493179429</c:v>
                </c:pt>
                <c:pt idx="19">
                  <c:v>63.29047494096038</c:v>
                </c:pt>
                <c:pt idx="20">
                  <c:v>65.368211543929476</c:v>
                </c:pt>
                <c:pt idx="21">
                  <c:v>54.379977246871448</c:v>
                </c:pt>
                <c:pt idx="22">
                  <c:v>47.975253093363335</c:v>
                </c:pt>
                <c:pt idx="23">
                  <c:v>38.702702702702702</c:v>
                </c:pt>
                <c:pt idx="24">
                  <c:v>66.116129032258087</c:v>
                </c:pt>
                <c:pt idx="25">
                  <c:v>56.874510827028438</c:v>
                </c:pt>
                <c:pt idx="26">
                  <c:v>42.379275653923543</c:v>
                </c:pt>
                <c:pt idx="27">
                  <c:v>21.50345180260803</c:v>
                </c:pt>
                <c:pt idx="28">
                  <c:v>41.421237503377469</c:v>
                </c:pt>
                <c:pt idx="29">
                  <c:v>60.38159371492705</c:v>
                </c:pt>
                <c:pt idx="30">
                  <c:v>68.958956238108186</c:v>
                </c:pt>
                <c:pt idx="31">
                  <c:v>54.882243979888862</c:v>
                </c:pt>
                <c:pt idx="32">
                  <c:v>68.164508758568161</c:v>
                </c:pt>
                <c:pt idx="33">
                  <c:v>65.78120910756347</c:v>
                </c:pt>
                <c:pt idx="34">
                  <c:v>61.779769526248394</c:v>
                </c:pt>
                <c:pt idx="35">
                  <c:v>43.780096308186195</c:v>
                </c:pt>
                <c:pt idx="36">
                  <c:v>45.262738853503187</c:v>
                </c:pt>
                <c:pt idx="37">
                  <c:v>50.843437005798634</c:v>
                </c:pt>
                <c:pt idx="38">
                  <c:v>64.5625</c:v>
                </c:pt>
                <c:pt idx="39">
                  <c:v>63.131813676907832</c:v>
                </c:pt>
                <c:pt idx="40">
                  <c:v>53.921096944912193</c:v>
                </c:pt>
                <c:pt idx="41">
                  <c:v>50.915331807780326</c:v>
                </c:pt>
                <c:pt idx="42">
                  <c:v>43.683127572016467</c:v>
                </c:pt>
                <c:pt idx="43">
                  <c:v>56.598984771573598</c:v>
                </c:pt>
                <c:pt idx="44">
                  <c:v>51.212176449143271</c:v>
                </c:pt>
                <c:pt idx="45">
                  <c:v>57.870370370370374</c:v>
                </c:pt>
                <c:pt idx="46">
                  <c:v>50.613982966924148</c:v>
                </c:pt>
                <c:pt idx="47">
                  <c:v>45.853007595976194</c:v>
                </c:pt>
                <c:pt idx="48">
                  <c:v>46.851733673686446</c:v>
                </c:pt>
                <c:pt idx="49">
                  <c:v>49.833541406575115</c:v>
                </c:pt>
                <c:pt idx="50">
                  <c:v>63.82591958939264</c:v>
                </c:pt>
                <c:pt idx="51">
                  <c:v>55.882954777982405</c:v>
                </c:pt>
                <c:pt idx="52">
                  <c:v>54.245380942495338</c:v>
                </c:pt>
                <c:pt idx="53">
                  <c:v>53.932244404113739</c:v>
                </c:pt>
                <c:pt idx="54">
                  <c:v>53.539292141571686</c:v>
                </c:pt>
                <c:pt idx="55">
                  <c:v>41.862976050255199</c:v>
                </c:pt>
                <c:pt idx="56">
                  <c:v>26.274966065541982</c:v>
                </c:pt>
                <c:pt idx="57">
                  <c:v>38.81338742393509</c:v>
                </c:pt>
                <c:pt idx="58">
                  <c:v>47.096774193548384</c:v>
                </c:pt>
                <c:pt idx="59">
                  <c:v>47.828324413338827</c:v>
                </c:pt>
                <c:pt idx="60">
                  <c:v>38.611820145297465</c:v>
                </c:pt>
                <c:pt idx="61">
                  <c:v>32.208765859284895</c:v>
                </c:pt>
              </c:numCache>
            </c:numRef>
          </c:val>
          <c:smooth val="0"/>
        </c:ser>
        <c:dLbls>
          <c:showLegendKey val="0"/>
          <c:showVal val="0"/>
          <c:showCatName val="0"/>
          <c:showSerName val="0"/>
          <c:showPercent val="0"/>
          <c:showBubbleSize val="0"/>
        </c:dLbls>
        <c:marker val="1"/>
        <c:smooth val="0"/>
        <c:axId val="210129408"/>
        <c:axId val="444163776"/>
      </c:lineChart>
      <c:catAx>
        <c:axId val="210129408"/>
        <c:scaling>
          <c:orientation val="minMax"/>
        </c:scaling>
        <c:delete val="0"/>
        <c:axPos val="b"/>
        <c:numFmt formatCode="General" sourceLinked="1"/>
        <c:majorTickMark val="out"/>
        <c:minorTickMark val="none"/>
        <c:tickLblPos val="nextTo"/>
        <c:txPr>
          <a:bodyPr rot="-5400000" vert="horz"/>
          <a:lstStyle/>
          <a:p>
            <a:pPr>
              <a:defRPr sz="600"/>
            </a:pPr>
            <a:endParaRPr lang="en-US"/>
          </a:p>
        </c:txPr>
        <c:crossAx val="444163776"/>
        <c:crosses val="autoZero"/>
        <c:auto val="1"/>
        <c:lblAlgn val="ctr"/>
        <c:lblOffset val="100"/>
        <c:noMultiLvlLbl val="0"/>
      </c:catAx>
      <c:valAx>
        <c:axId val="444163776"/>
        <c:scaling>
          <c:orientation val="minMax"/>
          <c:max val="100"/>
        </c:scaling>
        <c:delete val="0"/>
        <c:axPos val="l"/>
        <c:title>
          <c:tx>
            <c:rich>
              <a:bodyPr rot="-5400000" vert="horz"/>
              <a:lstStyle/>
              <a:p>
                <a:pPr>
                  <a:defRPr b="0"/>
                </a:pPr>
                <a:r>
                  <a:rPr lang="en-US" b="0"/>
                  <a:t>DDD/100 bed days</a:t>
                </a:r>
              </a:p>
            </c:rich>
          </c:tx>
          <c:layout>
            <c:manualLayout>
              <c:xMode val="edge"/>
              <c:yMode val="edge"/>
              <c:x val="5.5556278605670157E-3"/>
              <c:y val="0.3286416550872317"/>
            </c:manualLayout>
          </c:layout>
          <c:overlay val="0"/>
        </c:title>
        <c:numFmt formatCode="0" sourceLinked="0"/>
        <c:majorTickMark val="out"/>
        <c:minorTickMark val="none"/>
        <c:tickLblPos val="nextTo"/>
        <c:crossAx val="210129408"/>
        <c:crosses val="autoZero"/>
        <c:crossBetween val="between"/>
      </c:valAx>
    </c:plotArea>
    <c:legend>
      <c:legendPos val="t"/>
      <c:layout>
        <c:manualLayout>
          <c:xMode val="edge"/>
          <c:yMode val="edge"/>
          <c:x val="0.14062669792271221"/>
          <c:y val="0.11368761470275733"/>
          <c:w val="0.70228229559051625"/>
          <c:h val="6.8723824242559337E-2"/>
        </c:manualLayout>
      </c:layout>
      <c:overlay val="0"/>
    </c:legend>
    <c:plotVisOnly val="1"/>
    <c:dispBlanksAs val="gap"/>
    <c:showDLblsOverMax val="0"/>
  </c:chart>
  <c:txPr>
    <a:bodyPr/>
    <a:lstStyle/>
    <a:p>
      <a:pPr>
        <a:defRPr>
          <a:latin typeface="Gill Sans MT" panose="020B0502020104020203"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200"/>
            </a:pPr>
            <a:r>
              <a:rPr lang="en-US" sz="1200"/>
              <a:t>Anti-pseudomonal penicillin plus ß-lactamase inhibitor use in Tasmania - 3 point rolling average</a:t>
            </a:r>
          </a:p>
        </c:rich>
      </c:tx>
      <c:layout>
        <c:manualLayout>
          <c:xMode val="edge"/>
          <c:yMode val="edge"/>
          <c:x val="0.13436116353224442"/>
          <c:y val="2.7777674849467346E-2"/>
        </c:manualLayout>
      </c:layout>
      <c:overlay val="0"/>
    </c:title>
    <c:autoTitleDeleted val="0"/>
    <c:plotArea>
      <c:layout>
        <c:manualLayout>
          <c:layoutTarget val="inner"/>
          <c:xMode val="edge"/>
          <c:yMode val="edge"/>
          <c:x val="8.4017960564846755E-2"/>
          <c:y val="0.21015593639030417"/>
          <c:w val="0.88542652003210343"/>
          <c:h val="0.55512552107457158"/>
        </c:manualLayout>
      </c:layout>
      <c:lineChart>
        <c:grouping val="standard"/>
        <c:varyColors val="0"/>
        <c:ser>
          <c:idx val="0"/>
          <c:order val="0"/>
          <c:tx>
            <c:strRef>
              <c:f>'3 point roll ave'!$P$1</c:f>
              <c:strCache>
                <c:ptCount val="1"/>
                <c:pt idx="0">
                  <c:v>RHH</c:v>
                </c:pt>
              </c:strCache>
            </c:strRef>
          </c:tx>
          <c:marker>
            <c:symbol val="none"/>
          </c:marker>
          <c:cat>
            <c:strRef>
              <c:f>'3 point roll ave'!$O$2:$O$63</c:f>
              <c:strCache>
                <c:ptCount val="62"/>
                <c:pt idx="0">
                  <c:v>Jan-Mar 2011</c:v>
                </c:pt>
                <c:pt idx="1">
                  <c:v>Feb-Apr 2011</c:v>
                </c:pt>
                <c:pt idx="2">
                  <c:v>Mar-May 2011</c:v>
                </c:pt>
                <c:pt idx="3">
                  <c:v>Apr-Jun 2011</c:v>
                </c:pt>
                <c:pt idx="4">
                  <c:v>May-Jul 2011</c:v>
                </c:pt>
                <c:pt idx="5">
                  <c:v>Jun-Aug 2011</c:v>
                </c:pt>
                <c:pt idx="6">
                  <c:v>Jul-Sept 2011</c:v>
                </c:pt>
                <c:pt idx="7">
                  <c:v>Aug-Oct 2011</c:v>
                </c:pt>
                <c:pt idx="8">
                  <c:v>Sept-Nov 2011</c:v>
                </c:pt>
                <c:pt idx="9">
                  <c:v>Oct-Dec 2011</c:v>
                </c:pt>
                <c:pt idx="10">
                  <c:v>Nov 2011-Jan 2012</c:v>
                </c:pt>
                <c:pt idx="11">
                  <c:v>Dec 2011-Feb 2012</c:v>
                </c:pt>
                <c:pt idx="12">
                  <c:v>Jan-Mar 2012</c:v>
                </c:pt>
                <c:pt idx="13">
                  <c:v>Feb-Apr 2012</c:v>
                </c:pt>
                <c:pt idx="14">
                  <c:v>Mar-May 2012</c:v>
                </c:pt>
                <c:pt idx="15">
                  <c:v>Apr-Jun 2012</c:v>
                </c:pt>
                <c:pt idx="16">
                  <c:v>May-Jul 2012</c:v>
                </c:pt>
                <c:pt idx="17">
                  <c:v>Jun-Aug 2012</c:v>
                </c:pt>
                <c:pt idx="18">
                  <c:v>Jul-Sept 2012</c:v>
                </c:pt>
                <c:pt idx="19">
                  <c:v>Aug-Oct 2012</c:v>
                </c:pt>
                <c:pt idx="20">
                  <c:v>Sept-Nov 2012</c:v>
                </c:pt>
                <c:pt idx="21">
                  <c:v>Oct-Dec 2012</c:v>
                </c:pt>
                <c:pt idx="22">
                  <c:v>Nov 2012-Jan 2013</c:v>
                </c:pt>
                <c:pt idx="23">
                  <c:v>Dec 2012-Feb 2013</c:v>
                </c:pt>
                <c:pt idx="24">
                  <c:v>Jan-Mar 2013</c:v>
                </c:pt>
                <c:pt idx="25">
                  <c:v>Feb-Apr 2013</c:v>
                </c:pt>
                <c:pt idx="26">
                  <c:v>Mar-May 2013</c:v>
                </c:pt>
                <c:pt idx="27">
                  <c:v>Apr-Jun 2013</c:v>
                </c:pt>
                <c:pt idx="28">
                  <c:v>May-Jul 2013</c:v>
                </c:pt>
                <c:pt idx="29">
                  <c:v>Jun-Aug 2013</c:v>
                </c:pt>
                <c:pt idx="30">
                  <c:v>Jul-Sept 2013</c:v>
                </c:pt>
                <c:pt idx="31">
                  <c:v>Aug-Oct 2013</c:v>
                </c:pt>
                <c:pt idx="32">
                  <c:v>Sept-Nov 2013</c:v>
                </c:pt>
                <c:pt idx="33">
                  <c:v>Oct-Dec 2013</c:v>
                </c:pt>
                <c:pt idx="34">
                  <c:v>Nov 2013-Jan 2013</c:v>
                </c:pt>
                <c:pt idx="35">
                  <c:v>Dec 2012-Feb 2014</c:v>
                </c:pt>
                <c:pt idx="36">
                  <c:v>Jan-Mar 2014</c:v>
                </c:pt>
                <c:pt idx="37">
                  <c:v>Feb-Apr 2014</c:v>
                </c:pt>
                <c:pt idx="38">
                  <c:v>Mar-May 2014</c:v>
                </c:pt>
                <c:pt idx="39">
                  <c:v>Apr-Jun 2014</c:v>
                </c:pt>
                <c:pt idx="40">
                  <c:v>May-Jul 2014</c:v>
                </c:pt>
                <c:pt idx="41">
                  <c:v>Jun-Aug 2014</c:v>
                </c:pt>
                <c:pt idx="42">
                  <c:v>Jul-Sept 2014</c:v>
                </c:pt>
                <c:pt idx="43">
                  <c:v>Aug-Oct 2014</c:v>
                </c:pt>
                <c:pt idx="44">
                  <c:v>Sept-Nov 2014</c:v>
                </c:pt>
                <c:pt idx="45">
                  <c:v>Oct-Dec 2014</c:v>
                </c:pt>
                <c:pt idx="46">
                  <c:v>Nov 2014-Jan 2015</c:v>
                </c:pt>
                <c:pt idx="47">
                  <c:v>Dec 2014-Jan 2015</c:v>
                </c:pt>
                <c:pt idx="48">
                  <c:v>Jan-Mar 2015</c:v>
                </c:pt>
                <c:pt idx="49">
                  <c:v>Feb-Apr 2015</c:v>
                </c:pt>
                <c:pt idx="50">
                  <c:v>Mar-May 2015</c:v>
                </c:pt>
                <c:pt idx="51">
                  <c:v>Apr-Jun2015</c:v>
                </c:pt>
                <c:pt idx="52">
                  <c:v>May-Jul 2015</c:v>
                </c:pt>
                <c:pt idx="53">
                  <c:v>Jun-Aug 2015</c:v>
                </c:pt>
                <c:pt idx="54">
                  <c:v>Jul-Sept 2015</c:v>
                </c:pt>
                <c:pt idx="55">
                  <c:v>Aug-Oct 2015</c:v>
                </c:pt>
                <c:pt idx="56">
                  <c:v>Sept-Nov 2015</c:v>
                </c:pt>
                <c:pt idx="57">
                  <c:v>Oct-Dec 2015</c:v>
                </c:pt>
                <c:pt idx="58">
                  <c:v>Nov 2015-Jan 2016</c:v>
                </c:pt>
                <c:pt idx="59">
                  <c:v>Dec 2015-Feb 2016</c:v>
                </c:pt>
                <c:pt idx="60">
                  <c:v>Jan-Mar 2016</c:v>
                </c:pt>
                <c:pt idx="61">
                  <c:v>Feb-Apr 2016</c:v>
                </c:pt>
              </c:strCache>
            </c:strRef>
          </c:cat>
          <c:val>
            <c:numRef>
              <c:f>'3 point roll ave'!$P$2:$P$63</c:f>
              <c:numCache>
                <c:formatCode>0.0</c:formatCode>
                <c:ptCount val="62"/>
                <c:pt idx="0">
                  <c:v>58.230772771206325</c:v>
                </c:pt>
                <c:pt idx="1">
                  <c:v>59.005506659763739</c:v>
                </c:pt>
                <c:pt idx="2">
                  <c:v>55.659032850804465</c:v>
                </c:pt>
                <c:pt idx="3">
                  <c:v>52.025277161862533</c:v>
                </c:pt>
                <c:pt idx="4">
                  <c:v>51.057554269804676</c:v>
                </c:pt>
                <c:pt idx="5">
                  <c:v>57.264167469562942</c:v>
                </c:pt>
                <c:pt idx="6">
                  <c:v>65.390751071971962</c:v>
                </c:pt>
                <c:pt idx="7">
                  <c:v>64.982100238663477</c:v>
                </c:pt>
                <c:pt idx="8">
                  <c:v>63.504230711460465</c:v>
                </c:pt>
                <c:pt idx="9">
                  <c:v>61.758841431419874</c:v>
                </c:pt>
                <c:pt idx="10">
                  <c:v>64.87264287786482</c:v>
                </c:pt>
                <c:pt idx="11">
                  <c:v>59.633097762073035</c:v>
                </c:pt>
                <c:pt idx="12">
                  <c:v>53.698130678858739</c:v>
                </c:pt>
                <c:pt idx="13">
                  <c:v>56.099083853650008</c:v>
                </c:pt>
                <c:pt idx="14">
                  <c:v>60.410840669773869</c:v>
                </c:pt>
                <c:pt idx="15">
                  <c:v>59.662354237976452</c:v>
                </c:pt>
                <c:pt idx="16">
                  <c:v>54.066371178543015</c:v>
                </c:pt>
                <c:pt idx="17">
                  <c:v>47.68481312269499</c:v>
                </c:pt>
                <c:pt idx="18">
                  <c:v>46.667589720868399</c:v>
                </c:pt>
                <c:pt idx="19">
                  <c:v>48.363285556780596</c:v>
                </c:pt>
                <c:pt idx="20">
                  <c:v>50.487244311652496</c:v>
                </c:pt>
                <c:pt idx="21">
                  <c:v>56.558989581514467</c:v>
                </c:pt>
                <c:pt idx="22">
                  <c:v>59.559169036725606</c:v>
                </c:pt>
                <c:pt idx="23">
                  <c:v>65.001593270027413</c:v>
                </c:pt>
                <c:pt idx="24">
                  <c:v>63.83920339295593</c:v>
                </c:pt>
                <c:pt idx="25">
                  <c:v>62.924198250728871</c:v>
                </c:pt>
                <c:pt idx="26">
                  <c:v>57.878837361201818</c:v>
                </c:pt>
                <c:pt idx="27">
                  <c:v>54.589527765631836</c:v>
                </c:pt>
                <c:pt idx="28">
                  <c:v>52.802378676860997</c:v>
                </c:pt>
                <c:pt idx="29">
                  <c:v>48.615680410168771</c:v>
                </c:pt>
                <c:pt idx="30">
                  <c:v>45.936075508124624</c:v>
                </c:pt>
                <c:pt idx="31">
                  <c:v>43.405651391681658</c:v>
                </c:pt>
                <c:pt idx="32">
                  <c:v>48.565858348467046</c:v>
                </c:pt>
                <c:pt idx="33">
                  <c:v>50.137111027797118</c:v>
                </c:pt>
                <c:pt idx="34">
                  <c:v>53.742141659681486</c:v>
                </c:pt>
                <c:pt idx="35">
                  <c:v>52.135106937923837</c:v>
                </c:pt>
                <c:pt idx="36">
                  <c:v>53.038353782243263</c:v>
                </c:pt>
                <c:pt idx="37">
                  <c:v>55.073836039837111</c:v>
                </c:pt>
                <c:pt idx="38">
                  <c:v>56.615773698014245</c:v>
                </c:pt>
                <c:pt idx="39">
                  <c:v>64.34534185551037</c:v>
                </c:pt>
                <c:pt idx="40">
                  <c:v>61.71932402645114</c:v>
                </c:pt>
                <c:pt idx="41">
                  <c:v>67.357028828998025</c:v>
                </c:pt>
                <c:pt idx="42">
                  <c:v>63.220285829487921</c:v>
                </c:pt>
                <c:pt idx="43">
                  <c:v>57.51360420823508</c:v>
                </c:pt>
                <c:pt idx="44">
                  <c:v>53.100086952542213</c:v>
                </c:pt>
                <c:pt idx="45">
                  <c:v>51.891390113715474</c:v>
                </c:pt>
                <c:pt idx="46">
                  <c:v>60.741181133571146</c:v>
                </c:pt>
                <c:pt idx="47">
                  <c:v>64.661946549660954</c:v>
                </c:pt>
                <c:pt idx="48">
                  <c:v>75.533970810266737</c:v>
                </c:pt>
                <c:pt idx="49">
                  <c:v>78.097160224142854</c:v>
                </c:pt>
                <c:pt idx="50">
                  <c:v>82.34292878152273</c:v>
                </c:pt>
                <c:pt idx="51">
                  <c:v>73.261020307082703</c:v>
                </c:pt>
                <c:pt idx="52">
                  <c:v>68.787027579162398</c:v>
                </c:pt>
                <c:pt idx="53">
                  <c:v>63.886762039089263</c:v>
                </c:pt>
                <c:pt idx="54">
                  <c:v>60.915956622773045</c:v>
                </c:pt>
                <c:pt idx="55">
                  <c:v>57.77630957999056</c:v>
                </c:pt>
                <c:pt idx="56">
                  <c:v>50.429357119748573</c:v>
                </c:pt>
                <c:pt idx="57">
                  <c:v>52.544247787610615</c:v>
                </c:pt>
                <c:pt idx="58">
                  <c:v>56.79542981501632</c:v>
                </c:pt>
                <c:pt idx="59">
                  <c:v>60.798294029101854</c:v>
                </c:pt>
                <c:pt idx="60">
                  <c:v>65.248593583700782</c:v>
                </c:pt>
                <c:pt idx="61">
                  <c:v>59.475606330180739</c:v>
                </c:pt>
              </c:numCache>
            </c:numRef>
          </c:val>
          <c:smooth val="0"/>
        </c:ser>
        <c:ser>
          <c:idx val="1"/>
          <c:order val="1"/>
          <c:tx>
            <c:strRef>
              <c:f>'3 point roll ave'!$Q$1</c:f>
              <c:strCache>
                <c:ptCount val="1"/>
                <c:pt idx="0">
                  <c:v>LGH</c:v>
                </c:pt>
              </c:strCache>
            </c:strRef>
          </c:tx>
          <c:spPr>
            <a:ln>
              <a:prstDash val="sysDot"/>
            </a:ln>
          </c:spPr>
          <c:marker>
            <c:symbol val="none"/>
          </c:marker>
          <c:cat>
            <c:strRef>
              <c:f>'3 point roll ave'!$O$2:$O$63</c:f>
              <c:strCache>
                <c:ptCount val="62"/>
                <c:pt idx="0">
                  <c:v>Jan-Mar 2011</c:v>
                </c:pt>
                <c:pt idx="1">
                  <c:v>Feb-Apr 2011</c:v>
                </c:pt>
                <c:pt idx="2">
                  <c:v>Mar-May 2011</c:v>
                </c:pt>
                <c:pt idx="3">
                  <c:v>Apr-Jun 2011</c:v>
                </c:pt>
                <c:pt idx="4">
                  <c:v>May-Jul 2011</c:v>
                </c:pt>
                <c:pt idx="5">
                  <c:v>Jun-Aug 2011</c:v>
                </c:pt>
                <c:pt idx="6">
                  <c:v>Jul-Sept 2011</c:v>
                </c:pt>
                <c:pt idx="7">
                  <c:v>Aug-Oct 2011</c:v>
                </c:pt>
                <c:pt idx="8">
                  <c:v>Sept-Nov 2011</c:v>
                </c:pt>
                <c:pt idx="9">
                  <c:v>Oct-Dec 2011</c:v>
                </c:pt>
                <c:pt idx="10">
                  <c:v>Nov 2011-Jan 2012</c:v>
                </c:pt>
                <c:pt idx="11">
                  <c:v>Dec 2011-Feb 2012</c:v>
                </c:pt>
                <c:pt idx="12">
                  <c:v>Jan-Mar 2012</c:v>
                </c:pt>
                <c:pt idx="13">
                  <c:v>Feb-Apr 2012</c:v>
                </c:pt>
                <c:pt idx="14">
                  <c:v>Mar-May 2012</c:v>
                </c:pt>
                <c:pt idx="15">
                  <c:v>Apr-Jun 2012</c:v>
                </c:pt>
                <c:pt idx="16">
                  <c:v>May-Jul 2012</c:v>
                </c:pt>
                <c:pt idx="17">
                  <c:v>Jun-Aug 2012</c:v>
                </c:pt>
                <c:pt idx="18">
                  <c:v>Jul-Sept 2012</c:v>
                </c:pt>
                <c:pt idx="19">
                  <c:v>Aug-Oct 2012</c:v>
                </c:pt>
                <c:pt idx="20">
                  <c:v>Sept-Nov 2012</c:v>
                </c:pt>
                <c:pt idx="21">
                  <c:v>Oct-Dec 2012</c:v>
                </c:pt>
                <c:pt idx="22">
                  <c:v>Nov 2012-Jan 2013</c:v>
                </c:pt>
                <c:pt idx="23">
                  <c:v>Dec 2012-Feb 2013</c:v>
                </c:pt>
                <c:pt idx="24">
                  <c:v>Jan-Mar 2013</c:v>
                </c:pt>
                <c:pt idx="25">
                  <c:v>Feb-Apr 2013</c:v>
                </c:pt>
                <c:pt idx="26">
                  <c:v>Mar-May 2013</c:v>
                </c:pt>
                <c:pt idx="27">
                  <c:v>Apr-Jun 2013</c:v>
                </c:pt>
                <c:pt idx="28">
                  <c:v>May-Jul 2013</c:v>
                </c:pt>
                <c:pt idx="29">
                  <c:v>Jun-Aug 2013</c:v>
                </c:pt>
                <c:pt idx="30">
                  <c:v>Jul-Sept 2013</c:v>
                </c:pt>
                <c:pt idx="31">
                  <c:v>Aug-Oct 2013</c:v>
                </c:pt>
                <c:pt idx="32">
                  <c:v>Sept-Nov 2013</c:v>
                </c:pt>
                <c:pt idx="33">
                  <c:v>Oct-Dec 2013</c:v>
                </c:pt>
                <c:pt idx="34">
                  <c:v>Nov 2013-Jan 2013</c:v>
                </c:pt>
                <c:pt idx="35">
                  <c:v>Dec 2012-Feb 2014</c:v>
                </c:pt>
                <c:pt idx="36">
                  <c:v>Jan-Mar 2014</c:v>
                </c:pt>
                <c:pt idx="37">
                  <c:v>Feb-Apr 2014</c:v>
                </c:pt>
                <c:pt idx="38">
                  <c:v>Mar-May 2014</c:v>
                </c:pt>
                <c:pt idx="39">
                  <c:v>Apr-Jun 2014</c:v>
                </c:pt>
                <c:pt idx="40">
                  <c:v>May-Jul 2014</c:v>
                </c:pt>
                <c:pt idx="41">
                  <c:v>Jun-Aug 2014</c:v>
                </c:pt>
                <c:pt idx="42">
                  <c:v>Jul-Sept 2014</c:v>
                </c:pt>
                <c:pt idx="43">
                  <c:v>Aug-Oct 2014</c:v>
                </c:pt>
                <c:pt idx="44">
                  <c:v>Sept-Nov 2014</c:v>
                </c:pt>
                <c:pt idx="45">
                  <c:v>Oct-Dec 2014</c:v>
                </c:pt>
                <c:pt idx="46">
                  <c:v>Nov 2014-Jan 2015</c:v>
                </c:pt>
                <c:pt idx="47">
                  <c:v>Dec 2014-Jan 2015</c:v>
                </c:pt>
                <c:pt idx="48">
                  <c:v>Jan-Mar 2015</c:v>
                </c:pt>
                <c:pt idx="49">
                  <c:v>Feb-Apr 2015</c:v>
                </c:pt>
                <c:pt idx="50">
                  <c:v>Mar-May 2015</c:v>
                </c:pt>
                <c:pt idx="51">
                  <c:v>Apr-Jun2015</c:v>
                </c:pt>
                <c:pt idx="52">
                  <c:v>May-Jul 2015</c:v>
                </c:pt>
                <c:pt idx="53">
                  <c:v>Jun-Aug 2015</c:v>
                </c:pt>
                <c:pt idx="54">
                  <c:v>Jul-Sept 2015</c:v>
                </c:pt>
                <c:pt idx="55">
                  <c:v>Aug-Oct 2015</c:v>
                </c:pt>
                <c:pt idx="56">
                  <c:v>Sept-Nov 2015</c:v>
                </c:pt>
                <c:pt idx="57">
                  <c:v>Oct-Dec 2015</c:v>
                </c:pt>
                <c:pt idx="58">
                  <c:v>Nov 2015-Jan 2016</c:v>
                </c:pt>
                <c:pt idx="59">
                  <c:v>Dec 2015-Feb 2016</c:v>
                </c:pt>
                <c:pt idx="60">
                  <c:v>Jan-Mar 2016</c:v>
                </c:pt>
                <c:pt idx="61">
                  <c:v>Feb-Apr 2016</c:v>
                </c:pt>
              </c:strCache>
            </c:strRef>
          </c:cat>
          <c:val>
            <c:numRef>
              <c:f>'3 point roll ave'!$Q$2:$Q$63</c:f>
              <c:numCache>
                <c:formatCode>0.0</c:formatCode>
                <c:ptCount val="62"/>
                <c:pt idx="0">
                  <c:v>55.754545986084317</c:v>
                </c:pt>
                <c:pt idx="1">
                  <c:v>69.829109509416426</c:v>
                </c:pt>
                <c:pt idx="2">
                  <c:v>73.707052441229663</c:v>
                </c:pt>
                <c:pt idx="3">
                  <c:v>76.198347107438011</c:v>
                </c:pt>
                <c:pt idx="4">
                  <c:v>63.595275948217122</c:v>
                </c:pt>
                <c:pt idx="5">
                  <c:v>58.457238358690631</c:v>
                </c:pt>
                <c:pt idx="6">
                  <c:v>58.678914641040137</c:v>
                </c:pt>
                <c:pt idx="7">
                  <c:v>63.81501216263176</c:v>
                </c:pt>
                <c:pt idx="8">
                  <c:v>64.897053603123879</c:v>
                </c:pt>
                <c:pt idx="9">
                  <c:v>60.337702871410727</c:v>
                </c:pt>
                <c:pt idx="10">
                  <c:v>63.866915165320627</c:v>
                </c:pt>
                <c:pt idx="11">
                  <c:v>66.924402487450365</c:v>
                </c:pt>
                <c:pt idx="12">
                  <c:v>74.8909263357572</c:v>
                </c:pt>
                <c:pt idx="13">
                  <c:v>81.843382928739246</c:v>
                </c:pt>
                <c:pt idx="14">
                  <c:v>80.342030759813298</c:v>
                </c:pt>
                <c:pt idx="15">
                  <c:v>78.833965125094764</c:v>
                </c:pt>
                <c:pt idx="16">
                  <c:v>73.126193624210373</c:v>
                </c:pt>
                <c:pt idx="17">
                  <c:v>73.846922034381905</c:v>
                </c:pt>
                <c:pt idx="18">
                  <c:v>66.810119426188962</c:v>
                </c:pt>
                <c:pt idx="19">
                  <c:v>68.099593495934954</c:v>
                </c:pt>
                <c:pt idx="20">
                  <c:v>68.507992895204268</c:v>
                </c:pt>
                <c:pt idx="21">
                  <c:v>59.307636363636369</c:v>
                </c:pt>
                <c:pt idx="22">
                  <c:v>59.697445411731131</c:v>
                </c:pt>
                <c:pt idx="23">
                  <c:v>58.574668910514376</c:v>
                </c:pt>
                <c:pt idx="24">
                  <c:v>67.932882949038046</c:v>
                </c:pt>
                <c:pt idx="25">
                  <c:v>61.998569384835477</c:v>
                </c:pt>
                <c:pt idx="26">
                  <c:v>61.835486063902103</c:v>
                </c:pt>
                <c:pt idx="27">
                  <c:v>64.830748017924847</c:v>
                </c:pt>
                <c:pt idx="28">
                  <c:v>72.355752816660981</c:v>
                </c:pt>
                <c:pt idx="29">
                  <c:v>71.765828392285158</c:v>
                </c:pt>
                <c:pt idx="30">
                  <c:v>74.378339159686035</c:v>
                </c:pt>
                <c:pt idx="31">
                  <c:v>67.883159268929504</c:v>
                </c:pt>
                <c:pt idx="32">
                  <c:v>72.365106096328731</c:v>
                </c:pt>
                <c:pt idx="33">
                  <c:v>71.55331937597083</c:v>
                </c:pt>
                <c:pt idx="34">
                  <c:v>68.396491697911074</c:v>
                </c:pt>
                <c:pt idx="35">
                  <c:v>66.482833198161671</c:v>
                </c:pt>
                <c:pt idx="36">
                  <c:v>74.031905739061358</c:v>
                </c:pt>
                <c:pt idx="37">
                  <c:v>78.845047816491686</c:v>
                </c:pt>
                <c:pt idx="38">
                  <c:v>72.814990570055372</c:v>
                </c:pt>
                <c:pt idx="39">
                  <c:v>61.385175459536882</c:v>
                </c:pt>
                <c:pt idx="40">
                  <c:v>53.242165562170058</c:v>
                </c:pt>
                <c:pt idx="41">
                  <c:v>54.796867907399005</c:v>
                </c:pt>
                <c:pt idx="42">
                  <c:v>63.279627238533656</c:v>
                </c:pt>
                <c:pt idx="43">
                  <c:v>70.835200183812972</c:v>
                </c:pt>
                <c:pt idx="44">
                  <c:v>66.573858803515733</c:v>
                </c:pt>
                <c:pt idx="45">
                  <c:v>60.504201680672267</c:v>
                </c:pt>
                <c:pt idx="46">
                  <c:v>52.034480715682214</c:v>
                </c:pt>
                <c:pt idx="47">
                  <c:v>51.875976745639804</c:v>
                </c:pt>
                <c:pt idx="48">
                  <c:v>46.855959054350478</c:v>
                </c:pt>
                <c:pt idx="49">
                  <c:v>46.269686170824237</c:v>
                </c:pt>
                <c:pt idx="50">
                  <c:v>46.714522363335178</c:v>
                </c:pt>
                <c:pt idx="51">
                  <c:v>46.688858321870704</c:v>
                </c:pt>
                <c:pt idx="52">
                  <c:v>46.962583737269213</c:v>
                </c:pt>
                <c:pt idx="53">
                  <c:v>48.648853310255305</c:v>
                </c:pt>
                <c:pt idx="54">
                  <c:v>50.993508931924254</c:v>
                </c:pt>
                <c:pt idx="55">
                  <c:v>49.02219489014368</c:v>
                </c:pt>
                <c:pt idx="56">
                  <c:v>54.733480300717879</c:v>
                </c:pt>
                <c:pt idx="57">
                  <c:v>59.197292069632496</c:v>
                </c:pt>
                <c:pt idx="58">
                  <c:v>62.946298168745102</c:v>
                </c:pt>
                <c:pt idx="59">
                  <c:v>57.689810332061299</c:v>
                </c:pt>
                <c:pt idx="60">
                  <c:v>55.110820672003484</c:v>
                </c:pt>
                <c:pt idx="61">
                  <c:v>63.493423234221289</c:v>
                </c:pt>
              </c:numCache>
            </c:numRef>
          </c:val>
          <c:smooth val="0"/>
        </c:ser>
        <c:ser>
          <c:idx val="2"/>
          <c:order val="2"/>
          <c:tx>
            <c:strRef>
              <c:f>'3 point roll ave'!$R$1</c:f>
              <c:strCache>
                <c:ptCount val="1"/>
                <c:pt idx="0">
                  <c:v>MCH</c:v>
                </c:pt>
              </c:strCache>
            </c:strRef>
          </c:tx>
          <c:spPr>
            <a:ln>
              <a:prstDash val="dash"/>
            </a:ln>
          </c:spPr>
          <c:marker>
            <c:symbol val="none"/>
          </c:marker>
          <c:cat>
            <c:strRef>
              <c:f>'3 point roll ave'!$O$2:$O$63</c:f>
              <c:strCache>
                <c:ptCount val="62"/>
                <c:pt idx="0">
                  <c:v>Jan-Mar 2011</c:v>
                </c:pt>
                <c:pt idx="1">
                  <c:v>Feb-Apr 2011</c:v>
                </c:pt>
                <c:pt idx="2">
                  <c:v>Mar-May 2011</c:v>
                </c:pt>
                <c:pt idx="3">
                  <c:v>Apr-Jun 2011</c:v>
                </c:pt>
                <c:pt idx="4">
                  <c:v>May-Jul 2011</c:v>
                </c:pt>
                <c:pt idx="5">
                  <c:v>Jun-Aug 2011</c:v>
                </c:pt>
                <c:pt idx="6">
                  <c:v>Jul-Sept 2011</c:v>
                </c:pt>
                <c:pt idx="7">
                  <c:v>Aug-Oct 2011</c:v>
                </c:pt>
                <c:pt idx="8">
                  <c:v>Sept-Nov 2011</c:v>
                </c:pt>
                <c:pt idx="9">
                  <c:v>Oct-Dec 2011</c:v>
                </c:pt>
                <c:pt idx="10">
                  <c:v>Nov 2011-Jan 2012</c:v>
                </c:pt>
                <c:pt idx="11">
                  <c:v>Dec 2011-Feb 2012</c:v>
                </c:pt>
                <c:pt idx="12">
                  <c:v>Jan-Mar 2012</c:v>
                </c:pt>
                <c:pt idx="13">
                  <c:v>Feb-Apr 2012</c:v>
                </c:pt>
                <c:pt idx="14">
                  <c:v>Mar-May 2012</c:v>
                </c:pt>
                <c:pt idx="15">
                  <c:v>Apr-Jun 2012</c:v>
                </c:pt>
                <c:pt idx="16">
                  <c:v>May-Jul 2012</c:v>
                </c:pt>
                <c:pt idx="17">
                  <c:v>Jun-Aug 2012</c:v>
                </c:pt>
                <c:pt idx="18">
                  <c:v>Jul-Sept 2012</c:v>
                </c:pt>
                <c:pt idx="19">
                  <c:v>Aug-Oct 2012</c:v>
                </c:pt>
                <c:pt idx="20">
                  <c:v>Sept-Nov 2012</c:v>
                </c:pt>
                <c:pt idx="21">
                  <c:v>Oct-Dec 2012</c:v>
                </c:pt>
                <c:pt idx="22">
                  <c:v>Nov 2012-Jan 2013</c:v>
                </c:pt>
                <c:pt idx="23">
                  <c:v>Dec 2012-Feb 2013</c:v>
                </c:pt>
                <c:pt idx="24">
                  <c:v>Jan-Mar 2013</c:v>
                </c:pt>
                <c:pt idx="25">
                  <c:v>Feb-Apr 2013</c:v>
                </c:pt>
                <c:pt idx="26">
                  <c:v>Mar-May 2013</c:v>
                </c:pt>
                <c:pt idx="27">
                  <c:v>Apr-Jun 2013</c:v>
                </c:pt>
                <c:pt idx="28">
                  <c:v>May-Jul 2013</c:v>
                </c:pt>
                <c:pt idx="29">
                  <c:v>Jun-Aug 2013</c:v>
                </c:pt>
                <c:pt idx="30">
                  <c:v>Jul-Sept 2013</c:v>
                </c:pt>
                <c:pt idx="31">
                  <c:v>Aug-Oct 2013</c:v>
                </c:pt>
                <c:pt idx="32">
                  <c:v>Sept-Nov 2013</c:v>
                </c:pt>
                <c:pt idx="33">
                  <c:v>Oct-Dec 2013</c:v>
                </c:pt>
                <c:pt idx="34">
                  <c:v>Nov 2013-Jan 2013</c:v>
                </c:pt>
                <c:pt idx="35">
                  <c:v>Dec 2012-Feb 2014</c:v>
                </c:pt>
                <c:pt idx="36">
                  <c:v>Jan-Mar 2014</c:v>
                </c:pt>
                <c:pt idx="37">
                  <c:v>Feb-Apr 2014</c:v>
                </c:pt>
                <c:pt idx="38">
                  <c:v>Mar-May 2014</c:v>
                </c:pt>
                <c:pt idx="39">
                  <c:v>Apr-Jun 2014</c:v>
                </c:pt>
                <c:pt idx="40">
                  <c:v>May-Jul 2014</c:v>
                </c:pt>
                <c:pt idx="41">
                  <c:v>Jun-Aug 2014</c:v>
                </c:pt>
                <c:pt idx="42">
                  <c:v>Jul-Sept 2014</c:v>
                </c:pt>
                <c:pt idx="43">
                  <c:v>Aug-Oct 2014</c:v>
                </c:pt>
                <c:pt idx="44">
                  <c:v>Sept-Nov 2014</c:v>
                </c:pt>
                <c:pt idx="45">
                  <c:v>Oct-Dec 2014</c:v>
                </c:pt>
                <c:pt idx="46">
                  <c:v>Nov 2014-Jan 2015</c:v>
                </c:pt>
                <c:pt idx="47">
                  <c:v>Dec 2014-Jan 2015</c:v>
                </c:pt>
                <c:pt idx="48">
                  <c:v>Jan-Mar 2015</c:v>
                </c:pt>
                <c:pt idx="49">
                  <c:v>Feb-Apr 2015</c:v>
                </c:pt>
                <c:pt idx="50">
                  <c:v>Mar-May 2015</c:v>
                </c:pt>
                <c:pt idx="51">
                  <c:v>Apr-Jun2015</c:v>
                </c:pt>
                <c:pt idx="52">
                  <c:v>May-Jul 2015</c:v>
                </c:pt>
                <c:pt idx="53">
                  <c:v>Jun-Aug 2015</c:v>
                </c:pt>
                <c:pt idx="54">
                  <c:v>Jul-Sept 2015</c:v>
                </c:pt>
                <c:pt idx="55">
                  <c:v>Aug-Oct 2015</c:v>
                </c:pt>
                <c:pt idx="56">
                  <c:v>Sept-Nov 2015</c:v>
                </c:pt>
                <c:pt idx="57">
                  <c:v>Oct-Dec 2015</c:v>
                </c:pt>
                <c:pt idx="58">
                  <c:v>Nov 2015-Jan 2016</c:v>
                </c:pt>
                <c:pt idx="59">
                  <c:v>Dec 2015-Feb 2016</c:v>
                </c:pt>
                <c:pt idx="60">
                  <c:v>Jan-Mar 2016</c:v>
                </c:pt>
                <c:pt idx="61">
                  <c:v>Feb-Apr 2016</c:v>
                </c:pt>
              </c:strCache>
            </c:strRef>
          </c:cat>
          <c:val>
            <c:numRef>
              <c:f>'3 point roll ave'!$R$2:$R$63</c:f>
              <c:numCache>
                <c:formatCode>0.0</c:formatCode>
                <c:ptCount val="62"/>
                <c:pt idx="0">
                  <c:v>13.049980322707594</c:v>
                </c:pt>
                <c:pt idx="1">
                  <c:v>15.9678416821274</c:v>
                </c:pt>
                <c:pt idx="2">
                  <c:v>19.04661423364665</c:v>
                </c:pt>
                <c:pt idx="3">
                  <c:v>23.2722459784158</c:v>
                </c:pt>
                <c:pt idx="4">
                  <c:v>21.543248288736773</c:v>
                </c:pt>
                <c:pt idx="5">
                  <c:v>17.507306889352819</c:v>
                </c:pt>
                <c:pt idx="6">
                  <c:v>19.818652849740932</c:v>
                </c:pt>
                <c:pt idx="7">
                  <c:v>19.698129251700678</c:v>
                </c:pt>
                <c:pt idx="8">
                  <c:v>23.572691117984977</c:v>
                </c:pt>
                <c:pt idx="9">
                  <c:v>24.330743618202</c:v>
                </c:pt>
                <c:pt idx="10">
                  <c:v>20.128603104212861</c:v>
                </c:pt>
                <c:pt idx="11">
                  <c:v>27.350059737156514</c:v>
                </c:pt>
                <c:pt idx="12">
                  <c:v>26.268620268620268</c:v>
                </c:pt>
                <c:pt idx="13">
                  <c:v>35.803503427265809</c:v>
                </c:pt>
                <c:pt idx="14">
                  <c:v>35.475862068965519</c:v>
                </c:pt>
                <c:pt idx="15">
                  <c:v>36.982020547945204</c:v>
                </c:pt>
                <c:pt idx="16">
                  <c:v>36.060481382431597</c:v>
                </c:pt>
                <c:pt idx="17">
                  <c:v>29.250877877487319</c:v>
                </c:pt>
                <c:pt idx="18">
                  <c:v>23.727562824092541</c:v>
                </c:pt>
                <c:pt idx="19">
                  <c:v>28.27981182245858</c:v>
                </c:pt>
                <c:pt idx="20">
                  <c:v>35.998677248677254</c:v>
                </c:pt>
                <c:pt idx="21">
                  <c:v>41.665477040209375</c:v>
                </c:pt>
                <c:pt idx="22">
                  <c:v>33.888617489008311</c:v>
                </c:pt>
                <c:pt idx="23">
                  <c:v>27.321288295365282</c:v>
                </c:pt>
                <c:pt idx="24">
                  <c:v>32.414146591491544</c:v>
                </c:pt>
                <c:pt idx="25">
                  <c:v>34.883911499590276</c:v>
                </c:pt>
                <c:pt idx="26">
                  <c:v>36.722826086956516</c:v>
                </c:pt>
                <c:pt idx="27">
                  <c:v>26.073123081216863</c:v>
                </c:pt>
                <c:pt idx="28">
                  <c:v>32.312616697786076</c:v>
                </c:pt>
                <c:pt idx="29">
                  <c:v>30.4</c:v>
                </c:pt>
                <c:pt idx="30">
                  <c:v>43.548225887056468</c:v>
                </c:pt>
                <c:pt idx="31">
                  <c:v>44.226002430133654</c:v>
                </c:pt>
                <c:pt idx="32">
                  <c:v>48.881725762459709</c:v>
                </c:pt>
                <c:pt idx="33">
                  <c:v>42.516062708815213</c:v>
                </c:pt>
                <c:pt idx="34">
                  <c:v>43.05457507466739</c:v>
                </c:pt>
                <c:pt idx="35">
                  <c:v>48.066266780919733</c:v>
                </c:pt>
                <c:pt idx="36">
                  <c:v>56.610852713178289</c:v>
                </c:pt>
                <c:pt idx="37">
                  <c:v>55.783132530120483</c:v>
                </c:pt>
                <c:pt idx="38">
                  <c:v>46.646791595684263</c:v>
                </c:pt>
                <c:pt idx="39">
                  <c:v>51.240167802831671</c:v>
                </c:pt>
                <c:pt idx="40">
                  <c:v>53.44880677444187</c:v>
                </c:pt>
                <c:pt idx="41">
                  <c:v>56.376915708812263</c:v>
                </c:pt>
                <c:pt idx="42">
                  <c:v>51.024457775726809</c:v>
                </c:pt>
                <c:pt idx="43">
                  <c:v>52.071167883211672</c:v>
                </c:pt>
                <c:pt idx="44">
                  <c:v>49.402660217654173</c:v>
                </c:pt>
                <c:pt idx="45">
                  <c:v>51.987003249187701</c:v>
                </c:pt>
                <c:pt idx="46">
                  <c:v>40.116125626814465</c:v>
                </c:pt>
                <c:pt idx="47">
                  <c:v>35.017822868110777</c:v>
                </c:pt>
                <c:pt idx="48">
                  <c:v>35.094291539245667</c:v>
                </c:pt>
                <c:pt idx="49">
                  <c:v>42.166301969365435</c:v>
                </c:pt>
                <c:pt idx="50">
                  <c:v>59.536108324974926</c:v>
                </c:pt>
                <c:pt idx="51">
                  <c:v>52.163183077310499</c:v>
                </c:pt>
                <c:pt idx="52">
                  <c:v>46.94089264173703</c:v>
                </c:pt>
                <c:pt idx="53">
                  <c:v>30.634593356242839</c:v>
                </c:pt>
                <c:pt idx="54">
                  <c:v>31.858345021037877</c:v>
                </c:pt>
                <c:pt idx="55">
                  <c:v>35.220791168353273</c:v>
                </c:pt>
                <c:pt idx="56">
                  <c:v>38.483754512635379</c:v>
                </c:pt>
                <c:pt idx="57">
                  <c:v>40.854101137188479</c:v>
                </c:pt>
                <c:pt idx="58">
                  <c:v>34.327485380116954</c:v>
                </c:pt>
                <c:pt idx="59">
                  <c:v>32.450925406618055</c:v>
                </c:pt>
                <c:pt idx="60">
                  <c:v>35.467925576228829</c:v>
                </c:pt>
                <c:pt idx="61">
                  <c:v>49.473825503355705</c:v>
                </c:pt>
              </c:numCache>
            </c:numRef>
          </c:val>
          <c:smooth val="0"/>
        </c:ser>
        <c:ser>
          <c:idx val="3"/>
          <c:order val="3"/>
          <c:tx>
            <c:strRef>
              <c:f>'3 point roll ave'!$S$1</c:f>
              <c:strCache>
                <c:ptCount val="1"/>
                <c:pt idx="0">
                  <c:v>NWRH</c:v>
                </c:pt>
              </c:strCache>
            </c:strRef>
          </c:tx>
          <c:spPr>
            <a:ln>
              <a:prstDash val="lgDash"/>
            </a:ln>
          </c:spPr>
          <c:marker>
            <c:symbol val="none"/>
          </c:marker>
          <c:cat>
            <c:strRef>
              <c:f>'3 point roll ave'!$O$2:$O$63</c:f>
              <c:strCache>
                <c:ptCount val="62"/>
                <c:pt idx="0">
                  <c:v>Jan-Mar 2011</c:v>
                </c:pt>
                <c:pt idx="1">
                  <c:v>Feb-Apr 2011</c:v>
                </c:pt>
                <c:pt idx="2">
                  <c:v>Mar-May 2011</c:v>
                </c:pt>
                <c:pt idx="3">
                  <c:v>Apr-Jun 2011</c:v>
                </c:pt>
                <c:pt idx="4">
                  <c:v>May-Jul 2011</c:v>
                </c:pt>
                <c:pt idx="5">
                  <c:v>Jun-Aug 2011</c:v>
                </c:pt>
                <c:pt idx="6">
                  <c:v>Jul-Sept 2011</c:v>
                </c:pt>
                <c:pt idx="7">
                  <c:v>Aug-Oct 2011</c:v>
                </c:pt>
                <c:pt idx="8">
                  <c:v>Sept-Nov 2011</c:v>
                </c:pt>
                <c:pt idx="9">
                  <c:v>Oct-Dec 2011</c:v>
                </c:pt>
                <c:pt idx="10">
                  <c:v>Nov 2011-Jan 2012</c:v>
                </c:pt>
                <c:pt idx="11">
                  <c:v>Dec 2011-Feb 2012</c:v>
                </c:pt>
                <c:pt idx="12">
                  <c:v>Jan-Mar 2012</c:v>
                </c:pt>
                <c:pt idx="13">
                  <c:v>Feb-Apr 2012</c:v>
                </c:pt>
                <c:pt idx="14">
                  <c:v>Mar-May 2012</c:v>
                </c:pt>
                <c:pt idx="15">
                  <c:v>Apr-Jun 2012</c:v>
                </c:pt>
                <c:pt idx="16">
                  <c:v>May-Jul 2012</c:v>
                </c:pt>
                <c:pt idx="17">
                  <c:v>Jun-Aug 2012</c:v>
                </c:pt>
                <c:pt idx="18">
                  <c:v>Jul-Sept 2012</c:v>
                </c:pt>
                <c:pt idx="19">
                  <c:v>Aug-Oct 2012</c:v>
                </c:pt>
                <c:pt idx="20">
                  <c:v>Sept-Nov 2012</c:v>
                </c:pt>
                <c:pt idx="21">
                  <c:v>Oct-Dec 2012</c:v>
                </c:pt>
                <c:pt idx="22">
                  <c:v>Nov 2012-Jan 2013</c:v>
                </c:pt>
                <c:pt idx="23">
                  <c:v>Dec 2012-Feb 2013</c:v>
                </c:pt>
                <c:pt idx="24">
                  <c:v>Jan-Mar 2013</c:v>
                </c:pt>
                <c:pt idx="25">
                  <c:v>Feb-Apr 2013</c:v>
                </c:pt>
                <c:pt idx="26">
                  <c:v>Mar-May 2013</c:v>
                </c:pt>
                <c:pt idx="27">
                  <c:v>Apr-Jun 2013</c:v>
                </c:pt>
                <c:pt idx="28">
                  <c:v>May-Jul 2013</c:v>
                </c:pt>
                <c:pt idx="29">
                  <c:v>Jun-Aug 2013</c:v>
                </c:pt>
                <c:pt idx="30">
                  <c:v>Jul-Sept 2013</c:v>
                </c:pt>
                <c:pt idx="31">
                  <c:v>Aug-Oct 2013</c:v>
                </c:pt>
                <c:pt idx="32">
                  <c:v>Sept-Nov 2013</c:v>
                </c:pt>
                <c:pt idx="33">
                  <c:v>Oct-Dec 2013</c:v>
                </c:pt>
                <c:pt idx="34">
                  <c:v>Nov 2013-Jan 2013</c:v>
                </c:pt>
                <c:pt idx="35">
                  <c:v>Dec 2012-Feb 2014</c:v>
                </c:pt>
                <c:pt idx="36">
                  <c:v>Jan-Mar 2014</c:v>
                </c:pt>
                <c:pt idx="37">
                  <c:v>Feb-Apr 2014</c:v>
                </c:pt>
                <c:pt idx="38">
                  <c:v>Mar-May 2014</c:v>
                </c:pt>
                <c:pt idx="39">
                  <c:v>Apr-Jun 2014</c:v>
                </c:pt>
                <c:pt idx="40">
                  <c:v>May-Jul 2014</c:v>
                </c:pt>
                <c:pt idx="41">
                  <c:v>Jun-Aug 2014</c:v>
                </c:pt>
                <c:pt idx="42">
                  <c:v>Jul-Sept 2014</c:v>
                </c:pt>
                <c:pt idx="43">
                  <c:v>Aug-Oct 2014</c:v>
                </c:pt>
                <c:pt idx="44">
                  <c:v>Sept-Nov 2014</c:v>
                </c:pt>
                <c:pt idx="45">
                  <c:v>Oct-Dec 2014</c:v>
                </c:pt>
                <c:pt idx="46">
                  <c:v>Nov 2014-Jan 2015</c:v>
                </c:pt>
                <c:pt idx="47">
                  <c:v>Dec 2014-Jan 2015</c:v>
                </c:pt>
                <c:pt idx="48">
                  <c:v>Jan-Mar 2015</c:v>
                </c:pt>
                <c:pt idx="49">
                  <c:v>Feb-Apr 2015</c:v>
                </c:pt>
                <c:pt idx="50">
                  <c:v>Mar-May 2015</c:v>
                </c:pt>
                <c:pt idx="51">
                  <c:v>Apr-Jun2015</c:v>
                </c:pt>
                <c:pt idx="52">
                  <c:v>May-Jul 2015</c:v>
                </c:pt>
                <c:pt idx="53">
                  <c:v>Jun-Aug 2015</c:v>
                </c:pt>
                <c:pt idx="54">
                  <c:v>Jul-Sept 2015</c:v>
                </c:pt>
                <c:pt idx="55">
                  <c:v>Aug-Oct 2015</c:v>
                </c:pt>
                <c:pt idx="56">
                  <c:v>Sept-Nov 2015</c:v>
                </c:pt>
                <c:pt idx="57">
                  <c:v>Oct-Dec 2015</c:v>
                </c:pt>
                <c:pt idx="58">
                  <c:v>Nov 2015-Jan 2016</c:v>
                </c:pt>
                <c:pt idx="59">
                  <c:v>Dec 2015-Feb 2016</c:v>
                </c:pt>
                <c:pt idx="60">
                  <c:v>Jan-Mar 2016</c:v>
                </c:pt>
                <c:pt idx="61">
                  <c:v>Feb-Apr 2016</c:v>
                </c:pt>
              </c:strCache>
            </c:strRef>
          </c:cat>
          <c:val>
            <c:numRef>
              <c:f>'3 point roll ave'!$S$2:$S$63</c:f>
              <c:numCache>
                <c:formatCode>0.0</c:formatCode>
                <c:ptCount val="62"/>
                <c:pt idx="0">
                  <c:v>24.710027100270999</c:v>
                </c:pt>
                <c:pt idx="1">
                  <c:v>26.618629173989458</c:v>
                </c:pt>
                <c:pt idx="2">
                  <c:v>33.411083540115797</c:v>
                </c:pt>
                <c:pt idx="3">
                  <c:v>30.818921668362155</c:v>
                </c:pt>
                <c:pt idx="4">
                  <c:v>33.90474610023233</c:v>
                </c:pt>
                <c:pt idx="5">
                  <c:v>29.683460391117006</c:v>
                </c:pt>
                <c:pt idx="6">
                  <c:v>29.127916597716368</c:v>
                </c:pt>
                <c:pt idx="7">
                  <c:v>29.585237853394275</c:v>
                </c:pt>
                <c:pt idx="8">
                  <c:v>39.457999627491155</c:v>
                </c:pt>
                <c:pt idx="9">
                  <c:v>48.474611833822905</c:v>
                </c:pt>
                <c:pt idx="10">
                  <c:v>69.728074473297397</c:v>
                </c:pt>
                <c:pt idx="11">
                  <c:v>68.627948262744113</c:v>
                </c:pt>
                <c:pt idx="12">
                  <c:v>79.045893719806756</c:v>
                </c:pt>
                <c:pt idx="13">
                  <c:v>60.701430549146295</c:v>
                </c:pt>
                <c:pt idx="14">
                  <c:v>53.951945080091534</c:v>
                </c:pt>
                <c:pt idx="15">
                  <c:v>46.371347785108391</c:v>
                </c:pt>
                <c:pt idx="16">
                  <c:v>54.446050096339107</c:v>
                </c:pt>
                <c:pt idx="17">
                  <c:v>65.925654194179501</c:v>
                </c:pt>
                <c:pt idx="18">
                  <c:v>53.806400839454355</c:v>
                </c:pt>
                <c:pt idx="19">
                  <c:v>43.32458672264498</c:v>
                </c:pt>
                <c:pt idx="20">
                  <c:v>42.558999147000286</c:v>
                </c:pt>
                <c:pt idx="21">
                  <c:v>62.645051194539256</c:v>
                </c:pt>
                <c:pt idx="22">
                  <c:v>58.717660292463449</c:v>
                </c:pt>
                <c:pt idx="23">
                  <c:v>53.621621621621614</c:v>
                </c:pt>
                <c:pt idx="24">
                  <c:v>41.215483870967745</c:v>
                </c:pt>
                <c:pt idx="25">
                  <c:v>53.743803809026872</c:v>
                </c:pt>
                <c:pt idx="26">
                  <c:v>43.043259557344065</c:v>
                </c:pt>
                <c:pt idx="27">
                  <c:v>41.055995908974694</c:v>
                </c:pt>
                <c:pt idx="28">
                  <c:v>47.089975682248038</c:v>
                </c:pt>
                <c:pt idx="29">
                  <c:v>56.035353535353529</c:v>
                </c:pt>
                <c:pt idx="30">
                  <c:v>66.088611035607499</c:v>
                </c:pt>
                <c:pt idx="31">
                  <c:v>55.797830113786723</c:v>
                </c:pt>
                <c:pt idx="32">
                  <c:v>48.238131505458234</c:v>
                </c:pt>
                <c:pt idx="33">
                  <c:v>52.643287097618426</c:v>
                </c:pt>
                <c:pt idx="34">
                  <c:v>60.947503201024332</c:v>
                </c:pt>
                <c:pt idx="35">
                  <c:v>79.56661316211877</c:v>
                </c:pt>
                <c:pt idx="36">
                  <c:v>78.856157112526546</c:v>
                </c:pt>
                <c:pt idx="37">
                  <c:v>83.212967843964151</c:v>
                </c:pt>
                <c:pt idx="38">
                  <c:v>71.142499999999998</c:v>
                </c:pt>
                <c:pt idx="39">
                  <c:v>67.53468780971258</c:v>
                </c:pt>
                <c:pt idx="40">
                  <c:v>55.465479913399086</c:v>
                </c:pt>
                <c:pt idx="41">
                  <c:v>61.588100686498848</c:v>
                </c:pt>
                <c:pt idx="42">
                  <c:v>62.962962962962955</c:v>
                </c:pt>
                <c:pt idx="43">
                  <c:v>64.136115811242703</c:v>
                </c:pt>
                <c:pt idx="44">
                  <c:v>59.371126503827924</c:v>
                </c:pt>
                <c:pt idx="45">
                  <c:v>51.205555555555556</c:v>
                </c:pt>
                <c:pt idx="46">
                  <c:v>51.301247771836003</c:v>
                </c:pt>
                <c:pt idx="47">
                  <c:v>53.370971053171836</c:v>
                </c:pt>
                <c:pt idx="48">
                  <c:v>56.28589661774091</c:v>
                </c:pt>
                <c:pt idx="49">
                  <c:v>64.521431543903461</c:v>
                </c:pt>
                <c:pt idx="50">
                  <c:v>67.822925577416598</c:v>
                </c:pt>
                <c:pt idx="51">
                  <c:v>74.366687129118063</c:v>
                </c:pt>
                <c:pt idx="52">
                  <c:v>63.691094041934818</c:v>
                </c:pt>
                <c:pt idx="53">
                  <c:v>64.057269610808632</c:v>
                </c:pt>
                <c:pt idx="54">
                  <c:v>65.232953409318142</c:v>
                </c:pt>
                <c:pt idx="55">
                  <c:v>61.472320376914013</c:v>
                </c:pt>
                <c:pt idx="56">
                  <c:v>50.583672677913519</c:v>
                </c:pt>
                <c:pt idx="57">
                  <c:v>46.247464503042593</c:v>
                </c:pt>
                <c:pt idx="58">
                  <c:v>50.364203954214354</c:v>
                </c:pt>
                <c:pt idx="59">
                  <c:v>46.167146974063392</c:v>
                </c:pt>
                <c:pt idx="60">
                  <c:v>41.119183192617321</c:v>
                </c:pt>
                <c:pt idx="61">
                  <c:v>42.948865820838144</c:v>
                </c:pt>
              </c:numCache>
            </c:numRef>
          </c:val>
          <c:smooth val="0"/>
        </c:ser>
        <c:dLbls>
          <c:showLegendKey val="0"/>
          <c:showVal val="0"/>
          <c:showCatName val="0"/>
          <c:showSerName val="0"/>
          <c:showPercent val="0"/>
          <c:showBubbleSize val="0"/>
        </c:dLbls>
        <c:marker val="1"/>
        <c:smooth val="0"/>
        <c:axId val="210159104"/>
        <c:axId val="444165504"/>
      </c:lineChart>
      <c:catAx>
        <c:axId val="210159104"/>
        <c:scaling>
          <c:orientation val="minMax"/>
        </c:scaling>
        <c:delete val="0"/>
        <c:axPos val="b"/>
        <c:numFmt formatCode="General" sourceLinked="1"/>
        <c:majorTickMark val="out"/>
        <c:minorTickMark val="none"/>
        <c:tickLblPos val="nextTo"/>
        <c:txPr>
          <a:bodyPr rot="-5400000" vert="horz"/>
          <a:lstStyle/>
          <a:p>
            <a:pPr>
              <a:defRPr sz="600"/>
            </a:pPr>
            <a:endParaRPr lang="en-US"/>
          </a:p>
        </c:txPr>
        <c:crossAx val="444165504"/>
        <c:crosses val="autoZero"/>
        <c:auto val="1"/>
        <c:lblAlgn val="ctr"/>
        <c:lblOffset val="100"/>
        <c:noMultiLvlLbl val="0"/>
      </c:catAx>
      <c:valAx>
        <c:axId val="444165504"/>
        <c:scaling>
          <c:orientation val="minMax"/>
        </c:scaling>
        <c:delete val="0"/>
        <c:axPos val="l"/>
        <c:title>
          <c:tx>
            <c:rich>
              <a:bodyPr rot="-5400000" vert="horz"/>
              <a:lstStyle/>
              <a:p>
                <a:pPr>
                  <a:defRPr b="0"/>
                </a:pPr>
                <a:r>
                  <a:rPr lang="en-US" b="0"/>
                  <a:t>DDD/100 bed days</a:t>
                </a:r>
              </a:p>
            </c:rich>
          </c:tx>
          <c:layout/>
          <c:overlay val="0"/>
        </c:title>
        <c:numFmt formatCode="0" sourceLinked="0"/>
        <c:majorTickMark val="out"/>
        <c:minorTickMark val="none"/>
        <c:tickLblPos val="nextTo"/>
        <c:crossAx val="210159104"/>
        <c:crosses val="autoZero"/>
        <c:crossBetween val="between"/>
        <c:majorUnit val="20"/>
      </c:valAx>
    </c:plotArea>
    <c:legend>
      <c:legendPos val="t"/>
      <c:layout>
        <c:manualLayout>
          <c:xMode val="edge"/>
          <c:yMode val="edge"/>
          <c:x val="0.15782159944625229"/>
          <c:y val="0.1672956615717153"/>
          <c:w val="0.74912771677969681"/>
          <c:h val="5.9530338119499759E-2"/>
        </c:manualLayout>
      </c:layout>
      <c:overlay val="0"/>
    </c:legend>
    <c:plotVisOnly val="1"/>
    <c:dispBlanksAs val="gap"/>
    <c:showDLblsOverMax val="0"/>
  </c:chart>
  <c:txPr>
    <a:bodyPr/>
    <a:lstStyle/>
    <a:p>
      <a:pPr>
        <a:defRPr>
          <a:latin typeface="Gill Sans MT" panose="020B0502020104020203"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200"/>
            </a:pPr>
            <a:r>
              <a:rPr lang="en-US" sz="1200"/>
              <a:t>Vancomycin use in Tasmania - 3 point rolling average </a:t>
            </a:r>
          </a:p>
        </c:rich>
      </c:tx>
      <c:layout/>
      <c:overlay val="0"/>
    </c:title>
    <c:autoTitleDeleted val="0"/>
    <c:plotArea>
      <c:layout>
        <c:manualLayout>
          <c:layoutTarget val="inner"/>
          <c:xMode val="edge"/>
          <c:yMode val="edge"/>
          <c:x val="9.0375347222222208E-2"/>
          <c:y val="0.18577314814814816"/>
          <c:w val="0.88240659722222226"/>
          <c:h val="0.62474413580246924"/>
        </c:manualLayout>
      </c:layout>
      <c:lineChart>
        <c:grouping val="standard"/>
        <c:varyColors val="0"/>
        <c:ser>
          <c:idx val="0"/>
          <c:order val="0"/>
          <c:tx>
            <c:strRef>
              <c:f>'3 point roll ave'!$W$1</c:f>
              <c:strCache>
                <c:ptCount val="1"/>
                <c:pt idx="0">
                  <c:v>RHH</c:v>
                </c:pt>
              </c:strCache>
            </c:strRef>
          </c:tx>
          <c:marker>
            <c:symbol val="none"/>
          </c:marker>
          <c:cat>
            <c:strRef>
              <c:f>'3 point roll ave'!$V$2:$V$63</c:f>
              <c:strCache>
                <c:ptCount val="62"/>
                <c:pt idx="0">
                  <c:v>Jan-Mar 2011</c:v>
                </c:pt>
                <c:pt idx="1">
                  <c:v>Feb-Apr 2011</c:v>
                </c:pt>
                <c:pt idx="2">
                  <c:v>Mar-May 2011</c:v>
                </c:pt>
                <c:pt idx="3">
                  <c:v>Apr-Jun 2011</c:v>
                </c:pt>
                <c:pt idx="4">
                  <c:v>May-Jul 2011</c:v>
                </c:pt>
                <c:pt idx="5">
                  <c:v>Jun-Aug 2011</c:v>
                </c:pt>
                <c:pt idx="6">
                  <c:v>Jul-Sept 2011</c:v>
                </c:pt>
                <c:pt idx="7">
                  <c:v>Aug-Oct 2011</c:v>
                </c:pt>
                <c:pt idx="8">
                  <c:v>Sept-Nov 2011</c:v>
                </c:pt>
                <c:pt idx="9">
                  <c:v>Oct-Dec 2011</c:v>
                </c:pt>
                <c:pt idx="10">
                  <c:v>Nov 2011-Jan 2012</c:v>
                </c:pt>
                <c:pt idx="11">
                  <c:v>Dec 2011-Feb 2012</c:v>
                </c:pt>
                <c:pt idx="12">
                  <c:v>Jan-Mar 2012</c:v>
                </c:pt>
                <c:pt idx="13">
                  <c:v>Feb-Apr 2012</c:v>
                </c:pt>
                <c:pt idx="14">
                  <c:v>Mar-May 2012</c:v>
                </c:pt>
                <c:pt idx="15">
                  <c:v>Apr-Jun 2012</c:v>
                </c:pt>
                <c:pt idx="16">
                  <c:v>May-Jul 2012</c:v>
                </c:pt>
                <c:pt idx="17">
                  <c:v>Jun-Aug 2012</c:v>
                </c:pt>
                <c:pt idx="18">
                  <c:v>Jul-Sept 2012</c:v>
                </c:pt>
                <c:pt idx="19">
                  <c:v>Aug-Oct 2012</c:v>
                </c:pt>
                <c:pt idx="20">
                  <c:v>Sept-Nov 2012</c:v>
                </c:pt>
                <c:pt idx="21">
                  <c:v>Oct-Dec 2012</c:v>
                </c:pt>
                <c:pt idx="22">
                  <c:v>Nov 2012-Jan 2013</c:v>
                </c:pt>
                <c:pt idx="23">
                  <c:v>Dec 2012-Feb 2013</c:v>
                </c:pt>
                <c:pt idx="24">
                  <c:v>Jan-Mar 2013</c:v>
                </c:pt>
                <c:pt idx="25">
                  <c:v>Feb-Apr 2013</c:v>
                </c:pt>
                <c:pt idx="26">
                  <c:v>Mar-May 2013</c:v>
                </c:pt>
                <c:pt idx="27">
                  <c:v>Apr-Jun 2013</c:v>
                </c:pt>
                <c:pt idx="28">
                  <c:v>May-Jul 2013</c:v>
                </c:pt>
                <c:pt idx="29">
                  <c:v>Jun-Aug 2013</c:v>
                </c:pt>
                <c:pt idx="30">
                  <c:v>Jul-Sept 2013</c:v>
                </c:pt>
                <c:pt idx="31">
                  <c:v>Aug-Oct 2013</c:v>
                </c:pt>
                <c:pt idx="32">
                  <c:v>Sept-Nov 2013</c:v>
                </c:pt>
                <c:pt idx="33">
                  <c:v>Oct-Dec 2013</c:v>
                </c:pt>
                <c:pt idx="34">
                  <c:v>Nov 2013-Jan 2013</c:v>
                </c:pt>
                <c:pt idx="35">
                  <c:v>Dec 2012-Feb 2014</c:v>
                </c:pt>
                <c:pt idx="36">
                  <c:v>Jan-Mar 2014</c:v>
                </c:pt>
                <c:pt idx="37">
                  <c:v>Feb-Apr 2014</c:v>
                </c:pt>
                <c:pt idx="38">
                  <c:v>Mar-May 2014</c:v>
                </c:pt>
                <c:pt idx="39">
                  <c:v>Apr-Jun 2014</c:v>
                </c:pt>
                <c:pt idx="40">
                  <c:v>May-Jul 2014</c:v>
                </c:pt>
                <c:pt idx="41">
                  <c:v>Jun-Aug 2014</c:v>
                </c:pt>
                <c:pt idx="42">
                  <c:v>Jul-Sept 2014</c:v>
                </c:pt>
                <c:pt idx="43">
                  <c:v>Aug-Oct 2014</c:v>
                </c:pt>
                <c:pt idx="44">
                  <c:v>Sept-Nov 2014</c:v>
                </c:pt>
                <c:pt idx="45">
                  <c:v>Oct-Dec 2014</c:v>
                </c:pt>
                <c:pt idx="46">
                  <c:v>Nov 2014-Jan 2015</c:v>
                </c:pt>
                <c:pt idx="47">
                  <c:v>Dec 2014-Jan 2015</c:v>
                </c:pt>
                <c:pt idx="48">
                  <c:v>Jan-Mar 2015</c:v>
                </c:pt>
                <c:pt idx="49">
                  <c:v>Feb-Apr 2015</c:v>
                </c:pt>
                <c:pt idx="50">
                  <c:v>Mar-May 2015</c:v>
                </c:pt>
                <c:pt idx="51">
                  <c:v>Apr-Jun2015</c:v>
                </c:pt>
                <c:pt idx="52">
                  <c:v>May-Jul 2015</c:v>
                </c:pt>
                <c:pt idx="53">
                  <c:v>Jun-Aug 2015</c:v>
                </c:pt>
                <c:pt idx="54">
                  <c:v>Jul-Sept 2015</c:v>
                </c:pt>
                <c:pt idx="55">
                  <c:v>Aug-Oct 2015</c:v>
                </c:pt>
                <c:pt idx="56">
                  <c:v>Sept-Nov 2015</c:v>
                </c:pt>
                <c:pt idx="57">
                  <c:v>Oct-Dec 2015</c:v>
                </c:pt>
                <c:pt idx="58">
                  <c:v>Nov 2015-Jan 2016</c:v>
                </c:pt>
                <c:pt idx="59">
                  <c:v>Dec 2015-Feb 2016</c:v>
                </c:pt>
                <c:pt idx="60">
                  <c:v>Jan-Mar 2016</c:v>
                </c:pt>
                <c:pt idx="61">
                  <c:v>Feb-Apr 2016</c:v>
                </c:pt>
              </c:strCache>
            </c:strRef>
          </c:cat>
          <c:val>
            <c:numRef>
              <c:f>'3 point roll ave'!$W$2:$W$63</c:f>
              <c:numCache>
                <c:formatCode>0.0</c:formatCode>
                <c:ptCount val="62"/>
                <c:pt idx="0">
                  <c:v>38.799650204814291</c:v>
                </c:pt>
                <c:pt idx="1">
                  <c:v>40.899891749423446</c:v>
                </c:pt>
                <c:pt idx="2">
                  <c:v>39.618159817146953</c:v>
                </c:pt>
                <c:pt idx="3">
                  <c:v>33.281596452328159</c:v>
                </c:pt>
                <c:pt idx="4">
                  <c:v>34.824030974028801</c:v>
                </c:pt>
                <c:pt idx="5">
                  <c:v>37.597442410440571</c:v>
                </c:pt>
                <c:pt idx="6">
                  <c:v>37.922449167780904</c:v>
                </c:pt>
                <c:pt idx="7">
                  <c:v>32.735909675050486</c:v>
                </c:pt>
                <c:pt idx="8">
                  <c:v>29.740149201421922</c:v>
                </c:pt>
                <c:pt idx="9">
                  <c:v>34.972190156364782</c:v>
                </c:pt>
                <c:pt idx="10">
                  <c:v>43.588627792283148</c:v>
                </c:pt>
                <c:pt idx="11">
                  <c:v>40.989399293286219</c:v>
                </c:pt>
                <c:pt idx="12">
                  <c:v>34.825510735574973</c:v>
                </c:pt>
                <c:pt idx="13">
                  <c:v>28.782750773180837</c:v>
                </c:pt>
                <c:pt idx="14">
                  <c:v>27.374992807411243</c:v>
                </c:pt>
                <c:pt idx="15">
                  <c:v>31.574519928061726</c:v>
                </c:pt>
                <c:pt idx="16">
                  <c:v>29.108421411524034</c:v>
                </c:pt>
                <c:pt idx="17">
                  <c:v>31.471899598172509</c:v>
                </c:pt>
                <c:pt idx="18">
                  <c:v>27.940850686752324</c:v>
                </c:pt>
                <c:pt idx="19">
                  <c:v>27.921719955898567</c:v>
                </c:pt>
                <c:pt idx="20">
                  <c:v>24.635141346816823</c:v>
                </c:pt>
                <c:pt idx="21">
                  <c:v>25.958908096152726</c:v>
                </c:pt>
                <c:pt idx="22">
                  <c:v>36.153703474712501</c:v>
                </c:pt>
                <c:pt idx="23">
                  <c:v>50.889044675291565</c:v>
                </c:pt>
                <c:pt idx="24">
                  <c:v>53.306902698383432</c:v>
                </c:pt>
                <c:pt idx="25">
                  <c:v>47.401749271137028</c:v>
                </c:pt>
                <c:pt idx="26">
                  <c:v>35.580775092532114</c:v>
                </c:pt>
                <c:pt idx="27">
                  <c:v>28.41823349365982</c:v>
                </c:pt>
                <c:pt idx="28">
                  <c:v>26.813210151853031</c:v>
                </c:pt>
                <c:pt idx="29">
                  <c:v>26.770455030976287</c:v>
                </c:pt>
                <c:pt idx="30">
                  <c:v>29.750093848876496</c:v>
                </c:pt>
                <c:pt idx="31">
                  <c:v>27.661657318234735</c:v>
                </c:pt>
                <c:pt idx="32">
                  <c:v>31.527080440123914</c:v>
                </c:pt>
                <c:pt idx="33">
                  <c:v>26.391194901183656</c:v>
                </c:pt>
                <c:pt idx="34">
                  <c:v>26.587384744341996</c:v>
                </c:pt>
                <c:pt idx="35">
                  <c:v>26.056338028169016</c:v>
                </c:pt>
                <c:pt idx="36">
                  <c:v>28.040769007825332</c:v>
                </c:pt>
                <c:pt idx="37">
                  <c:v>23.880194279546682</c:v>
                </c:pt>
                <c:pt idx="38">
                  <c:v>19.061446234544771</c:v>
                </c:pt>
                <c:pt idx="39">
                  <c:v>18.315417392988572</c:v>
                </c:pt>
                <c:pt idx="40">
                  <c:v>25.498254959588539</c:v>
                </c:pt>
                <c:pt idx="41">
                  <c:v>27.396938679688233</c:v>
                </c:pt>
                <c:pt idx="42">
                  <c:v>32.850230724429906</c:v>
                </c:pt>
                <c:pt idx="43">
                  <c:v>32.865499727915839</c:v>
                </c:pt>
                <c:pt idx="44">
                  <c:v>35.341631961923945</c:v>
                </c:pt>
                <c:pt idx="45">
                  <c:v>29.774889765606869</c:v>
                </c:pt>
                <c:pt idx="46">
                  <c:v>25.23038049940547</c:v>
                </c:pt>
                <c:pt idx="47">
                  <c:v>26.366673314718785</c:v>
                </c:pt>
                <c:pt idx="48">
                  <c:v>29.325113236034227</c:v>
                </c:pt>
                <c:pt idx="49">
                  <c:v>26.863424826669203</c:v>
                </c:pt>
                <c:pt idx="50">
                  <c:v>31.384348329234779</c:v>
                </c:pt>
                <c:pt idx="51">
                  <c:v>30.497771173848438</c:v>
                </c:pt>
                <c:pt idx="52">
                  <c:v>36.708375893769151</c:v>
                </c:pt>
                <c:pt idx="53">
                  <c:v>30.198468668144269</c:v>
                </c:pt>
                <c:pt idx="54">
                  <c:v>30.088109992254065</c:v>
                </c:pt>
                <c:pt idx="55">
                  <c:v>26.215195847097686</c:v>
                </c:pt>
                <c:pt idx="56">
                  <c:v>25.77760317973841</c:v>
                </c:pt>
                <c:pt idx="57">
                  <c:v>22.769174041297934</c:v>
                </c:pt>
                <c:pt idx="58">
                  <c:v>23.531011969532102</c:v>
                </c:pt>
                <c:pt idx="59">
                  <c:v>29.264927245358756</c:v>
                </c:pt>
                <c:pt idx="60">
                  <c:v>36.186711266534893</c:v>
                </c:pt>
                <c:pt idx="61">
                  <c:v>41.600337110216309</c:v>
                </c:pt>
              </c:numCache>
            </c:numRef>
          </c:val>
          <c:smooth val="0"/>
        </c:ser>
        <c:ser>
          <c:idx val="1"/>
          <c:order val="1"/>
          <c:tx>
            <c:strRef>
              <c:f>'3 point roll ave'!$X$1</c:f>
              <c:strCache>
                <c:ptCount val="1"/>
                <c:pt idx="0">
                  <c:v>LGH</c:v>
                </c:pt>
              </c:strCache>
            </c:strRef>
          </c:tx>
          <c:spPr>
            <a:ln>
              <a:prstDash val="sysDot"/>
            </a:ln>
          </c:spPr>
          <c:marker>
            <c:symbol val="none"/>
          </c:marker>
          <c:cat>
            <c:strRef>
              <c:f>'3 point roll ave'!$V$2:$V$63</c:f>
              <c:strCache>
                <c:ptCount val="62"/>
                <c:pt idx="0">
                  <c:v>Jan-Mar 2011</c:v>
                </c:pt>
                <c:pt idx="1">
                  <c:v>Feb-Apr 2011</c:v>
                </c:pt>
                <c:pt idx="2">
                  <c:v>Mar-May 2011</c:v>
                </c:pt>
                <c:pt idx="3">
                  <c:v>Apr-Jun 2011</c:v>
                </c:pt>
                <c:pt idx="4">
                  <c:v>May-Jul 2011</c:v>
                </c:pt>
                <c:pt idx="5">
                  <c:v>Jun-Aug 2011</c:v>
                </c:pt>
                <c:pt idx="6">
                  <c:v>Jul-Sept 2011</c:v>
                </c:pt>
                <c:pt idx="7">
                  <c:v>Aug-Oct 2011</c:v>
                </c:pt>
                <c:pt idx="8">
                  <c:v>Sept-Nov 2011</c:v>
                </c:pt>
                <c:pt idx="9">
                  <c:v>Oct-Dec 2011</c:v>
                </c:pt>
                <c:pt idx="10">
                  <c:v>Nov 2011-Jan 2012</c:v>
                </c:pt>
                <c:pt idx="11">
                  <c:v>Dec 2011-Feb 2012</c:v>
                </c:pt>
                <c:pt idx="12">
                  <c:v>Jan-Mar 2012</c:v>
                </c:pt>
                <c:pt idx="13">
                  <c:v>Feb-Apr 2012</c:v>
                </c:pt>
                <c:pt idx="14">
                  <c:v>Mar-May 2012</c:v>
                </c:pt>
                <c:pt idx="15">
                  <c:v>Apr-Jun 2012</c:v>
                </c:pt>
                <c:pt idx="16">
                  <c:v>May-Jul 2012</c:v>
                </c:pt>
                <c:pt idx="17">
                  <c:v>Jun-Aug 2012</c:v>
                </c:pt>
                <c:pt idx="18">
                  <c:v>Jul-Sept 2012</c:v>
                </c:pt>
                <c:pt idx="19">
                  <c:v>Aug-Oct 2012</c:v>
                </c:pt>
                <c:pt idx="20">
                  <c:v>Sept-Nov 2012</c:v>
                </c:pt>
                <c:pt idx="21">
                  <c:v>Oct-Dec 2012</c:v>
                </c:pt>
                <c:pt idx="22">
                  <c:v>Nov 2012-Jan 2013</c:v>
                </c:pt>
                <c:pt idx="23">
                  <c:v>Dec 2012-Feb 2013</c:v>
                </c:pt>
                <c:pt idx="24">
                  <c:v>Jan-Mar 2013</c:v>
                </c:pt>
                <c:pt idx="25">
                  <c:v>Feb-Apr 2013</c:v>
                </c:pt>
                <c:pt idx="26">
                  <c:v>Mar-May 2013</c:v>
                </c:pt>
                <c:pt idx="27">
                  <c:v>Apr-Jun 2013</c:v>
                </c:pt>
                <c:pt idx="28">
                  <c:v>May-Jul 2013</c:v>
                </c:pt>
                <c:pt idx="29">
                  <c:v>Jun-Aug 2013</c:v>
                </c:pt>
                <c:pt idx="30">
                  <c:v>Jul-Sept 2013</c:v>
                </c:pt>
                <c:pt idx="31">
                  <c:v>Aug-Oct 2013</c:v>
                </c:pt>
                <c:pt idx="32">
                  <c:v>Sept-Nov 2013</c:v>
                </c:pt>
                <c:pt idx="33">
                  <c:v>Oct-Dec 2013</c:v>
                </c:pt>
                <c:pt idx="34">
                  <c:v>Nov 2013-Jan 2013</c:v>
                </c:pt>
                <c:pt idx="35">
                  <c:v>Dec 2012-Feb 2014</c:v>
                </c:pt>
                <c:pt idx="36">
                  <c:v>Jan-Mar 2014</c:v>
                </c:pt>
                <c:pt idx="37">
                  <c:v>Feb-Apr 2014</c:v>
                </c:pt>
                <c:pt idx="38">
                  <c:v>Mar-May 2014</c:v>
                </c:pt>
                <c:pt idx="39">
                  <c:v>Apr-Jun 2014</c:v>
                </c:pt>
                <c:pt idx="40">
                  <c:v>May-Jul 2014</c:v>
                </c:pt>
                <c:pt idx="41">
                  <c:v>Jun-Aug 2014</c:v>
                </c:pt>
                <c:pt idx="42">
                  <c:v>Jul-Sept 2014</c:v>
                </c:pt>
                <c:pt idx="43">
                  <c:v>Aug-Oct 2014</c:v>
                </c:pt>
                <c:pt idx="44">
                  <c:v>Sept-Nov 2014</c:v>
                </c:pt>
                <c:pt idx="45">
                  <c:v>Oct-Dec 2014</c:v>
                </c:pt>
                <c:pt idx="46">
                  <c:v>Nov 2014-Jan 2015</c:v>
                </c:pt>
                <c:pt idx="47">
                  <c:v>Dec 2014-Jan 2015</c:v>
                </c:pt>
                <c:pt idx="48">
                  <c:v>Jan-Mar 2015</c:v>
                </c:pt>
                <c:pt idx="49">
                  <c:v>Feb-Apr 2015</c:v>
                </c:pt>
                <c:pt idx="50">
                  <c:v>Mar-May 2015</c:v>
                </c:pt>
                <c:pt idx="51">
                  <c:v>Apr-Jun2015</c:v>
                </c:pt>
                <c:pt idx="52">
                  <c:v>May-Jul 2015</c:v>
                </c:pt>
                <c:pt idx="53">
                  <c:v>Jun-Aug 2015</c:v>
                </c:pt>
                <c:pt idx="54">
                  <c:v>Jul-Sept 2015</c:v>
                </c:pt>
                <c:pt idx="55">
                  <c:v>Aug-Oct 2015</c:v>
                </c:pt>
                <c:pt idx="56">
                  <c:v>Sept-Nov 2015</c:v>
                </c:pt>
                <c:pt idx="57">
                  <c:v>Oct-Dec 2015</c:v>
                </c:pt>
                <c:pt idx="58">
                  <c:v>Nov 2015-Jan 2016</c:v>
                </c:pt>
                <c:pt idx="59">
                  <c:v>Dec 2015-Feb 2016</c:v>
                </c:pt>
                <c:pt idx="60">
                  <c:v>Jan-Mar 2016</c:v>
                </c:pt>
                <c:pt idx="61">
                  <c:v>Feb-Apr 2016</c:v>
                </c:pt>
              </c:strCache>
            </c:strRef>
          </c:cat>
          <c:val>
            <c:numRef>
              <c:f>'3 point roll ave'!$X$2:$X$63</c:f>
              <c:numCache>
                <c:formatCode>0.0</c:formatCode>
                <c:ptCount val="62"/>
                <c:pt idx="0">
                  <c:v>29.205402560954219</c:v>
                </c:pt>
                <c:pt idx="1">
                  <c:v>29.963961869332714</c:v>
                </c:pt>
                <c:pt idx="2">
                  <c:v>33.171338155515372</c:v>
                </c:pt>
                <c:pt idx="3">
                  <c:v>34.84751484111279</c:v>
                </c:pt>
                <c:pt idx="4">
                  <c:v>25.479786509198274</c:v>
                </c:pt>
                <c:pt idx="5">
                  <c:v>25.126786537574919</c:v>
                </c:pt>
                <c:pt idx="6">
                  <c:v>33.15432447710571</c:v>
                </c:pt>
                <c:pt idx="7">
                  <c:v>38.659793814432994</c:v>
                </c:pt>
                <c:pt idx="8">
                  <c:v>41.829369305407639</c:v>
                </c:pt>
                <c:pt idx="9">
                  <c:v>33.286516853932589</c:v>
                </c:pt>
                <c:pt idx="10">
                  <c:v>35.842479464347349</c:v>
                </c:pt>
                <c:pt idx="11">
                  <c:v>37.798756274818309</c:v>
                </c:pt>
                <c:pt idx="12">
                  <c:v>41.021182421751504</c:v>
                </c:pt>
                <c:pt idx="13">
                  <c:v>36.824588880187939</c:v>
                </c:pt>
                <c:pt idx="14">
                  <c:v>31.352819649552373</c:v>
                </c:pt>
                <c:pt idx="15">
                  <c:v>24.848369977255498</c:v>
                </c:pt>
                <c:pt idx="16">
                  <c:v>26.186278830615542</c:v>
                </c:pt>
                <c:pt idx="17">
                  <c:v>26.000427990584207</c:v>
                </c:pt>
                <c:pt idx="18">
                  <c:v>25.475231432407604</c:v>
                </c:pt>
                <c:pt idx="19">
                  <c:v>25.642421602787458</c:v>
                </c:pt>
                <c:pt idx="20">
                  <c:v>30.639431616341028</c:v>
                </c:pt>
                <c:pt idx="21">
                  <c:v>28.8</c:v>
                </c:pt>
                <c:pt idx="22">
                  <c:v>32.431853860425292</c:v>
                </c:pt>
                <c:pt idx="23">
                  <c:v>31.005341333138219</c:v>
                </c:pt>
                <c:pt idx="24">
                  <c:v>37.285210750477312</c:v>
                </c:pt>
                <c:pt idx="25">
                  <c:v>32.939914163090123</c:v>
                </c:pt>
                <c:pt idx="26">
                  <c:v>32.138001359619309</c:v>
                </c:pt>
                <c:pt idx="27">
                  <c:v>33.591864874181319</c:v>
                </c:pt>
                <c:pt idx="28">
                  <c:v>35.455786958006144</c:v>
                </c:pt>
                <c:pt idx="29">
                  <c:v>38.454985347236416</c:v>
                </c:pt>
                <c:pt idx="30">
                  <c:v>37.777851065233165</c:v>
                </c:pt>
                <c:pt idx="31">
                  <c:v>35.231723237597912</c:v>
                </c:pt>
                <c:pt idx="32">
                  <c:v>30.111148534860224</c:v>
                </c:pt>
                <c:pt idx="33">
                  <c:v>30.914432363071519</c:v>
                </c:pt>
                <c:pt idx="34">
                  <c:v>33.007498660953402</c:v>
                </c:pt>
                <c:pt idx="35">
                  <c:v>37.510137875101378</c:v>
                </c:pt>
                <c:pt idx="36">
                  <c:v>39.63394452902628</c:v>
                </c:pt>
                <c:pt idx="37">
                  <c:v>45.592857620544372</c:v>
                </c:pt>
                <c:pt idx="38">
                  <c:v>49.309484699154346</c:v>
                </c:pt>
                <c:pt idx="39">
                  <c:v>49.191334447362138</c:v>
                </c:pt>
                <c:pt idx="40">
                  <c:v>43.524654610805349</c:v>
                </c:pt>
                <c:pt idx="41">
                  <c:v>38.229119382660009</c:v>
                </c:pt>
                <c:pt idx="42">
                  <c:v>40.209397630943691</c:v>
                </c:pt>
                <c:pt idx="43">
                  <c:v>43.368372680797286</c:v>
                </c:pt>
                <c:pt idx="44">
                  <c:v>42.075418202438335</c:v>
                </c:pt>
                <c:pt idx="45">
                  <c:v>42.625325992465953</c:v>
                </c:pt>
                <c:pt idx="46">
                  <c:v>35.650808697197704</c:v>
                </c:pt>
                <c:pt idx="47">
                  <c:v>35.475401637807089</c:v>
                </c:pt>
                <c:pt idx="48">
                  <c:v>31.166219839142091</c:v>
                </c:pt>
                <c:pt idx="49">
                  <c:v>34.946545579951724</c:v>
                </c:pt>
                <c:pt idx="50">
                  <c:v>29.872998343456654</c:v>
                </c:pt>
                <c:pt idx="51">
                  <c:v>28.707015130674002</c:v>
                </c:pt>
                <c:pt idx="52">
                  <c:v>23.460051195468658</c:v>
                </c:pt>
                <c:pt idx="53">
                  <c:v>26.720034617048899</c:v>
                </c:pt>
                <c:pt idx="54">
                  <c:v>26.017917493696689</c:v>
                </c:pt>
                <c:pt idx="55">
                  <c:v>29.749538771174596</c:v>
                </c:pt>
                <c:pt idx="56">
                  <c:v>26.673449776722627</c:v>
                </c:pt>
                <c:pt idx="57">
                  <c:v>23.943565820912504</c:v>
                </c:pt>
                <c:pt idx="58">
                  <c:v>22.04808448488934</c:v>
                </c:pt>
                <c:pt idx="59">
                  <c:v>24.534373754058208</c:v>
                </c:pt>
                <c:pt idx="60">
                  <c:v>22.627021728475739</c:v>
                </c:pt>
                <c:pt idx="61">
                  <c:v>22.507461036807783</c:v>
                </c:pt>
              </c:numCache>
            </c:numRef>
          </c:val>
          <c:smooth val="0"/>
        </c:ser>
        <c:ser>
          <c:idx val="2"/>
          <c:order val="2"/>
          <c:tx>
            <c:strRef>
              <c:f>'3 point roll ave'!$Y$1</c:f>
              <c:strCache>
                <c:ptCount val="1"/>
                <c:pt idx="0">
                  <c:v>MCH</c:v>
                </c:pt>
              </c:strCache>
            </c:strRef>
          </c:tx>
          <c:spPr>
            <a:ln>
              <a:prstDash val="dash"/>
            </a:ln>
          </c:spPr>
          <c:marker>
            <c:symbol val="none"/>
          </c:marker>
          <c:cat>
            <c:strRef>
              <c:f>'3 point roll ave'!$V$2:$V$63</c:f>
              <c:strCache>
                <c:ptCount val="62"/>
                <c:pt idx="0">
                  <c:v>Jan-Mar 2011</c:v>
                </c:pt>
                <c:pt idx="1">
                  <c:v>Feb-Apr 2011</c:v>
                </c:pt>
                <c:pt idx="2">
                  <c:v>Mar-May 2011</c:v>
                </c:pt>
                <c:pt idx="3">
                  <c:v>Apr-Jun 2011</c:v>
                </c:pt>
                <c:pt idx="4">
                  <c:v>May-Jul 2011</c:v>
                </c:pt>
                <c:pt idx="5">
                  <c:v>Jun-Aug 2011</c:v>
                </c:pt>
                <c:pt idx="6">
                  <c:v>Jul-Sept 2011</c:v>
                </c:pt>
                <c:pt idx="7">
                  <c:v>Aug-Oct 2011</c:v>
                </c:pt>
                <c:pt idx="8">
                  <c:v>Sept-Nov 2011</c:v>
                </c:pt>
                <c:pt idx="9">
                  <c:v>Oct-Dec 2011</c:v>
                </c:pt>
                <c:pt idx="10">
                  <c:v>Nov 2011-Jan 2012</c:v>
                </c:pt>
                <c:pt idx="11">
                  <c:v>Dec 2011-Feb 2012</c:v>
                </c:pt>
                <c:pt idx="12">
                  <c:v>Jan-Mar 2012</c:v>
                </c:pt>
                <c:pt idx="13">
                  <c:v>Feb-Apr 2012</c:v>
                </c:pt>
                <c:pt idx="14">
                  <c:v>Mar-May 2012</c:v>
                </c:pt>
                <c:pt idx="15">
                  <c:v>Apr-Jun 2012</c:v>
                </c:pt>
                <c:pt idx="16">
                  <c:v>May-Jul 2012</c:v>
                </c:pt>
                <c:pt idx="17">
                  <c:v>Jun-Aug 2012</c:v>
                </c:pt>
                <c:pt idx="18">
                  <c:v>Jul-Sept 2012</c:v>
                </c:pt>
                <c:pt idx="19">
                  <c:v>Aug-Oct 2012</c:v>
                </c:pt>
                <c:pt idx="20">
                  <c:v>Sept-Nov 2012</c:v>
                </c:pt>
                <c:pt idx="21">
                  <c:v>Oct-Dec 2012</c:v>
                </c:pt>
                <c:pt idx="22">
                  <c:v>Nov 2012-Jan 2013</c:v>
                </c:pt>
                <c:pt idx="23">
                  <c:v>Dec 2012-Feb 2013</c:v>
                </c:pt>
                <c:pt idx="24">
                  <c:v>Jan-Mar 2013</c:v>
                </c:pt>
                <c:pt idx="25">
                  <c:v>Feb-Apr 2013</c:v>
                </c:pt>
                <c:pt idx="26">
                  <c:v>Mar-May 2013</c:v>
                </c:pt>
                <c:pt idx="27">
                  <c:v>Apr-Jun 2013</c:v>
                </c:pt>
                <c:pt idx="28">
                  <c:v>May-Jul 2013</c:v>
                </c:pt>
                <c:pt idx="29">
                  <c:v>Jun-Aug 2013</c:v>
                </c:pt>
                <c:pt idx="30">
                  <c:v>Jul-Sept 2013</c:v>
                </c:pt>
                <c:pt idx="31">
                  <c:v>Aug-Oct 2013</c:v>
                </c:pt>
                <c:pt idx="32">
                  <c:v>Sept-Nov 2013</c:v>
                </c:pt>
                <c:pt idx="33">
                  <c:v>Oct-Dec 2013</c:v>
                </c:pt>
                <c:pt idx="34">
                  <c:v>Nov 2013-Jan 2013</c:v>
                </c:pt>
                <c:pt idx="35">
                  <c:v>Dec 2012-Feb 2014</c:v>
                </c:pt>
                <c:pt idx="36">
                  <c:v>Jan-Mar 2014</c:v>
                </c:pt>
                <c:pt idx="37">
                  <c:v>Feb-Apr 2014</c:v>
                </c:pt>
                <c:pt idx="38">
                  <c:v>Mar-May 2014</c:v>
                </c:pt>
                <c:pt idx="39">
                  <c:v>Apr-Jun 2014</c:v>
                </c:pt>
                <c:pt idx="40">
                  <c:v>May-Jul 2014</c:v>
                </c:pt>
                <c:pt idx="41">
                  <c:v>Jun-Aug 2014</c:v>
                </c:pt>
                <c:pt idx="42">
                  <c:v>Jul-Sept 2014</c:v>
                </c:pt>
                <c:pt idx="43">
                  <c:v>Aug-Oct 2014</c:v>
                </c:pt>
                <c:pt idx="44">
                  <c:v>Sept-Nov 2014</c:v>
                </c:pt>
                <c:pt idx="45">
                  <c:v>Oct-Dec 2014</c:v>
                </c:pt>
                <c:pt idx="46">
                  <c:v>Nov 2014-Jan 2015</c:v>
                </c:pt>
                <c:pt idx="47">
                  <c:v>Dec 2014-Jan 2015</c:v>
                </c:pt>
                <c:pt idx="48">
                  <c:v>Jan-Mar 2015</c:v>
                </c:pt>
                <c:pt idx="49">
                  <c:v>Feb-Apr 2015</c:v>
                </c:pt>
                <c:pt idx="50">
                  <c:v>Mar-May 2015</c:v>
                </c:pt>
                <c:pt idx="51">
                  <c:v>Apr-Jun2015</c:v>
                </c:pt>
                <c:pt idx="52">
                  <c:v>May-Jul 2015</c:v>
                </c:pt>
                <c:pt idx="53">
                  <c:v>Jun-Aug 2015</c:v>
                </c:pt>
                <c:pt idx="54">
                  <c:v>Jul-Sept 2015</c:v>
                </c:pt>
                <c:pt idx="55">
                  <c:v>Aug-Oct 2015</c:v>
                </c:pt>
                <c:pt idx="56">
                  <c:v>Sept-Nov 2015</c:v>
                </c:pt>
                <c:pt idx="57">
                  <c:v>Oct-Dec 2015</c:v>
                </c:pt>
                <c:pt idx="58">
                  <c:v>Nov 2015-Jan 2016</c:v>
                </c:pt>
                <c:pt idx="59">
                  <c:v>Dec 2015-Feb 2016</c:v>
                </c:pt>
                <c:pt idx="60">
                  <c:v>Jan-Mar 2016</c:v>
                </c:pt>
                <c:pt idx="61">
                  <c:v>Feb-Apr 2016</c:v>
                </c:pt>
              </c:strCache>
            </c:strRef>
          </c:cat>
          <c:val>
            <c:numRef>
              <c:f>'3 point roll ave'!$Y$2:$Y$63</c:f>
              <c:numCache>
                <c:formatCode>0.0</c:formatCode>
                <c:ptCount val="62"/>
                <c:pt idx="0">
                  <c:v>9.7402597402597397</c:v>
                </c:pt>
                <c:pt idx="1">
                  <c:v>7.4211502782931351</c:v>
                </c:pt>
                <c:pt idx="2">
                  <c:v>7.8169959716094368</c:v>
                </c:pt>
                <c:pt idx="3">
                  <c:v>6.515984524536754</c:v>
                </c:pt>
                <c:pt idx="4">
                  <c:v>9.541588881974695</c:v>
                </c:pt>
                <c:pt idx="5">
                  <c:v>10.073068893528182</c:v>
                </c:pt>
                <c:pt idx="6">
                  <c:v>8.5276338514680479</c:v>
                </c:pt>
                <c:pt idx="7">
                  <c:v>7.9719387755102042</c:v>
                </c:pt>
                <c:pt idx="8">
                  <c:v>9.1692443658859908</c:v>
                </c:pt>
                <c:pt idx="9">
                  <c:v>16.870144284128745</c:v>
                </c:pt>
                <c:pt idx="10">
                  <c:v>15.631929046563194</c:v>
                </c:pt>
                <c:pt idx="11">
                  <c:v>16.188769414575866</c:v>
                </c:pt>
                <c:pt idx="12">
                  <c:v>8.6691086691086703</c:v>
                </c:pt>
                <c:pt idx="13">
                  <c:v>14.978420919014978</c:v>
                </c:pt>
                <c:pt idx="14">
                  <c:v>14.885057471264368</c:v>
                </c:pt>
                <c:pt idx="15">
                  <c:v>21.083047945205479</c:v>
                </c:pt>
                <c:pt idx="16">
                  <c:v>24.069121579921827</c:v>
                </c:pt>
                <c:pt idx="17">
                  <c:v>24.190401872805307</c:v>
                </c:pt>
                <c:pt idx="18">
                  <c:v>17.750299162345431</c:v>
                </c:pt>
                <c:pt idx="19">
                  <c:v>8.948660257721416</c:v>
                </c:pt>
                <c:pt idx="20">
                  <c:v>5.6768077601410933</c:v>
                </c:pt>
                <c:pt idx="21">
                  <c:v>5.2938377349512251</c:v>
                </c:pt>
                <c:pt idx="22">
                  <c:v>8.1827063996091844</c:v>
                </c:pt>
                <c:pt idx="23">
                  <c:v>10.146635244828488</c:v>
                </c:pt>
                <c:pt idx="24">
                  <c:v>18.900563813429009</c:v>
                </c:pt>
                <c:pt idx="25">
                  <c:v>18.369298006009284</c:v>
                </c:pt>
                <c:pt idx="26">
                  <c:v>18.614130434782609</c:v>
                </c:pt>
                <c:pt idx="27">
                  <c:v>8.7217415573541732</c:v>
                </c:pt>
                <c:pt idx="28">
                  <c:v>7.8687650040010668</c:v>
                </c:pt>
                <c:pt idx="29">
                  <c:v>8.6274509803921564</c:v>
                </c:pt>
                <c:pt idx="30">
                  <c:v>9.8075962018990506</c:v>
                </c:pt>
                <c:pt idx="31">
                  <c:v>7.7156743620899153</c:v>
                </c:pt>
                <c:pt idx="32">
                  <c:v>1.9216464170592613</c:v>
                </c:pt>
                <c:pt idx="33">
                  <c:v>0.44975584682600878</c:v>
                </c:pt>
                <c:pt idx="34">
                  <c:v>1.0860711376595167</c:v>
                </c:pt>
                <c:pt idx="35">
                  <c:v>3.1419594401599542</c:v>
                </c:pt>
                <c:pt idx="36">
                  <c:v>5.8139534883720927</c:v>
                </c:pt>
                <c:pt idx="37">
                  <c:v>15.582329317269076</c:v>
                </c:pt>
                <c:pt idx="38">
                  <c:v>12.759795570698467</c:v>
                </c:pt>
                <c:pt idx="39">
                  <c:v>12.50393287886733</c:v>
                </c:pt>
                <c:pt idx="40">
                  <c:v>7.8265332306902744</c:v>
                </c:pt>
                <c:pt idx="41">
                  <c:v>7.6628352490421454</c:v>
                </c:pt>
                <c:pt idx="42">
                  <c:v>6.5182279649284727</c:v>
                </c:pt>
                <c:pt idx="43">
                  <c:v>5.4311131386861318</c:v>
                </c:pt>
                <c:pt idx="44">
                  <c:v>10.957678355501814</c:v>
                </c:pt>
                <c:pt idx="45">
                  <c:v>14.386403399150213</c:v>
                </c:pt>
                <c:pt idx="46">
                  <c:v>12.338347849036685</c:v>
                </c:pt>
                <c:pt idx="47">
                  <c:v>8.4315876062517141</c:v>
                </c:pt>
                <c:pt idx="48">
                  <c:v>4.9057084607543322</c:v>
                </c:pt>
                <c:pt idx="49">
                  <c:v>11.184050571359105</c:v>
                </c:pt>
                <c:pt idx="50">
                  <c:v>17.48996990972919</c:v>
                </c:pt>
                <c:pt idx="51">
                  <c:v>24.364140015109545</c:v>
                </c:pt>
                <c:pt idx="52">
                  <c:v>20.928829915560918</c:v>
                </c:pt>
                <c:pt idx="53">
                  <c:v>14.719358533791523</c:v>
                </c:pt>
                <c:pt idx="54">
                  <c:v>8.5320243104254327</c:v>
                </c:pt>
                <c:pt idx="55">
                  <c:v>7.1872125114995402</c:v>
                </c:pt>
                <c:pt idx="56">
                  <c:v>5.640794223826715</c:v>
                </c:pt>
                <c:pt idx="57">
                  <c:v>5.9278974110815392</c:v>
                </c:pt>
                <c:pt idx="58">
                  <c:v>4.2530568846358321</c:v>
                </c:pt>
                <c:pt idx="59">
                  <c:v>4.7672462142456533</c:v>
                </c:pt>
                <c:pt idx="60">
                  <c:v>7.1507914468203273</c:v>
                </c:pt>
                <c:pt idx="61">
                  <c:v>12.416107382550337</c:v>
                </c:pt>
              </c:numCache>
            </c:numRef>
          </c:val>
          <c:smooth val="0"/>
        </c:ser>
        <c:ser>
          <c:idx val="3"/>
          <c:order val="3"/>
          <c:tx>
            <c:strRef>
              <c:f>'3 point roll ave'!$Z$1</c:f>
              <c:strCache>
                <c:ptCount val="1"/>
                <c:pt idx="0">
                  <c:v>NWRH</c:v>
                </c:pt>
              </c:strCache>
            </c:strRef>
          </c:tx>
          <c:spPr>
            <a:ln>
              <a:prstDash val="lgDash"/>
            </a:ln>
          </c:spPr>
          <c:marker>
            <c:symbol val="none"/>
          </c:marker>
          <c:cat>
            <c:strRef>
              <c:f>'3 point roll ave'!$V$2:$V$63</c:f>
              <c:strCache>
                <c:ptCount val="62"/>
                <c:pt idx="0">
                  <c:v>Jan-Mar 2011</c:v>
                </c:pt>
                <c:pt idx="1">
                  <c:v>Feb-Apr 2011</c:v>
                </c:pt>
                <c:pt idx="2">
                  <c:v>Mar-May 2011</c:v>
                </c:pt>
                <c:pt idx="3">
                  <c:v>Apr-Jun 2011</c:v>
                </c:pt>
                <c:pt idx="4">
                  <c:v>May-Jul 2011</c:v>
                </c:pt>
                <c:pt idx="5">
                  <c:v>Jun-Aug 2011</c:v>
                </c:pt>
                <c:pt idx="6">
                  <c:v>Jul-Sept 2011</c:v>
                </c:pt>
                <c:pt idx="7">
                  <c:v>Aug-Oct 2011</c:v>
                </c:pt>
                <c:pt idx="8">
                  <c:v>Sept-Nov 2011</c:v>
                </c:pt>
                <c:pt idx="9">
                  <c:v>Oct-Dec 2011</c:v>
                </c:pt>
                <c:pt idx="10">
                  <c:v>Nov 2011-Jan 2012</c:v>
                </c:pt>
                <c:pt idx="11">
                  <c:v>Dec 2011-Feb 2012</c:v>
                </c:pt>
                <c:pt idx="12">
                  <c:v>Jan-Mar 2012</c:v>
                </c:pt>
                <c:pt idx="13">
                  <c:v>Feb-Apr 2012</c:v>
                </c:pt>
                <c:pt idx="14">
                  <c:v>Mar-May 2012</c:v>
                </c:pt>
                <c:pt idx="15">
                  <c:v>Apr-Jun 2012</c:v>
                </c:pt>
                <c:pt idx="16">
                  <c:v>May-Jul 2012</c:v>
                </c:pt>
                <c:pt idx="17">
                  <c:v>Jun-Aug 2012</c:v>
                </c:pt>
                <c:pt idx="18">
                  <c:v>Jul-Sept 2012</c:v>
                </c:pt>
                <c:pt idx="19">
                  <c:v>Aug-Oct 2012</c:v>
                </c:pt>
                <c:pt idx="20">
                  <c:v>Sept-Nov 2012</c:v>
                </c:pt>
                <c:pt idx="21">
                  <c:v>Oct-Dec 2012</c:v>
                </c:pt>
                <c:pt idx="22">
                  <c:v>Nov 2012-Jan 2013</c:v>
                </c:pt>
                <c:pt idx="23">
                  <c:v>Dec 2012-Feb 2013</c:v>
                </c:pt>
                <c:pt idx="24">
                  <c:v>Jan-Mar 2013</c:v>
                </c:pt>
                <c:pt idx="25">
                  <c:v>Feb-Apr 2013</c:v>
                </c:pt>
                <c:pt idx="26">
                  <c:v>Mar-May 2013</c:v>
                </c:pt>
                <c:pt idx="27">
                  <c:v>Apr-Jun 2013</c:v>
                </c:pt>
                <c:pt idx="28">
                  <c:v>May-Jul 2013</c:v>
                </c:pt>
                <c:pt idx="29">
                  <c:v>Jun-Aug 2013</c:v>
                </c:pt>
                <c:pt idx="30">
                  <c:v>Jul-Sept 2013</c:v>
                </c:pt>
                <c:pt idx="31">
                  <c:v>Aug-Oct 2013</c:v>
                </c:pt>
                <c:pt idx="32">
                  <c:v>Sept-Nov 2013</c:v>
                </c:pt>
                <c:pt idx="33">
                  <c:v>Oct-Dec 2013</c:v>
                </c:pt>
                <c:pt idx="34">
                  <c:v>Nov 2013-Jan 2013</c:v>
                </c:pt>
                <c:pt idx="35">
                  <c:v>Dec 2012-Feb 2014</c:v>
                </c:pt>
                <c:pt idx="36">
                  <c:v>Jan-Mar 2014</c:v>
                </c:pt>
                <c:pt idx="37">
                  <c:v>Feb-Apr 2014</c:v>
                </c:pt>
                <c:pt idx="38">
                  <c:v>Mar-May 2014</c:v>
                </c:pt>
                <c:pt idx="39">
                  <c:v>Apr-Jun 2014</c:v>
                </c:pt>
                <c:pt idx="40">
                  <c:v>May-Jul 2014</c:v>
                </c:pt>
                <c:pt idx="41">
                  <c:v>Jun-Aug 2014</c:v>
                </c:pt>
                <c:pt idx="42">
                  <c:v>Jul-Sept 2014</c:v>
                </c:pt>
                <c:pt idx="43">
                  <c:v>Aug-Oct 2014</c:v>
                </c:pt>
                <c:pt idx="44">
                  <c:v>Sept-Nov 2014</c:v>
                </c:pt>
                <c:pt idx="45">
                  <c:v>Oct-Dec 2014</c:v>
                </c:pt>
                <c:pt idx="46">
                  <c:v>Nov 2014-Jan 2015</c:v>
                </c:pt>
                <c:pt idx="47">
                  <c:v>Dec 2014-Jan 2015</c:v>
                </c:pt>
                <c:pt idx="48">
                  <c:v>Jan-Mar 2015</c:v>
                </c:pt>
                <c:pt idx="49">
                  <c:v>Feb-Apr 2015</c:v>
                </c:pt>
                <c:pt idx="50">
                  <c:v>Mar-May 2015</c:v>
                </c:pt>
                <c:pt idx="51">
                  <c:v>Apr-Jun2015</c:v>
                </c:pt>
                <c:pt idx="52">
                  <c:v>May-Jul 2015</c:v>
                </c:pt>
                <c:pt idx="53">
                  <c:v>Jun-Aug 2015</c:v>
                </c:pt>
                <c:pt idx="54">
                  <c:v>Jul-Sept 2015</c:v>
                </c:pt>
                <c:pt idx="55">
                  <c:v>Aug-Oct 2015</c:v>
                </c:pt>
                <c:pt idx="56">
                  <c:v>Sept-Nov 2015</c:v>
                </c:pt>
                <c:pt idx="57">
                  <c:v>Oct-Dec 2015</c:v>
                </c:pt>
                <c:pt idx="58">
                  <c:v>Nov 2015-Jan 2016</c:v>
                </c:pt>
                <c:pt idx="59">
                  <c:v>Dec 2015-Feb 2016</c:v>
                </c:pt>
                <c:pt idx="60">
                  <c:v>Jan-Mar 2016</c:v>
                </c:pt>
                <c:pt idx="61">
                  <c:v>Feb-Apr 2016</c:v>
                </c:pt>
              </c:strCache>
            </c:strRef>
          </c:cat>
          <c:val>
            <c:numRef>
              <c:f>'3 point roll ave'!$Z$2:$Z$63</c:f>
              <c:numCache>
                <c:formatCode>0.0</c:formatCode>
                <c:ptCount val="62"/>
                <c:pt idx="0">
                  <c:v>15.401987353206865</c:v>
                </c:pt>
                <c:pt idx="1">
                  <c:v>14.543057996485061</c:v>
                </c:pt>
                <c:pt idx="2">
                  <c:v>14.88833746898263</c:v>
                </c:pt>
                <c:pt idx="3">
                  <c:v>16.658189216683624</c:v>
                </c:pt>
                <c:pt idx="4">
                  <c:v>14.89379356123465</c:v>
                </c:pt>
                <c:pt idx="5">
                  <c:v>12.678157109711634</c:v>
                </c:pt>
                <c:pt idx="6">
                  <c:v>12.493794472943902</c:v>
                </c:pt>
                <c:pt idx="7">
                  <c:v>15.955645843913999</c:v>
                </c:pt>
                <c:pt idx="8">
                  <c:v>35.144347178245482</c:v>
                </c:pt>
                <c:pt idx="9">
                  <c:v>47.983634074695757</c:v>
                </c:pt>
                <c:pt idx="10">
                  <c:v>55.53405193532582</c:v>
                </c:pt>
                <c:pt idx="11">
                  <c:v>23.522698452954604</c:v>
                </c:pt>
                <c:pt idx="12">
                  <c:v>10.929951690821257</c:v>
                </c:pt>
                <c:pt idx="13">
                  <c:v>9.5177664974619294</c:v>
                </c:pt>
                <c:pt idx="14">
                  <c:v>11.327231121281464</c:v>
                </c:pt>
                <c:pt idx="15">
                  <c:v>17.082940622054664</c:v>
                </c:pt>
                <c:pt idx="16">
                  <c:v>17.943159922928711</c:v>
                </c:pt>
                <c:pt idx="17">
                  <c:v>30.080704328686721</c:v>
                </c:pt>
                <c:pt idx="18">
                  <c:v>22.62591815320042</c:v>
                </c:pt>
                <c:pt idx="19">
                  <c:v>26.239832065074783</c:v>
                </c:pt>
                <c:pt idx="20">
                  <c:v>25.732158089280638</c:v>
                </c:pt>
                <c:pt idx="21">
                  <c:v>31.143344709897608</c:v>
                </c:pt>
                <c:pt idx="22">
                  <c:v>24.746906636670417</c:v>
                </c:pt>
                <c:pt idx="23">
                  <c:v>16.418918918918919</c:v>
                </c:pt>
                <c:pt idx="24">
                  <c:v>17.677419354838712</c:v>
                </c:pt>
                <c:pt idx="25">
                  <c:v>19.306026611009653</c:v>
                </c:pt>
                <c:pt idx="26">
                  <c:v>14.446680080482896</c:v>
                </c:pt>
                <c:pt idx="27">
                  <c:v>13.088724111480438</c:v>
                </c:pt>
                <c:pt idx="28">
                  <c:v>17.006214536611726</c:v>
                </c:pt>
                <c:pt idx="29">
                  <c:v>31.004489337822672</c:v>
                </c:pt>
                <c:pt idx="30">
                  <c:v>31.666213645012231</c:v>
                </c:pt>
                <c:pt idx="31">
                  <c:v>31.159036782217516</c:v>
                </c:pt>
                <c:pt idx="32">
                  <c:v>26.466108149276465</c:v>
                </c:pt>
                <c:pt idx="33">
                  <c:v>25.909447788537033</c:v>
                </c:pt>
                <c:pt idx="34">
                  <c:v>32.266325224071707</c:v>
                </c:pt>
                <c:pt idx="35">
                  <c:v>40.061530230069557</c:v>
                </c:pt>
                <c:pt idx="36">
                  <c:v>45.050424628450102</c:v>
                </c:pt>
                <c:pt idx="37">
                  <c:v>37.427517132314179</c:v>
                </c:pt>
                <c:pt idx="38">
                  <c:v>36.1875</c:v>
                </c:pt>
                <c:pt idx="39">
                  <c:v>32.70564915758176</c:v>
                </c:pt>
                <c:pt idx="40">
                  <c:v>43.541015155159968</c:v>
                </c:pt>
                <c:pt idx="41">
                  <c:v>29.118993135011443</c:v>
                </c:pt>
                <c:pt idx="42">
                  <c:v>29.063786008230451</c:v>
                </c:pt>
                <c:pt idx="43">
                  <c:v>15.463432976123331</c:v>
                </c:pt>
                <c:pt idx="44">
                  <c:v>16.587677725118485</c:v>
                </c:pt>
                <c:pt idx="45">
                  <c:v>18.148148148148149</c:v>
                </c:pt>
                <c:pt idx="46">
                  <c:v>22.974846504258267</c:v>
                </c:pt>
                <c:pt idx="47">
                  <c:v>27.766372408129747</c:v>
                </c:pt>
                <c:pt idx="48">
                  <c:v>22.176132737715381</c:v>
                </c:pt>
                <c:pt idx="49">
                  <c:v>21.587598834789844</c:v>
                </c:pt>
                <c:pt idx="50">
                  <c:v>23.952095808383234</c:v>
                </c:pt>
                <c:pt idx="51">
                  <c:v>21.127481072232452</c:v>
                </c:pt>
                <c:pt idx="52">
                  <c:v>19.254722856549719</c:v>
                </c:pt>
                <c:pt idx="53">
                  <c:v>19.358741681790686</c:v>
                </c:pt>
                <c:pt idx="54">
                  <c:v>29.844031193761246</c:v>
                </c:pt>
                <c:pt idx="55">
                  <c:v>28.612092658029052</c:v>
                </c:pt>
                <c:pt idx="56">
                  <c:v>23.123909249563702</c:v>
                </c:pt>
                <c:pt idx="57">
                  <c:v>17.127789046653145</c:v>
                </c:pt>
                <c:pt idx="58">
                  <c:v>19.446409989594173</c:v>
                </c:pt>
                <c:pt idx="59">
                  <c:v>19.234252778921366</c:v>
                </c:pt>
                <c:pt idx="60">
                  <c:v>18.456705281759277</c:v>
                </c:pt>
                <c:pt idx="61">
                  <c:v>23.404459823144943</c:v>
                </c:pt>
              </c:numCache>
            </c:numRef>
          </c:val>
          <c:smooth val="0"/>
        </c:ser>
        <c:dLbls>
          <c:showLegendKey val="0"/>
          <c:showVal val="0"/>
          <c:showCatName val="0"/>
          <c:showSerName val="0"/>
          <c:showPercent val="0"/>
          <c:showBubbleSize val="0"/>
        </c:dLbls>
        <c:marker val="1"/>
        <c:smooth val="0"/>
        <c:axId val="211507712"/>
        <c:axId val="444167232"/>
      </c:lineChart>
      <c:catAx>
        <c:axId val="211507712"/>
        <c:scaling>
          <c:orientation val="minMax"/>
        </c:scaling>
        <c:delete val="0"/>
        <c:axPos val="b"/>
        <c:numFmt formatCode="General" sourceLinked="1"/>
        <c:majorTickMark val="out"/>
        <c:minorTickMark val="none"/>
        <c:tickLblPos val="nextTo"/>
        <c:txPr>
          <a:bodyPr/>
          <a:lstStyle/>
          <a:p>
            <a:pPr>
              <a:defRPr sz="600"/>
            </a:pPr>
            <a:endParaRPr lang="en-US"/>
          </a:p>
        </c:txPr>
        <c:crossAx val="444167232"/>
        <c:crosses val="autoZero"/>
        <c:auto val="1"/>
        <c:lblAlgn val="ctr"/>
        <c:lblOffset val="100"/>
        <c:noMultiLvlLbl val="0"/>
      </c:catAx>
      <c:valAx>
        <c:axId val="444167232"/>
        <c:scaling>
          <c:orientation val="minMax"/>
          <c:max val="100"/>
        </c:scaling>
        <c:delete val="0"/>
        <c:axPos val="l"/>
        <c:title>
          <c:tx>
            <c:rich>
              <a:bodyPr rot="-5400000" vert="horz"/>
              <a:lstStyle/>
              <a:p>
                <a:pPr>
                  <a:defRPr b="0"/>
                </a:pPr>
                <a:r>
                  <a:rPr lang="en-US" b="0"/>
                  <a:t>DDD/100 bed days</a:t>
                </a:r>
              </a:p>
            </c:rich>
          </c:tx>
          <c:layout>
            <c:manualLayout>
              <c:xMode val="edge"/>
              <c:yMode val="edge"/>
              <c:x val="1.1026398559684172E-2"/>
              <c:y val="0.35240852246410376"/>
            </c:manualLayout>
          </c:layout>
          <c:overlay val="0"/>
        </c:title>
        <c:numFmt formatCode="0" sourceLinked="0"/>
        <c:majorTickMark val="out"/>
        <c:minorTickMark val="none"/>
        <c:tickLblPos val="nextTo"/>
        <c:crossAx val="211507712"/>
        <c:crosses val="autoZero"/>
        <c:crossBetween val="between"/>
        <c:majorUnit val="20"/>
      </c:valAx>
    </c:plotArea>
    <c:legend>
      <c:legendPos val="t"/>
      <c:layout>
        <c:manualLayout>
          <c:xMode val="edge"/>
          <c:yMode val="edge"/>
          <c:x val="0.16529114908595635"/>
          <c:y val="0.1038733981781689"/>
          <c:w val="0.65923255826126104"/>
          <c:h val="6.8513509340744183E-2"/>
        </c:manualLayout>
      </c:layout>
      <c:overlay val="0"/>
    </c:legend>
    <c:plotVisOnly val="1"/>
    <c:dispBlanksAs val="gap"/>
    <c:showDLblsOverMax val="0"/>
  </c:chart>
  <c:txPr>
    <a:bodyPr/>
    <a:lstStyle/>
    <a:p>
      <a:pPr>
        <a:defRPr>
          <a:latin typeface="Gill Sans MT" panose="020B0502020104020203"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000" b="0" i="0" u="none" strike="noStrike" baseline="0">
                <a:solidFill>
                  <a:srgbClr val="000000"/>
                </a:solidFill>
                <a:latin typeface="Gill Sans MT"/>
                <a:ea typeface="Gill Sans MT"/>
                <a:cs typeface="Gill Sans MT"/>
              </a:defRPr>
            </a:pPr>
            <a:r>
              <a:rPr lang="en-AU" sz="1200" b="1" i="0" u="none" strike="noStrike" baseline="0">
                <a:solidFill>
                  <a:srgbClr val="000000"/>
                </a:solidFill>
                <a:latin typeface="Gill Sans MT"/>
              </a:rPr>
              <a:t>Healthcare associated SAB </a:t>
            </a:r>
          </a:p>
          <a:p>
            <a:pPr>
              <a:defRPr sz="1000" b="0" i="0" u="none" strike="noStrike" baseline="0">
                <a:solidFill>
                  <a:srgbClr val="000000"/>
                </a:solidFill>
                <a:latin typeface="Gill Sans MT"/>
                <a:ea typeface="Gill Sans MT"/>
                <a:cs typeface="Gill Sans MT"/>
              </a:defRPr>
            </a:pPr>
            <a:r>
              <a:rPr lang="en-AU" sz="1200" b="1" i="0" u="none" strike="noStrike" baseline="0">
                <a:solidFill>
                  <a:srgbClr val="000000"/>
                </a:solidFill>
                <a:latin typeface="Gill Sans MT"/>
              </a:rPr>
              <a:t>by Tasmanian acute public hospital by quarter</a:t>
            </a:r>
          </a:p>
        </c:rich>
      </c:tx>
      <c:overlay val="0"/>
    </c:title>
    <c:autoTitleDeleted val="0"/>
    <c:plotArea>
      <c:layout>
        <c:manualLayout>
          <c:layoutTarget val="inner"/>
          <c:xMode val="edge"/>
          <c:yMode val="edge"/>
          <c:x val="9.7576905753514548E-2"/>
          <c:y val="0.23181482537524034"/>
          <c:w val="0.87779416065616644"/>
          <c:h val="0.56488654297008911"/>
        </c:manualLayout>
      </c:layout>
      <c:lineChart>
        <c:grouping val="standard"/>
        <c:varyColors val="0"/>
        <c:ser>
          <c:idx val="0"/>
          <c:order val="0"/>
          <c:tx>
            <c:v>RHH</c:v>
          </c:tx>
          <c:spPr>
            <a:ln>
              <a:prstDash val="solid"/>
            </a:ln>
          </c:spPr>
          <c:marker>
            <c:symbol val="none"/>
          </c:marker>
          <c:cat>
            <c:strRef>
              <c:f>'Data from July 2009'!$A$103:$A$130</c:f>
              <c:strCache>
                <c:ptCount val="28"/>
                <c:pt idx="0">
                  <c:v>Q3 2009</c:v>
                </c:pt>
                <c:pt idx="1">
                  <c:v>Q4 2009</c:v>
                </c:pt>
                <c:pt idx="2">
                  <c:v>Q1 2010</c:v>
                </c:pt>
                <c:pt idx="3">
                  <c:v>Q2 2010</c:v>
                </c:pt>
                <c:pt idx="4">
                  <c:v>Q3 2010</c:v>
                </c:pt>
                <c:pt idx="5">
                  <c:v>Q4 2010</c:v>
                </c:pt>
                <c:pt idx="6">
                  <c:v>Q1 2011</c:v>
                </c:pt>
                <c:pt idx="7">
                  <c:v>Q2 2011</c:v>
                </c:pt>
                <c:pt idx="8">
                  <c:v>Q3 2011</c:v>
                </c:pt>
                <c:pt idx="9">
                  <c:v>Q4 2011</c:v>
                </c:pt>
                <c:pt idx="10">
                  <c:v>Q1 2012</c:v>
                </c:pt>
                <c:pt idx="11">
                  <c:v>Q2 2012</c:v>
                </c:pt>
                <c:pt idx="12">
                  <c:v>Q3 2012</c:v>
                </c:pt>
                <c:pt idx="13">
                  <c:v>Q4 2012</c:v>
                </c:pt>
                <c:pt idx="14">
                  <c:v>Q1 2013</c:v>
                </c:pt>
                <c:pt idx="15">
                  <c:v>Q2 2013</c:v>
                </c:pt>
                <c:pt idx="16">
                  <c:v>Q3 2013</c:v>
                </c:pt>
                <c:pt idx="17">
                  <c:v>Q4 2013</c:v>
                </c:pt>
                <c:pt idx="18">
                  <c:v>Q1 2014</c:v>
                </c:pt>
                <c:pt idx="19">
                  <c:v>Q2 2014</c:v>
                </c:pt>
                <c:pt idx="20">
                  <c:v>Q3 2014</c:v>
                </c:pt>
                <c:pt idx="21">
                  <c:v>Q4 2014</c:v>
                </c:pt>
                <c:pt idx="22">
                  <c:v>Q1 2015</c:v>
                </c:pt>
                <c:pt idx="23">
                  <c:v>Q2 2015</c:v>
                </c:pt>
                <c:pt idx="24">
                  <c:v>Q3 2015</c:v>
                </c:pt>
                <c:pt idx="25">
                  <c:v>Q4 2015</c:v>
                </c:pt>
                <c:pt idx="26">
                  <c:v>Q1 2016</c:v>
                </c:pt>
                <c:pt idx="27">
                  <c:v>Q2 2016</c:v>
                </c:pt>
              </c:strCache>
            </c:strRef>
          </c:cat>
          <c:val>
            <c:numRef>
              <c:f>'Data from July 2009'!$G$103:$G$130</c:f>
              <c:numCache>
                <c:formatCode>0.0</c:formatCode>
                <c:ptCount val="28"/>
                <c:pt idx="0">
                  <c:v>0.47620181432891262</c:v>
                </c:pt>
                <c:pt idx="1">
                  <c:v>1.8456995201181248</c:v>
                </c:pt>
                <c:pt idx="2">
                  <c:v>2.6760083686079894</c:v>
                </c:pt>
                <c:pt idx="3">
                  <c:v>1.2338976358521296</c:v>
                </c:pt>
                <c:pt idx="4">
                  <c:v>1.8622407411718149</c:v>
                </c:pt>
                <c:pt idx="5">
                  <c:v>1.4492403565131275</c:v>
                </c:pt>
                <c:pt idx="6">
                  <c:v>1.5092061575611229</c:v>
                </c:pt>
                <c:pt idx="7">
                  <c:v>0.71358911538735992</c:v>
                </c:pt>
                <c:pt idx="8">
                  <c:v>0.49988752530680597</c:v>
                </c:pt>
                <c:pt idx="9">
                  <c:v>0.79413399687640629</c:v>
                </c:pt>
                <c:pt idx="10">
                  <c:v>0.53541789366600634</c:v>
                </c:pt>
                <c:pt idx="11">
                  <c:v>0.8026326350429408</c:v>
                </c:pt>
                <c:pt idx="12">
                  <c:v>0.75203048230221592</c:v>
                </c:pt>
                <c:pt idx="13">
                  <c:v>1.0574736953418284</c:v>
                </c:pt>
                <c:pt idx="14">
                  <c:v>0.5558643690939411</c:v>
                </c:pt>
                <c:pt idx="15">
                  <c:v>0.93298812772607465</c:v>
                </c:pt>
                <c:pt idx="16">
                  <c:v>0.49166625694478588</c:v>
                </c:pt>
                <c:pt idx="17">
                  <c:v>0.99083477830071831</c:v>
                </c:pt>
                <c:pt idx="18">
                  <c:v>0.79531295564804749</c:v>
                </c:pt>
                <c:pt idx="19">
                  <c:v>1.3341516129893001</c:v>
                </c:pt>
                <c:pt idx="20">
                  <c:v>0.25014383270380469</c:v>
                </c:pt>
                <c:pt idx="21">
                  <c:v>0.2632340940798652</c:v>
                </c:pt>
                <c:pt idx="22">
                  <c:v>0.84345479082321184</c:v>
                </c:pt>
                <c:pt idx="23">
                  <c:v>1.0225210255885886</c:v>
                </c:pt>
                <c:pt idx="24">
                  <c:v>1.2823472083301273</c:v>
                </c:pt>
                <c:pt idx="25">
                  <c:v>0.51710318794115362</c:v>
                </c:pt>
                <c:pt idx="26">
                  <c:v>0.54734537493158186</c:v>
                </c:pt>
                <c:pt idx="27">
                  <c:v>1.0100244930939575</c:v>
                </c:pt>
              </c:numCache>
            </c:numRef>
          </c:val>
          <c:smooth val="0"/>
        </c:ser>
        <c:ser>
          <c:idx val="1"/>
          <c:order val="1"/>
          <c:tx>
            <c:v>LGH</c:v>
          </c:tx>
          <c:spPr>
            <a:ln>
              <a:prstDash val="sysDot"/>
            </a:ln>
          </c:spPr>
          <c:marker>
            <c:symbol val="none"/>
          </c:marker>
          <c:cat>
            <c:strRef>
              <c:f>'Data from July 2009'!$A$103:$A$130</c:f>
              <c:strCache>
                <c:ptCount val="28"/>
                <c:pt idx="0">
                  <c:v>Q3 2009</c:v>
                </c:pt>
                <c:pt idx="1">
                  <c:v>Q4 2009</c:v>
                </c:pt>
                <c:pt idx="2">
                  <c:v>Q1 2010</c:v>
                </c:pt>
                <c:pt idx="3">
                  <c:v>Q2 2010</c:v>
                </c:pt>
                <c:pt idx="4">
                  <c:v>Q3 2010</c:v>
                </c:pt>
                <c:pt idx="5">
                  <c:v>Q4 2010</c:v>
                </c:pt>
                <c:pt idx="6">
                  <c:v>Q1 2011</c:v>
                </c:pt>
                <c:pt idx="7">
                  <c:v>Q2 2011</c:v>
                </c:pt>
                <c:pt idx="8">
                  <c:v>Q3 2011</c:v>
                </c:pt>
                <c:pt idx="9">
                  <c:v>Q4 2011</c:v>
                </c:pt>
                <c:pt idx="10">
                  <c:v>Q1 2012</c:v>
                </c:pt>
                <c:pt idx="11">
                  <c:v>Q2 2012</c:v>
                </c:pt>
                <c:pt idx="12">
                  <c:v>Q3 2012</c:v>
                </c:pt>
                <c:pt idx="13">
                  <c:v>Q4 2012</c:v>
                </c:pt>
                <c:pt idx="14">
                  <c:v>Q1 2013</c:v>
                </c:pt>
                <c:pt idx="15">
                  <c:v>Q2 2013</c:v>
                </c:pt>
                <c:pt idx="16">
                  <c:v>Q3 2013</c:v>
                </c:pt>
                <c:pt idx="17">
                  <c:v>Q4 2013</c:v>
                </c:pt>
                <c:pt idx="18">
                  <c:v>Q1 2014</c:v>
                </c:pt>
                <c:pt idx="19">
                  <c:v>Q2 2014</c:v>
                </c:pt>
                <c:pt idx="20">
                  <c:v>Q3 2014</c:v>
                </c:pt>
                <c:pt idx="21">
                  <c:v>Q4 2014</c:v>
                </c:pt>
                <c:pt idx="22">
                  <c:v>Q1 2015</c:v>
                </c:pt>
                <c:pt idx="23">
                  <c:v>Q2 2015</c:v>
                </c:pt>
                <c:pt idx="24">
                  <c:v>Q3 2015</c:v>
                </c:pt>
                <c:pt idx="25">
                  <c:v>Q4 2015</c:v>
                </c:pt>
                <c:pt idx="26">
                  <c:v>Q1 2016</c:v>
                </c:pt>
                <c:pt idx="27">
                  <c:v>Q2 2016</c:v>
                </c:pt>
              </c:strCache>
            </c:strRef>
          </c:cat>
          <c:val>
            <c:numRef>
              <c:f>'Data from July 2009'!$M$103:$M$130</c:f>
              <c:numCache>
                <c:formatCode>0.0</c:formatCode>
                <c:ptCount val="28"/>
                <c:pt idx="0">
                  <c:v>0.68231441048034935</c:v>
                </c:pt>
                <c:pt idx="1">
                  <c:v>0.69237693000069234</c:v>
                </c:pt>
                <c:pt idx="2">
                  <c:v>0.36104993320576234</c:v>
                </c:pt>
                <c:pt idx="3">
                  <c:v>0.70889306348137393</c:v>
                </c:pt>
                <c:pt idx="4">
                  <c:v>1.0392489694114386</c:v>
                </c:pt>
                <c:pt idx="5">
                  <c:v>1.0808473843493298</c:v>
                </c:pt>
                <c:pt idx="6">
                  <c:v>1.8422313105633543</c:v>
                </c:pt>
                <c:pt idx="7">
                  <c:v>0.67337800074071574</c:v>
                </c:pt>
                <c:pt idx="8">
                  <c:v>1.6657782515991471</c:v>
                </c:pt>
                <c:pt idx="9">
                  <c:v>0.36281837312241494</c:v>
                </c:pt>
                <c:pt idx="10">
                  <c:v>0.79207920792079212</c:v>
                </c:pt>
                <c:pt idx="11">
                  <c:v>0.77552444840823609</c:v>
                </c:pt>
                <c:pt idx="12">
                  <c:v>0.72613731256580616</c:v>
                </c:pt>
                <c:pt idx="13">
                  <c:v>2.2747090268036549</c:v>
                </c:pt>
                <c:pt idx="14">
                  <c:v>1.5311590874291841</c:v>
                </c:pt>
                <c:pt idx="15">
                  <c:v>1.3203498927215711</c:v>
                </c:pt>
                <c:pt idx="16">
                  <c:v>0.98980500841334262</c:v>
                </c:pt>
                <c:pt idx="17">
                  <c:v>1.0254657323534437</c:v>
                </c:pt>
                <c:pt idx="18">
                  <c:v>1.3578193421365288</c:v>
                </c:pt>
                <c:pt idx="19">
                  <c:v>1.0030425624393995</c:v>
                </c:pt>
                <c:pt idx="20">
                  <c:v>0.6418073294397022</c:v>
                </c:pt>
                <c:pt idx="21">
                  <c:v>0.66873975992242618</c:v>
                </c:pt>
                <c:pt idx="22">
                  <c:v>1.6332930454382124</c:v>
                </c:pt>
                <c:pt idx="23">
                  <c:v>1.271536652043995</c:v>
                </c:pt>
                <c:pt idx="24">
                  <c:v>1.5458817709621568</c:v>
                </c:pt>
                <c:pt idx="25">
                  <c:v>0.62214203502659648</c:v>
                </c:pt>
                <c:pt idx="26">
                  <c:v>1.5548714121342164</c:v>
                </c:pt>
                <c:pt idx="27">
                  <c:v>1.2303528036664515</c:v>
                </c:pt>
              </c:numCache>
            </c:numRef>
          </c:val>
          <c:smooth val="0"/>
        </c:ser>
        <c:ser>
          <c:idx val="2"/>
          <c:order val="2"/>
          <c:tx>
            <c:v>MCH</c:v>
          </c:tx>
          <c:spPr>
            <a:ln>
              <a:prstDash val="sysDash"/>
            </a:ln>
          </c:spPr>
          <c:marker>
            <c:symbol val="none"/>
          </c:marker>
          <c:cat>
            <c:strRef>
              <c:f>'Data from July 2009'!$A$103:$A$130</c:f>
              <c:strCache>
                <c:ptCount val="28"/>
                <c:pt idx="0">
                  <c:v>Q3 2009</c:v>
                </c:pt>
                <c:pt idx="1">
                  <c:v>Q4 2009</c:v>
                </c:pt>
                <c:pt idx="2">
                  <c:v>Q1 2010</c:v>
                </c:pt>
                <c:pt idx="3">
                  <c:v>Q2 2010</c:v>
                </c:pt>
                <c:pt idx="4">
                  <c:v>Q3 2010</c:v>
                </c:pt>
                <c:pt idx="5">
                  <c:v>Q4 2010</c:v>
                </c:pt>
                <c:pt idx="6">
                  <c:v>Q1 2011</c:v>
                </c:pt>
                <c:pt idx="7">
                  <c:v>Q2 2011</c:v>
                </c:pt>
                <c:pt idx="8">
                  <c:v>Q3 2011</c:v>
                </c:pt>
                <c:pt idx="9">
                  <c:v>Q4 2011</c:v>
                </c:pt>
                <c:pt idx="10">
                  <c:v>Q1 2012</c:v>
                </c:pt>
                <c:pt idx="11">
                  <c:v>Q2 2012</c:v>
                </c:pt>
                <c:pt idx="12">
                  <c:v>Q3 2012</c:v>
                </c:pt>
                <c:pt idx="13">
                  <c:v>Q4 2012</c:v>
                </c:pt>
                <c:pt idx="14">
                  <c:v>Q1 2013</c:v>
                </c:pt>
                <c:pt idx="15">
                  <c:v>Q2 2013</c:v>
                </c:pt>
                <c:pt idx="16">
                  <c:v>Q3 2013</c:v>
                </c:pt>
                <c:pt idx="17">
                  <c:v>Q4 2013</c:v>
                </c:pt>
                <c:pt idx="18">
                  <c:v>Q1 2014</c:v>
                </c:pt>
                <c:pt idx="19">
                  <c:v>Q2 2014</c:v>
                </c:pt>
                <c:pt idx="20">
                  <c:v>Q3 2014</c:v>
                </c:pt>
                <c:pt idx="21">
                  <c:v>Q4 2014</c:v>
                </c:pt>
                <c:pt idx="22">
                  <c:v>Q1 2015</c:v>
                </c:pt>
                <c:pt idx="23">
                  <c:v>Q2 2015</c:v>
                </c:pt>
                <c:pt idx="24">
                  <c:v>Q3 2015</c:v>
                </c:pt>
                <c:pt idx="25">
                  <c:v>Q4 2015</c:v>
                </c:pt>
                <c:pt idx="26">
                  <c:v>Q1 2016</c:v>
                </c:pt>
                <c:pt idx="27">
                  <c:v>Q2 2016</c:v>
                </c:pt>
              </c:strCache>
            </c:strRef>
          </c:cat>
          <c:val>
            <c:numRef>
              <c:f>'Data from July 2009'!$S$103:$S$130</c:f>
              <c:numCache>
                <c:formatCode>0.0</c:formatCode>
                <c:ptCount val="28"/>
                <c:pt idx="0">
                  <c:v>4.3770061278085794</c:v>
                </c:pt>
                <c:pt idx="1">
                  <c:v>0</c:v>
                </c:pt>
                <c:pt idx="2">
                  <c:v>0</c:v>
                </c:pt>
                <c:pt idx="3">
                  <c:v>0</c:v>
                </c:pt>
                <c:pt idx="4">
                  <c:v>1.5777847901546229</c:v>
                </c:pt>
                <c:pt idx="5">
                  <c:v>0</c:v>
                </c:pt>
                <c:pt idx="6">
                  <c:v>4.6353522867737951</c:v>
                </c:pt>
                <c:pt idx="7">
                  <c:v>0</c:v>
                </c:pt>
                <c:pt idx="8">
                  <c:v>0</c:v>
                </c:pt>
                <c:pt idx="9">
                  <c:v>1.7857142857142858</c:v>
                </c:pt>
                <c:pt idx="10">
                  <c:v>1.8573551263001484</c:v>
                </c:pt>
                <c:pt idx="11">
                  <c:v>1.6747613465081226</c:v>
                </c:pt>
                <c:pt idx="12">
                  <c:v>1.5885623510722795</c:v>
                </c:pt>
                <c:pt idx="13">
                  <c:v>0</c:v>
                </c:pt>
                <c:pt idx="14">
                  <c:v>0</c:v>
                </c:pt>
                <c:pt idx="15">
                  <c:v>0</c:v>
                </c:pt>
                <c:pt idx="16">
                  <c:v>0</c:v>
                </c:pt>
                <c:pt idx="17">
                  <c:v>0</c:v>
                </c:pt>
                <c:pt idx="18">
                  <c:v>3.9432176656151419</c:v>
                </c:pt>
                <c:pt idx="19">
                  <c:v>0</c:v>
                </c:pt>
                <c:pt idx="20">
                  <c:v>3.2061558191728117</c:v>
                </c:pt>
                <c:pt idx="21">
                  <c:v>1.6742005692281934</c:v>
                </c:pt>
                <c:pt idx="22">
                  <c:v>1.7024174327545112</c:v>
                </c:pt>
                <c:pt idx="23">
                  <c:v>0</c:v>
                </c:pt>
                <c:pt idx="24">
                  <c:v>1.5482272797646695</c:v>
                </c:pt>
                <c:pt idx="25">
                  <c:v>1.6778523489932884</c:v>
                </c:pt>
                <c:pt idx="26" formatCode="0.00">
                  <c:v>1.9673421207948061</c:v>
                </c:pt>
                <c:pt idx="27">
                  <c:v>1.7373175816539264</c:v>
                </c:pt>
              </c:numCache>
            </c:numRef>
          </c:val>
          <c:smooth val="0"/>
        </c:ser>
        <c:ser>
          <c:idx val="3"/>
          <c:order val="3"/>
          <c:tx>
            <c:v>NWRH</c:v>
          </c:tx>
          <c:spPr>
            <a:ln>
              <a:prstDash val="lgDash"/>
            </a:ln>
          </c:spPr>
          <c:marker>
            <c:symbol val="none"/>
          </c:marker>
          <c:cat>
            <c:strRef>
              <c:f>'Data from July 2009'!$A$103:$A$130</c:f>
              <c:strCache>
                <c:ptCount val="28"/>
                <c:pt idx="0">
                  <c:v>Q3 2009</c:v>
                </c:pt>
                <c:pt idx="1">
                  <c:v>Q4 2009</c:v>
                </c:pt>
                <c:pt idx="2">
                  <c:v>Q1 2010</c:v>
                </c:pt>
                <c:pt idx="3">
                  <c:v>Q2 2010</c:v>
                </c:pt>
                <c:pt idx="4">
                  <c:v>Q3 2010</c:v>
                </c:pt>
                <c:pt idx="5">
                  <c:v>Q4 2010</c:v>
                </c:pt>
                <c:pt idx="6">
                  <c:v>Q1 2011</c:v>
                </c:pt>
                <c:pt idx="7">
                  <c:v>Q2 2011</c:v>
                </c:pt>
                <c:pt idx="8">
                  <c:v>Q3 2011</c:v>
                </c:pt>
                <c:pt idx="9">
                  <c:v>Q4 2011</c:v>
                </c:pt>
                <c:pt idx="10">
                  <c:v>Q1 2012</c:v>
                </c:pt>
                <c:pt idx="11">
                  <c:v>Q2 2012</c:v>
                </c:pt>
                <c:pt idx="12">
                  <c:v>Q3 2012</c:v>
                </c:pt>
                <c:pt idx="13">
                  <c:v>Q4 2012</c:v>
                </c:pt>
                <c:pt idx="14">
                  <c:v>Q1 2013</c:v>
                </c:pt>
                <c:pt idx="15">
                  <c:v>Q2 2013</c:v>
                </c:pt>
                <c:pt idx="16">
                  <c:v>Q3 2013</c:v>
                </c:pt>
                <c:pt idx="17">
                  <c:v>Q4 2013</c:v>
                </c:pt>
                <c:pt idx="18">
                  <c:v>Q1 2014</c:v>
                </c:pt>
                <c:pt idx="19">
                  <c:v>Q2 2014</c:v>
                </c:pt>
                <c:pt idx="20">
                  <c:v>Q3 2014</c:v>
                </c:pt>
                <c:pt idx="21">
                  <c:v>Q4 2014</c:v>
                </c:pt>
                <c:pt idx="22">
                  <c:v>Q1 2015</c:v>
                </c:pt>
                <c:pt idx="23">
                  <c:v>Q2 2015</c:v>
                </c:pt>
                <c:pt idx="24">
                  <c:v>Q3 2015</c:v>
                </c:pt>
                <c:pt idx="25">
                  <c:v>Q4 2015</c:v>
                </c:pt>
                <c:pt idx="26">
                  <c:v>Q1 2016</c:v>
                </c:pt>
                <c:pt idx="27">
                  <c:v>Q2 2016</c:v>
                </c:pt>
              </c:strCache>
            </c:strRef>
          </c:cat>
          <c:val>
            <c:numRef>
              <c:f>'Data from July 2009'!$Y$103:$Y$130</c:f>
              <c:numCache>
                <c:formatCode>0.0</c:formatCode>
                <c:ptCount val="28"/>
                <c:pt idx="0">
                  <c:v>1.0667804565820356</c:v>
                </c:pt>
                <c:pt idx="1">
                  <c:v>0</c:v>
                </c:pt>
                <c:pt idx="2">
                  <c:v>1.0232272587741738</c:v>
                </c:pt>
                <c:pt idx="3">
                  <c:v>0</c:v>
                </c:pt>
                <c:pt idx="4">
                  <c:v>0</c:v>
                </c:pt>
                <c:pt idx="5">
                  <c:v>1.0219724067450178</c:v>
                </c:pt>
                <c:pt idx="6">
                  <c:v>1.1858176212498517</c:v>
                </c:pt>
                <c:pt idx="7">
                  <c:v>0</c:v>
                </c:pt>
                <c:pt idx="8">
                  <c:v>0</c:v>
                </c:pt>
                <c:pt idx="9">
                  <c:v>1.1590171534538711</c:v>
                </c:pt>
                <c:pt idx="10">
                  <c:v>2.5608194622279128</c:v>
                </c:pt>
                <c:pt idx="11">
                  <c:v>1.2774655084312725</c:v>
                </c:pt>
                <c:pt idx="12">
                  <c:v>0</c:v>
                </c:pt>
                <c:pt idx="13">
                  <c:v>0</c:v>
                </c:pt>
                <c:pt idx="14">
                  <c:v>1.2140342357654486</c:v>
                </c:pt>
                <c:pt idx="15">
                  <c:v>0</c:v>
                </c:pt>
                <c:pt idx="16">
                  <c:v>1.1218308279111511</c:v>
                </c:pt>
                <c:pt idx="17">
                  <c:v>0</c:v>
                </c:pt>
                <c:pt idx="18">
                  <c:v>1.1571395510298543</c:v>
                </c:pt>
                <c:pt idx="19">
                  <c:v>3.7456690701376529</c:v>
                </c:pt>
                <c:pt idx="20">
                  <c:v>0.951022349025202</c:v>
                </c:pt>
                <c:pt idx="21">
                  <c:v>0</c:v>
                </c:pt>
                <c:pt idx="22">
                  <c:v>0.99930048965723994</c:v>
                </c:pt>
                <c:pt idx="23">
                  <c:v>0.93014603292716957</c:v>
                </c:pt>
                <c:pt idx="24">
                  <c:v>0.93205331344952924</c:v>
                </c:pt>
                <c:pt idx="25">
                  <c:v>0</c:v>
                </c:pt>
                <c:pt idx="26">
                  <c:v>0</c:v>
                </c:pt>
                <c:pt idx="27">
                  <c:v>1.808481779546071</c:v>
                </c:pt>
              </c:numCache>
            </c:numRef>
          </c:val>
          <c:smooth val="0"/>
        </c:ser>
        <c:dLbls>
          <c:showLegendKey val="0"/>
          <c:showVal val="0"/>
          <c:showCatName val="0"/>
          <c:showSerName val="0"/>
          <c:showPercent val="0"/>
          <c:showBubbleSize val="0"/>
        </c:dLbls>
        <c:marker val="1"/>
        <c:smooth val="0"/>
        <c:axId val="200978944"/>
        <c:axId val="198450496"/>
      </c:lineChart>
      <c:catAx>
        <c:axId val="200978944"/>
        <c:scaling>
          <c:orientation val="minMax"/>
        </c:scaling>
        <c:delete val="0"/>
        <c:axPos val="b"/>
        <c:numFmt formatCode="General" sourceLinked="1"/>
        <c:majorTickMark val="none"/>
        <c:minorTickMark val="none"/>
        <c:tickLblPos val="nextTo"/>
        <c:txPr>
          <a:bodyPr rot="-5400000" vert="horz"/>
          <a:lstStyle/>
          <a:p>
            <a:pPr>
              <a:defRPr sz="1000" b="0" i="0" u="none" strike="noStrike" baseline="0">
                <a:solidFill>
                  <a:srgbClr val="000000"/>
                </a:solidFill>
                <a:latin typeface="Gill Sans MT"/>
                <a:ea typeface="Gill Sans MT"/>
                <a:cs typeface="Gill Sans MT"/>
              </a:defRPr>
            </a:pPr>
            <a:endParaRPr lang="en-US"/>
          </a:p>
        </c:txPr>
        <c:crossAx val="198450496"/>
        <c:crosses val="autoZero"/>
        <c:auto val="1"/>
        <c:lblAlgn val="ctr"/>
        <c:lblOffset val="100"/>
        <c:tickLblSkip val="2"/>
        <c:noMultiLvlLbl val="0"/>
      </c:catAx>
      <c:valAx>
        <c:axId val="198450496"/>
        <c:scaling>
          <c:orientation val="minMax"/>
        </c:scaling>
        <c:delete val="0"/>
        <c:axPos val="l"/>
        <c:title>
          <c:tx>
            <c:rich>
              <a:bodyPr/>
              <a:lstStyle/>
              <a:p>
                <a:pPr>
                  <a:defRPr sz="1000" b="0" i="0" u="none" strike="noStrike" baseline="0">
                    <a:solidFill>
                      <a:srgbClr val="000000"/>
                    </a:solidFill>
                    <a:latin typeface="Gill Sans MT"/>
                    <a:ea typeface="Gill Sans MT"/>
                    <a:cs typeface="Gill Sans MT"/>
                  </a:defRPr>
                </a:pPr>
                <a:r>
                  <a:rPr lang="en-AU" b="0"/>
                  <a:t>Rate /10 000 patient days</a:t>
                </a:r>
              </a:p>
            </c:rich>
          </c:tx>
          <c:layout>
            <c:manualLayout>
              <c:xMode val="edge"/>
              <c:yMode val="edge"/>
              <c:x val="5.9459808903197494E-3"/>
              <c:y val="0.30552039305714157"/>
            </c:manualLayout>
          </c:layout>
          <c:overlay val="0"/>
        </c:title>
        <c:numFmt formatCode="0.0" sourceLinked="0"/>
        <c:majorTickMark val="none"/>
        <c:minorTickMark val="none"/>
        <c:tickLblPos val="nextTo"/>
        <c:txPr>
          <a:bodyPr rot="0" vert="horz"/>
          <a:lstStyle/>
          <a:p>
            <a:pPr>
              <a:defRPr sz="1000" b="0" i="0" u="none" strike="noStrike" baseline="0">
                <a:solidFill>
                  <a:srgbClr val="000000"/>
                </a:solidFill>
                <a:latin typeface="Gill Sans MT"/>
                <a:ea typeface="Gill Sans MT"/>
                <a:cs typeface="Gill Sans MT"/>
              </a:defRPr>
            </a:pPr>
            <a:endParaRPr lang="en-US"/>
          </a:p>
        </c:txPr>
        <c:crossAx val="200978944"/>
        <c:crosses val="autoZero"/>
        <c:crossBetween val="between"/>
        <c:majorUnit val="1"/>
      </c:valAx>
    </c:plotArea>
    <c:legend>
      <c:legendPos val="r"/>
      <c:layout>
        <c:manualLayout>
          <c:xMode val="edge"/>
          <c:yMode val="edge"/>
          <c:x val="0.14190284353990634"/>
          <c:y val="0.15940844603726859"/>
          <c:w val="0.80627070324812156"/>
          <c:h val="0.10310624578130662"/>
        </c:manualLayout>
      </c:layout>
      <c:overlay val="0"/>
      <c:txPr>
        <a:bodyPr/>
        <a:lstStyle/>
        <a:p>
          <a:pPr>
            <a:defRPr sz="1000" b="0" i="0" u="none" strike="noStrike" baseline="0">
              <a:solidFill>
                <a:srgbClr val="000000"/>
              </a:solidFill>
              <a:latin typeface="Gill Sans MT"/>
              <a:ea typeface="Gill Sans MT"/>
              <a:cs typeface="Gill Sans MT"/>
            </a:defRPr>
          </a:pPr>
          <a:endParaRPr lang="en-US"/>
        </a:p>
      </c:txPr>
    </c:legend>
    <c:plotVisOnly val="1"/>
    <c:dispBlanksAs val="gap"/>
    <c:showDLblsOverMax val="0"/>
  </c:chart>
  <c:spPr>
    <a:ln w="12700">
      <a:solidFill>
        <a:sysClr val="windowText" lastClr="000000"/>
      </a:solidFill>
    </a:ln>
  </c:spPr>
  <c:txPr>
    <a:bodyPr/>
    <a:lstStyle/>
    <a:p>
      <a:pPr>
        <a:defRPr sz="1000" b="0" i="0" u="none" strike="noStrike" baseline="0">
          <a:solidFill>
            <a:srgbClr val="000000"/>
          </a:solidFill>
          <a:latin typeface="Gill Sans MT"/>
          <a:ea typeface="Gill Sans MT"/>
          <a:cs typeface="Gill Sans MT"/>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000" b="0" i="0" u="none" strike="noStrike" baseline="0">
                <a:solidFill>
                  <a:srgbClr val="000000"/>
                </a:solidFill>
                <a:latin typeface="Gill Sans MT"/>
                <a:ea typeface="Gill Sans MT"/>
                <a:cs typeface="Gill Sans MT"/>
              </a:defRPr>
            </a:pPr>
            <a:r>
              <a:rPr lang="en-AU" sz="1200" b="1" i="0" u="none" strike="noStrike" baseline="0">
                <a:solidFill>
                  <a:srgbClr val="000000"/>
                </a:solidFill>
                <a:latin typeface="Gill Sans MT"/>
              </a:rPr>
              <a:t>Healthcare associated SAB </a:t>
            </a:r>
          </a:p>
          <a:p>
            <a:pPr>
              <a:defRPr sz="1000" b="0" i="0" u="none" strike="noStrike" baseline="0">
                <a:solidFill>
                  <a:srgbClr val="000000"/>
                </a:solidFill>
                <a:latin typeface="Gill Sans MT"/>
                <a:ea typeface="Gill Sans MT"/>
                <a:cs typeface="Gill Sans MT"/>
              </a:defRPr>
            </a:pPr>
            <a:r>
              <a:rPr lang="en-AU" sz="1200" b="1" i="0" u="none" strike="noStrike" baseline="0">
                <a:solidFill>
                  <a:srgbClr val="000000"/>
                </a:solidFill>
                <a:latin typeface="Gill Sans MT"/>
              </a:rPr>
              <a:t>by Tasmanian acute public hospital by financial year </a:t>
            </a:r>
          </a:p>
        </c:rich>
      </c:tx>
      <c:overlay val="0"/>
    </c:title>
    <c:autoTitleDeleted val="0"/>
    <c:plotArea>
      <c:layout>
        <c:manualLayout>
          <c:layoutTarget val="inner"/>
          <c:xMode val="edge"/>
          <c:yMode val="edge"/>
          <c:x val="0.11782414762869245"/>
          <c:y val="0.23441160224212251"/>
          <c:w val="0.84834680943202523"/>
          <c:h val="0.65725030889244651"/>
        </c:manualLayout>
      </c:layout>
      <c:lineChart>
        <c:grouping val="standard"/>
        <c:varyColors val="0"/>
        <c:ser>
          <c:idx val="0"/>
          <c:order val="0"/>
          <c:tx>
            <c:v>RHH</c:v>
          </c:tx>
          <c:marker>
            <c:symbol val="none"/>
          </c:marker>
          <c:cat>
            <c:strRef>
              <c:f>'Data from July 2009'!$A$139:$A$145</c:f>
              <c:strCache>
                <c:ptCount val="7"/>
                <c:pt idx="0">
                  <c:v>2009-10</c:v>
                </c:pt>
                <c:pt idx="1">
                  <c:v>2010-11</c:v>
                </c:pt>
                <c:pt idx="2">
                  <c:v>2011-12</c:v>
                </c:pt>
                <c:pt idx="3">
                  <c:v>2012-13</c:v>
                </c:pt>
                <c:pt idx="4">
                  <c:v>2013-14</c:v>
                </c:pt>
                <c:pt idx="5">
                  <c:v>2014-15</c:v>
                </c:pt>
                <c:pt idx="6">
                  <c:v>2015-16</c:v>
                </c:pt>
              </c:strCache>
            </c:strRef>
          </c:cat>
          <c:val>
            <c:numRef>
              <c:f>'Data from July 2009'!$G$139:$G$145</c:f>
              <c:numCache>
                <c:formatCode>0.0</c:formatCode>
                <c:ptCount val="7"/>
                <c:pt idx="0">
                  <c:v>1.5571566319899863</c:v>
                </c:pt>
                <c:pt idx="1">
                  <c:v>1.3842329844664987</c:v>
                </c:pt>
                <c:pt idx="2">
                  <c:v>0.65566461443642343</c:v>
                </c:pt>
                <c:pt idx="3">
                  <c:v>0.83029424350614101</c:v>
                </c:pt>
                <c:pt idx="4">
                  <c:v>0.89602293818721757</c:v>
                </c:pt>
                <c:pt idx="5" formatCode="0.00">
                  <c:v>0.5895724289728993</c:v>
                </c:pt>
                <c:pt idx="6">
                  <c:v>0.8451931266294348</c:v>
                </c:pt>
              </c:numCache>
            </c:numRef>
          </c:val>
          <c:smooth val="0"/>
        </c:ser>
        <c:ser>
          <c:idx val="1"/>
          <c:order val="1"/>
          <c:tx>
            <c:v>LGH</c:v>
          </c:tx>
          <c:spPr>
            <a:ln>
              <a:prstDash val="sysDot"/>
            </a:ln>
          </c:spPr>
          <c:marker>
            <c:symbol val="none"/>
          </c:marker>
          <c:cat>
            <c:strRef>
              <c:f>'Data from July 2009'!$A$139:$A$145</c:f>
              <c:strCache>
                <c:ptCount val="7"/>
                <c:pt idx="0">
                  <c:v>2009-10</c:v>
                </c:pt>
                <c:pt idx="1">
                  <c:v>2010-11</c:v>
                </c:pt>
                <c:pt idx="2">
                  <c:v>2011-12</c:v>
                </c:pt>
                <c:pt idx="3">
                  <c:v>2012-13</c:v>
                </c:pt>
                <c:pt idx="4">
                  <c:v>2013-14</c:v>
                </c:pt>
                <c:pt idx="5">
                  <c:v>2014-15</c:v>
                </c:pt>
                <c:pt idx="6">
                  <c:v>2015-16</c:v>
                </c:pt>
              </c:strCache>
            </c:strRef>
          </c:cat>
          <c:val>
            <c:numRef>
              <c:f>'Data from July 2009'!$M$139:$M$145</c:f>
              <c:numCache>
                <c:formatCode>0.0</c:formatCode>
                <c:ptCount val="7"/>
                <c:pt idx="0">
                  <c:v>0.61345392084691686</c:v>
                </c:pt>
                <c:pt idx="1">
                  <c:v>1.145727757458247</c:v>
                </c:pt>
                <c:pt idx="2">
                  <c:v>0.9206661940580203</c:v>
                </c:pt>
                <c:pt idx="3">
                  <c:v>1.4500765821694959</c:v>
                </c:pt>
                <c:pt idx="4">
                  <c:v>1.0930615814078632</c:v>
                </c:pt>
                <c:pt idx="5" formatCode="0.00">
                  <c:v>1.0557089491635536</c:v>
                </c:pt>
                <c:pt idx="6">
                  <c:v>1.2387832051966954</c:v>
                </c:pt>
              </c:numCache>
            </c:numRef>
          </c:val>
          <c:smooth val="0"/>
        </c:ser>
        <c:ser>
          <c:idx val="2"/>
          <c:order val="2"/>
          <c:tx>
            <c:v>MCH</c:v>
          </c:tx>
          <c:spPr>
            <a:ln>
              <a:prstDash val="sysDash"/>
            </a:ln>
          </c:spPr>
          <c:marker>
            <c:symbol val="none"/>
          </c:marker>
          <c:cat>
            <c:strRef>
              <c:f>'Data from July 2009'!$A$139:$A$145</c:f>
              <c:strCache>
                <c:ptCount val="7"/>
                <c:pt idx="0">
                  <c:v>2009-10</c:v>
                </c:pt>
                <c:pt idx="1">
                  <c:v>2010-11</c:v>
                </c:pt>
                <c:pt idx="2">
                  <c:v>2011-12</c:v>
                </c:pt>
                <c:pt idx="3">
                  <c:v>2012-13</c:v>
                </c:pt>
                <c:pt idx="4">
                  <c:v>2013-14</c:v>
                </c:pt>
                <c:pt idx="5">
                  <c:v>2014-15</c:v>
                </c:pt>
                <c:pt idx="6">
                  <c:v>2015-16</c:v>
                </c:pt>
              </c:strCache>
            </c:strRef>
          </c:cat>
          <c:val>
            <c:numRef>
              <c:f>'Data from July 2009'!$S$139:$S$145</c:f>
              <c:numCache>
                <c:formatCode>0.0</c:formatCode>
                <c:ptCount val="7"/>
                <c:pt idx="0">
                  <c:v>1.203900638067338</c:v>
                </c:pt>
                <c:pt idx="1">
                  <c:v>1.5413070283600494</c:v>
                </c:pt>
                <c:pt idx="2">
                  <c:v>1.3075313807531379</c:v>
                </c:pt>
                <c:pt idx="3">
                  <c:v>0.42977479800584495</c:v>
                </c:pt>
                <c:pt idx="4">
                  <c:v>0.88350929893537122</c:v>
                </c:pt>
                <c:pt idx="5" formatCode="0.00">
                  <c:v>1.671891327063741</c:v>
                </c:pt>
                <c:pt idx="6">
                  <c:v>1.7198383351964914</c:v>
                </c:pt>
              </c:numCache>
            </c:numRef>
          </c:val>
          <c:smooth val="0"/>
        </c:ser>
        <c:ser>
          <c:idx val="3"/>
          <c:order val="3"/>
          <c:tx>
            <c:v>NWRH</c:v>
          </c:tx>
          <c:spPr>
            <a:ln>
              <a:prstDash val="dash"/>
            </a:ln>
          </c:spPr>
          <c:marker>
            <c:symbol val="none"/>
          </c:marker>
          <c:cat>
            <c:strRef>
              <c:f>'Data from July 2009'!$A$139:$A$145</c:f>
              <c:strCache>
                <c:ptCount val="7"/>
                <c:pt idx="0">
                  <c:v>2009-10</c:v>
                </c:pt>
                <c:pt idx="1">
                  <c:v>2010-11</c:v>
                </c:pt>
                <c:pt idx="2">
                  <c:v>2011-12</c:v>
                </c:pt>
                <c:pt idx="3">
                  <c:v>2012-13</c:v>
                </c:pt>
                <c:pt idx="4">
                  <c:v>2013-14</c:v>
                </c:pt>
                <c:pt idx="5">
                  <c:v>2014-15</c:v>
                </c:pt>
                <c:pt idx="6">
                  <c:v>2015-16</c:v>
                </c:pt>
              </c:strCache>
            </c:strRef>
          </c:cat>
          <c:val>
            <c:numRef>
              <c:f>'Data from July 2009'!$Y$139:$Y$145</c:f>
              <c:numCache>
                <c:formatCode>0.0</c:formatCode>
                <c:ptCount val="7"/>
                <c:pt idx="0">
                  <c:v>0.54169713713063028</c:v>
                </c:pt>
                <c:pt idx="1">
                  <c:v>0.54647794961473306</c:v>
                </c:pt>
                <c:pt idx="2">
                  <c:v>1.1838522552385462</c:v>
                </c:pt>
                <c:pt idx="3">
                  <c:v>0.29244041526538966</c:v>
                </c:pt>
                <c:pt idx="4">
                  <c:v>1.6442410457373051</c:v>
                </c:pt>
                <c:pt idx="5" formatCode="0.00">
                  <c:v>0.71199715201139191</c:v>
                </c:pt>
                <c:pt idx="6">
                  <c:v>0.71360608943862991</c:v>
                </c:pt>
              </c:numCache>
            </c:numRef>
          </c:val>
          <c:smooth val="0"/>
        </c:ser>
        <c:ser>
          <c:idx val="4"/>
          <c:order val="4"/>
          <c:tx>
            <c:v>National threshold</c:v>
          </c:tx>
          <c:spPr>
            <a:ln>
              <a:solidFill>
                <a:schemeClr val="tx1"/>
              </a:solidFill>
            </a:ln>
          </c:spPr>
          <c:marker>
            <c:symbol val="none"/>
          </c:marker>
          <c:cat>
            <c:strRef>
              <c:f>'Data from July 2009'!$A$139:$A$145</c:f>
              <c:strCache>
                <c:ptCount val="7"/>
                <c:pt idx="0">
                  <c:v>2009-10</c:v>
                </c:pt>
                <c:pt idx="1">
                  <c:v>2010-11</c:v>
                </c:pt>
                <c:pt idx="2">
                  <c:v>2011-12</c:v>
                </c:pt>
                <c:pt idx="3">
                  <c:v>2012-13</c:v>
                </c:pt>
                <c:pt idx="4">
                  <c:v>2013-14</c:v>
                </c:pt>
                <c:pt idx="5">
                  <c:v>2014-15</c:v>
                </c:pt>
                <c:pt idx="6">
                  <c:v>2015-16</c:v>
                </c:pt>
              </c:strCache>
            </c:strRef>
          </c:cat>
          <c:val>
            <c:numRef>
              <c:f>'Data from July 2009'!$AQ$139:$AQ$145</c:f>
              <c:numCache>
                <c:formatCode>General</c:formatCode>
                <c:ptCount val="7"/>
                <c:pt idx="0">
                  <c:v>2</c:v>
                </c:pt>
                <c:pt idx="1">
                  <c:v>2</c:v>
                </c:pt>
                <c:pt idx="2">
                  <c:v>2</c:v>
                </c:pt>
                <c:pt idx="3">
                  <c:v>2</c:v>
                </c:pt>
                <c:pt idx="4">
                  <c:v>2</c:v>
                </c:pt>
                <c:pt idx="5">
                  <c:v>2</c:v>
                </c:pt>
                <c:pt idx="6">
                  <c:v>2</c:v>
                </c:pt>
              </c:numCache>
            </c:numRef>
          </c:val>
          <c:smooth val="0"/>
        </c:ser>
        <c:dLbls>
          <c:showLegendKey val="0"/>
          <c:showVal val="0"/>
          <c:showCatName val="0"/>
          <c:showSerName val="0"/>
          <c:showPercent val="0"/>
          <c:showBubbleSize val="0"/>
        </c:dLbls>
        <c:marker val="1"/>
        <c:smooth val="0"/>
        <c:axId val="200980992"/>
        <c:axId val="208055680"/>
      </c:lineChart>
      <c:catAx>
        <c:axId val="200980992"/>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Gill Sans MT"/>
                <a:ea typeface="Gill Sans MT"/>
                <a:cs typeface="Gill Sans MT"/>
              </a:defRPr>
            </a:pPr>
            <a:endParaRPr lang="en-US"/>
          </a:p>
        </c:txPr>
        <c:crossAx val="208055680"/>
        <c:crosses val="autoZero"/>
        <c:auto val="1"/>
        <c:lblAlgn val="ctr"/>
        <c:lblOffset val="100"/>
        <c:noMultiLvlLbl val="0"/>
      </c:catAx>
      <c:valAx>
        <c:axId val="208055680"/>
        <c:scaling>
          <c:orientation val="minMax"/>
          <c:max val="2.5"/>
        </c:scaling>
        <c:delete val="0"/>
        <c:axPos val="l"/>
        <c:title>
          <c:tx>
            <c:rich>
              <a:bodyPr/>
              <a:lstStyle/>
              <a:p>
                <a:pPr>
                  <a:defRPr sz="1000" b="1" i="0" u="none" strike="noStrike" baseline="0">
                    <a:solidFill>
                      <a:srgbClr val="000000"/>
                    </a:solidFill>
                    <a:latin typeface="Gill Sans MT"/>
                    <a:ea typeface="Gill Sans MT"/>
                    <a:cs typeface="Gill Sans MT"/>
                  </a:defRPr>
                </a:pPr>
                <a:r>
                  <a:rPr lang="en-AU" b="1"/>
                  <a:t>Rate per 10 000 patient days </a:t>
                </a:r>
              </a:p>
            </c:rich>
          </c:tx>
          <c:layout>
            <c:manualLayout>
              <c:xMode val="edge"/>
              <c:yMode val="edge"/>
              <c:x val="8.8543522223658248E-3"/>
              <c:y val="0.29563214434261292"/>
            </c:manualLayout>
          </c:layout>
          <c:overlay val="0"/>
        </c:title>
        <c:numFmt formatCode="0.0" sourceLinked="0"/>
        <c:majorTickMark val="none"/>
        <c:minorTickMark val="none"/>
        <c:tickLblPos val="nextTo"/>
        <c:txPr>
          <a:bodyPr rot="0" vert="horz"/>
          <a:lstStyle/>
          <a:p>
            <a:pPr>
              <a:defRPr sz="1000" b="0" i="0" u="none" strike="noStrike" baseline="0">
                <a:solidFill>
                  <a:srgbClr val="000000"/>
                </a:solidFill>
                <a:latin typeface="Gill Sans MT"/>
                <a:ea typeface="Gill Sans MT"/>
                <a:cs typeface="Gill Sans MT"/>
              </a:defRPr>
            </a:pPr>
            <a:endParaRPr lang="en-US"/>
          </a:p>
        </c:txPr>
        <c:crossAx val="200980992"/>
        <c:crosses val="autoZero"/>
        <c:crossBetween val="between"/>
        <c:majorUnit val="0.5"/>
      </c:valAx>
    </c:plotArea>
    <c:legend>
      <c:legendPos val="r"/>
      <c:layout>
        <c:manualLayout>
          <c:xMode val="edge"/>
          <c:yMode val="edge"/>
          <c:x val="0.12676694482957071"/>
          <c:y val="0.19840600959362839"/>
          <c:w val="0.79114029350982285"/>
          <c:h val="9.1427247195660935E-2"/>
        </c:manualLayout>
      </c:layout>
      <c:overlay val="0"/>
      <c:txPr>
        <a:bodyPr/>
        <a:lstStyle/>
        <a:p>
          <a:pPr>
            <a:defRPr sz="845" b="0" i="0" u="none" strike="noStrike" baseline="0">
              <a:solidFill>
                <a:srgbClr val="000000"/>
              </a:solidFill>
              <a:latin typeface="Gill Sans MT"/>
              <a:ea typeface="Gill Sans MT"/>
              <a:cs typeface="Gill Sans MT"/>
            </a:defRPr>
          </a:pPr>
          <a:endParaRPr lang="en-US"/>
        </a:p>
      </c:txPr>
    </c:legend>
    <c:plotVisOnly val="1"/>
    <c:dispBlanksAs val="gap"/>
    <c:showDLblsOverMax val="0"/>
  </c:chart>
  <c:spPr>
    <a:ln w="12700">
      <a:solidFill>
        <a:sysClr val="windowText" lastClr="000000"/>
      </a:solidFill>
    </a:ln>
  </c:spPr>
  <c:txPr>
    <a:bodyPr/>
    <a:lstStyle/>
    <a:p>
      <a:pPr>
        <a:defRPr sz="1000" b="0" i="0" u="none" strike="noStrike" baseline="0">
          <a:solidFill>
            <a:srgbClr val="000000"/>
          </a:solidFill>
          <a:latin typeface="Gill Sans MT"/>
          <a:ea typeface="Gill Sans MT"/>
          <a:cs typeface="Gill Sans MT"/>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200">
                <a:latin typeface="Gill Sans MT" panose="020B0502020104020203" pitchFamily="34" charset="0"/>
              </a:defRPr>
            </a:pPr>
            <a:r>
              <a:rPr lang="en-US" sz="1200">
                <a:latin typeface="Gill Sans MT" panose="020B0502020104020203" pitchFamily="34" charset="0"/>
              </a:rPr>
              <a:t>Healthcare associated SAB </a:t>
            </a:r>
          </a:p>
          <a:p>
            <a:pPr>
              <a:defRPr sz="1200">
                <a:latin typeface="Gill Sans MT" panose="020B0502020104020203" pitchFamily="34" charset="0"/>
              </a:defRPr>
            </a:pPr>
            <a:r>
              <a:rPr lang="en-US" sz="1200">
                <a:latin typeface="Gill Sans MT" panose="020B0502020104020203" pitchFamily="34" charset="0"/>
              </a:rPr>
              <a:t>Number of MSSA and MRSA by financial year</a:t>
            </a:r>
          </a:p>
        </c:rich>
      </c:tx>
      <c:overlay val="0"/>
    </c:title>
    <c:autoTitleDeleted val="0"/>
    <c:plotArea>
      <c:layout>
        <c:manualLayout>
          <c:layoutTarget val="inner"/>
          <c:xMode val="edge"/>
          <c:yMode val="edge"/>
          <c:x val="9.5677951388888891E-2"/>
          <c:y val="0.18624018886436106"/>
          <c:w val="0.86993611111111113"/>
          <c:h val="0.71918628893794456"/>
        </c:manualLayout>
      </c:layout>
      <c:barChart>
        <c:barDir val="col"/>
        <c:grouping val="stacked"/>
        <c:varyColors val="0"/>
        <c:ser>
          <c:idx val="0"/>
          <c:order val="0"/>
          <c:tx>
            <c:v>HCA-MSSA</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 from July 2009'!$A$139:$A$145</c:f>
              <c:strCache>
                <c:ptCount val="7"/>
                <c:pt idx="0">
                  <c:v>2009-10</c:v>
                </c:pt>
                <c:pt idx="1">
                  <c:v>2010-11</c:v>
                </c:pt>
                <c:pt idx="2">
                  <c:v>2011-12</c:v>
                </c:pt>
                <c:pt idx="3">
                  <c:v>2012-13</c:v>
                </c:pt>
                <c:pt idx="4">
                  <c:v>2013-14</c:v>
                </c:pt>
                <c:pt idx="5">
                  <c:v>2014-15</c:v>
                </c:pt>
                <c:pt idx="6">
                  <c:v>2015-16</c:v>
                </c:pt>
              </c:strCache>
            </c:strRef>
          </c:cat>
          <c:val>
            <c:numRef>
              <c:f>'Data from July 2009'!$AH$139:$AH$145</c:f>
              <c:numCache>
                <c:formatCode>#,##0</c:formatCode>
                <c:ptCount val="7"/>
                <c:pt idx="0" formatCode="General">
                  <c:v>37</c:v>
                </c:pt>
                <c:pt idx="1">
                  <c:v>36</c:v>
                </c:pt>
                <c:pt idx="2">
                  <c:v>23</c:v>
                </c:pt>
                <c:pt idx="3" formatCode="General">
                  <c:v>29</c:v>
                </c:pt>
                <c:pt idx="4" formatCode="General">
                  <c:v>32</c:v>
                </c:pt>
                <c:pt idx="5" formatCode="General">
                  <c:v>26</c:v>
                </c:pt>
                <c:pt idx="6" formatCode="General">
                  <c:v>30</c:v>
                </c:pt>
              </c:numCache>
            </c:numRef>
          </c:val>
        </c:ser>
        <c:ser>
          <c:idx val="1"/>
          <c:order val="1"/>
          <c:tx>
            <c:v>HCA-MRSA</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 from July 2009'!$A$139:$A$145</c:f>
              <c:strCache>
                <c:ptCount val="7"/>
                <c:pt idx="0">
                  <c:v>2009-10</c:v>
                </c:pt>
                <c:pt idx="1">
                  <c:v>2010-11</c:v>
                </c:pt>
                <c:pt idx="2">
                  <c:v>2011-12</c:v>
                </c:pt>
                <c:pt idx="3">
                  <c:v>2012-13</c:v>
                </c:pt>
                <c:pt idx="4">
                  <c:v>2013-14</c:v>
                </c:pt>
                <c:pt idx="5">
                  <c:v>2014-15</c:v>
                </c:pt>
                <c:pt idx="6">
                  <c:v>2015-16</c:v>
                </c:pt>
              </c:strCache>
            </c:strRef>
          </c:cat>
          <c:val>
            <c:numRef>
              <c:f>'Data from July 2009'!$AI$139:$AI$145</c:f>
              <c:numCache>
                <c:formatCode>#,##0</c:formatCode>
                <c:ptCount val="7"/>
                <c:pt idx="0" formatCode="General">
                  <c:v>1</c:v>
                </c:pt>
                <c:pt idx="1">
                  <c:v>6</c:v>
                </c:pt>
                <c:pt idx="2">
                  <c:v>4</c:v>
                </c:pt>
                <c:pt idx="3" formatCode="General">
                  <c:v>2</c:v>
                </c:pt>
                <c:pt idx="4" formatCode="General">
                  <c:v>3</c:v>
                </c:pt>
                <c:pt idx="5" formatCode="General">
                  <c:v>3</c:v>
                </c:pt>
                <c:pt idx="6" formatCode="General">
                  <c:v>6</c:v>
                </c:pt>
              </c:numCache>
            </c:numRef>
          </c:val>
        </c:ser>
        <c:dLbls>
          <c:showLegendKey val="0"/>
          <c:showVal val="0"/>
          <c:showCatName val="0"/>
          <c:showSerName val="0"/>
          <c:showPercent val="0"/>
          <c:showBubbleSize val="0"/>
        </c:dLbls>
        <c:gapWidth val="55"/>
        <c:overlap val="100"/>
        <c:axId val="436297728"/>
        <c:axId val="208275136"/>
      </c:barChart>
      <c:catAx>
        <c:axId val="436297728"/>
        <c:scaling>
          <c:orientation val="minMax"/>
        </c:scaling>
        <c:delete val="0"/>
        <c:axPos val="b"/>
        <c:numFmt formatCode="General" sourceLinked="0"/>
        <c:majorTickMark val="none"/>
        <c:minorTickMark val="none"/>
        <c:tickLblPos val="nextTo"/>
        <c:txPr>
          <a:bodyPr/>
          <a:lstStyle/>
          <a:p>
            <a:pPr>
              <a:defRPr sz="800">
                <a:latin typeface="Gill Sans MT" panose="020B0502020104020203" pitchFamily="34" charset="0"/>
              </a:defRPr>
            </a:pPr>
            <a:endParaRPr lang="en-US"/>
          </a:p>
        </c:txPr>
        <c:crossAx val="208275136"/>
        <c:crosses val="autoZero"/>
        <c:auto val="1"/>
        <c:lblAlgn val="ctr"/>
        <c:lblOffset val="100"/>
        <c:noMultiLvlLbl val="0"/>
      </c:catAx>
      <c:valAx>
        <c:axId val="208275136"/>
        <c:scaling>
          <c:orientation val="minMax"/>
          <c:max val="50"/>
        </c:scaling>
        <c:delete val="0"/>
        <c:axPos val="l"/>
        <c:majorGridlines>
          <c:spPr>
            <a:ln>
              <a:noFill/>
            </a:ln>
          </c:spPr>
        </c:majorGridlines>
        <c:title>
          <c:tx>
            <c:rich>
              <a:bodyPr rot="-5400000" vert="horz"/>
              <a:lstStyle/>
              <a:p>
                <a:pPr>
                  <a:defRPr b="0">
                    <a:latin typeface="Gill Sans MT" panose="020B0502020104020203" pitchFamily="34" charset="0"/>
                  </a:defRPr>
                </a:pPr>
                <a:r>
                  <a:rPr lang="en-US" b="0">
                    <a:latin typeface="Gill Sans MT" panose="020B0502020104020203" pitchFamily="34" charset="0"/>
                  </a:rPr>
                  <a:t>Number of HCA-SAB</a:t>
                </a:r>
              </a:p>
            </c:rich>
          </c:tx>
          <c:layout>
            <c:manualLayout>
              <c:xMode val="edge"/>
              <c:yMode val="edge"/>
              <c:x val="1.8531770833333332E-2"/>
              <c:y val="0.36087809663968606"/>
            </c:manualLayout>
          </c:layout>
          <c:overlay val="0"/>
        </c:title>
        <c:numFmt formatCode="General" sourceLinked="1"/>
        <c:majorTickMark val="none"/>
        <c:minorTickMark val="none"/>
        <c:tickLblPos val="nextTo"/>
        <c:txPr>
          <a:bodyPr/>
          <a:lstStyle/>
          <a:p>
            <a:pPr>
              <a:defRPr>
                <a:latin typeface="Gill Sans MT" panose="020B0502020104020203" pitchFamily="34" charset="0"/>
              </a:defRPr>
            </a:pPr>
            <a:endParaRPr lang="en-US"/>
          </a:p>
        </c:txPr>
        <c:crossAx val="436297728"/>
        <c:crosses val="autoZero"/>
        <c:crossBetween val="between"/>
        <c:majorUnit val="10"/>
      </c:valAx>
    </c:plotArea>
    <c:legend>
      <c:legendPos val="r"/>
      <c:layout>
        <c:manualLayout>
          <c:xMode val="edge"/>
          <c:yMode val="edge"/>
          <c:x val="0.28872170138888886"/>
          <c:y val="0.21001296296296293"/>
          <c:w val="0.45924982638888889"/>
          <c:h val="7.4627790041697312E-2"/>
        </c:manualLayout>
      </c:layout>
      <c:overlay val="0"/>
      <c:txPr>
        <a:bodyPr/>
        <a:lstStyle/>
        <a:p>
          <a:pPr>
            <a:defRPr>
              <a:latin typeface="Gill Sans MT" panose="020B0502020104020203" pitchFamily="34" charset="0"/>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200"/>
            </a:pPr>
            <a:r>
              <a:rPr lang="en-US" sz="1200"/>
              <a:t>Total HCA SAB and HCA SAB related to IV devices</a:t>
            </a:r>
          </a:p>
        </c:rich>
      </c:tx>
      <c:overlay val="0"/>
    </c:title>
    <c:autoTitleDeleted val="0"/>
    <c:plotArea>
      <c:layout>
        <c:manualLayout>
          <c:layoutTarget val="inner"/>
          <c:xMode val="edge"/>
          <c:yMode val="edge"/>
          <c:x val="7.9913558739461099E-2"/>
          <c:y val="0.22497067901234569"/>
          <c:w val="0.82313360116131018"/>
          <c:h val="0.67982530864197532"/>
        </c:manualLayout>
      </c:layout>
      <c:barChart>
        <c:barDir val="col"/>
        <c:grouping val="stacked"/>
        <c:varyColors val="0"/>
        <c:ser>
          <c:idx val="1"/>
          <c:order val="0"/>
          <c:tx>
            <c:v>IV device related</c:v>
          </c:tx>
          <c:invertIfNegative val="0"/>
          <c:dLbls>
            <c:showLegendKey val="0"/>
            <c:showVal val="1"/>
            <c:showCatName val="0"/>
            <c:showSerName val="0"/>
            <c:showPercent val="0"/>
            <c:showBubbleSize val="0"/>
            <c:showLeaderLines val="0"/>
          </c:dLbls>
          <c:cat>
            <c:strRef>
              <c:f>'Data from July 2009'!$A$162:$A$168</c:f>
              <c:strCache>
                <c:ptCount val="7"/>
                <c:pt idx="0">
                  <c:v>2009-10</c:v>
                </c:pt>
                <c:pt idx="1">
                  <c:v>2010-11</c:v>
                </c:pt>
                <c:pt idx="2">
                  <c:v>2011-12</c:v>
                </c:pt>
                <c:pt idx="3">
                  <c:v>2012-13</c:v>
                </c:pt>
                <c:pt idx="4">
                  <c:v>2013-14</c:v>
                </c:pt>
                <c:pt idx="5">
                  <c:v>2014-15</c:v>
                </c:pt>
                <c:pt idx="6">
                  <c:v>2015-16</c:v>
                </c:pt>
              </c:strCache>
            </c:strRef>
          </c:cat>
          <c:val>
            <c:numRef>
              <c:f>'Data from July 2009'!$D$162:$D$168</c:f>
              <c:numCache>
                <c:formatCode>General</c:formatCode>
                <c:ptCount val="7"/>
                <c:pt idx="0">
                  <c:v>17</c:v>
                </c:pt>
                <c:pt idx="1">
                  <c:v>21</c:v>
                </c:pt>
                <c:pt idx="2">
                  <c:v>13</c:v>
                </c:pt>
                <c:pt idx="3">
                  <c:v>18</c:v>
                </c:pt>
                <c:pt idx="4">
                  <c:v>19</c:v>
                </c:pt>
                <c:pt idx="5">
                  <c:v>17</c:v>
                </c:pt>
                <c:pt idx="6">
                  <c:v>18</c:v>
                </c:pt>
              </c:numCache>
            </c:numRef>
          </c:val>
        </c:ser>
        <c:ser>
          <c:idx val="0"/>
          <c:order val="1"/>
          <c:tx>
            <c:v>Non IV device related</c:v>
          </c:tx>
          <c:invertIfNegative val="0"/>
          <c:dLbls>
            <c:showLegendKey val="0"/>
            <c:showVal val="1"/>
            <c:showCatName val="0"/>
            <c:showSerName val="0"/>
            <c:showPercent val="0"/>
            <c:showBubbleSize val="0"/>
            <c:showLeaderLines val="0"/>
          </c:dLbls>
          <c:cat>
            <c:strRef>
              <c:f>'Data from July 2009'!$A$162:$A$168</c:f>
              <c:strCache>
                <c:ptCount val="7"/>
                <c:pt idx="0">
                  <c:v>2009-10</c:v>
                </c:pt>
                <c:pt idx="1">
                  <c:v>2010-11</c:v>
                </c:pt>
                <c:pt idx="2">
                  <c:v>2011-12</c:v>
                </c:pt>
                <c:pt idx="3">
                  <c:v>2012-13</c:v>
                </c:pt>
                <c:pt idx="4">
                  <c:v>2013-14</c:v>
                </c:pt>
                <c:pt idx="5">
                  <c:v>2014-15</c:v>
                </c:pt>
                <c:pt idx="6">
                  <c:v>2015-16</c:v>
                </c:pt>
              </c:strCache>
            </c:strRef>
          </c:cat>
          <c:val>
            <c:numRef>
              <c:f>'Data from July 2009'!$E$162:$E$168</c:f>
              <c:numCache>
                <c:formatCode>General</c:formatCode>
                <c:ptCount val="7"/>
                <c:pt idx="0">
                  <c:v>21</c:v>
                </c:pt>
                <c:pt idx="1">
                  <c:v>21</c:v>
                </c:pt>
                <c:pt idx="2">
                  <c:v>14</c:v>
                </c:pt>
                <c:pt idx="3">
                  <c:v>13</c:v>
                </c:pt>
                <c:pt idx="4">
                  <c:v>16</c:v>
                </c:pt>
                <c:pt idx="5">
                  <c:v>12</c:v>
                </c:pt>
                <c:pt idx="6">
                  <c:v>18</c:v>
                </c:pt>
              </c:numCache>
            </c:numRef>
          </c:val>
        </c:ser>
        <c:dLbls>
          <c:showLegendKey val="0"/>
          <c:showVal val="0"/>
          <c:showCatName val="0"/>
          <c:showSerName val="0"/>
          <c:showPercent val="0"/>
          <c:showBubbleSize val="0"/>
        </c:dLbls>
        <c:gapWidth val="55"/>
        <c:overlap val="100"/>
        <c:axId val="330121728"/>
        <c:axId val="211690048"/>
      </c:barChart>
      <c:lineChart>
        <c:grouping val="standard"/>
        <c:varyColors val="0"/>
        <c:ser>
          <c:idx val="2"/>
          <c:order val="2"/>
          <c:tx>
            <c:v>% IV device related</c:v>
          </c:tx>
          <c:dLbls>
            <c:showLegendKey val="0"/>
            <c:showVal val="1"/>
            <c:showCatName val="0"/>
            <c:showSerName val="0"/>
            <c:showPercent val="0"/>
            <c:showBubbleSize val="0"/>
            <c:showLeaderLines val="0"/>
          </c:dLbls>
          <c:cat>
            <c:strRef>
              <c:f>'Data from July 2009'!$A$162:$A$168</c:f>
              <c:strCache>
                <c:ptCount val="7"/>
                <c:pt idx="0">
                  <c:v>2009-10</c:v>
                </c:pt>
                <c:pt idx="1">
                  <c:v>2010-11</c:v>
                </c:pt>
                <c:pt idx="2">
                  <c:v>2011-12</c:v>
                </c:pt>
                <c:pt idx="3">
                  <c:v>2012-13</c:v>
                </c:pt>
                <c:pt idx="4">
                  <c:v>2013-14</c:v>
                </c:pt>
                <c:pt idx="5">
                  <c:v>2014-15</c:v>
                </c:pt>
                <c:pt idx="6">
                  <c:v>2015-16</c:v>
                </c:pt>
              </c:strCache>
            </c:strRef>
          </c:cat>
          <c:val>
            <c:numRef>
              <c:f>'Data from July 2009'!$F$162:$F$168</c:f>
              <c:numCache>
                <c:formatCode>0%</c:formatCode>
                <c:ptCount val="7"/>
                <c:pt idx="0">
                  <c:v>0.44736842105263158</c:v>
                </c:pt>
                <c:pt idx="1">
                  <c:v>0.5</c:v>
                </c:pt>
                <c:pt idx="2">
                  <c:v>0.48148148148148145</c:v>
                </c:pt>
                <c:pt idx="3">
                  <c:v>0.58064516129032262</c:v>
                </c:pt>
                <c:pt idx="4">
                  <c:v>0.54285714285714282</c:v>
                </c:pt>
                <c:pt idx="5">
                  <c:v>0.58620689655172409</c:v>
                </c:pt>
                <c:pt idx="6">
                  <c:v>0.5</c:v>
                </c:pt>
              </c:numCache>
            </c:numRef>
          </c:val>
          <c:smooth val="0"/>
        </c:ser>
        <c:dLbls>
          <c:showLegendKey val="0"/>
          <c:showVal val="0"/>
          <c:showCatName val="0"/>
          <c:showSerName val="0"/>
          <c:showPercent val="0"/>
          <c:showBubbleSize val="0"/>
        </c:dLbls>
        <c:marker val="1"/>
        <c:smooth val="0"/>
        <c:axId val="330122240"/>
        <c:axId val="211691200"/>
      </c:lineChart>
      <c:catAx>
        <c:axId val="330121728"/>
        <c:scaling>
          <c:orientation val="minMax"/>
        </c:scaling>
        <c:delete val="0"/>
        <c:axPos val="b"/>
        <c:majorTickMark val="out"/>
        <c:minorTickMark val="none"/>
        <c:tickLblPos val="nextTo"/>
        <c:crossAx val="211690048"/>
        <c:crosses val="autoZero"/>
        <c:auto val="1"/>
        <c:lblAlgn val="ctr"/>
        <c:lblOffset val="100"/>
        <c:noMultiLvlLbl val="0"/>
      </c:catAx>
      <c:valAx>
        <c:axId val="211690048"/>
        <c:scaling>
          <c:orientation val="minMax"/>
        </c:scaling>
        <c:delete val="0"/>
        <c:axPos val="l"/>
        <c:majorGridlines>
          <c:spPr>
            <a:ln>
              <a:noFill/>
            </a:ln>
          </c:spPr>
        </c:majorGridlines>
        <c:title>
          <c:tx>
            <c:rich>
              <a:bodyPr rot="-5400000" vert="horz"/>
              <a:lstStyle/>
              <a:p>
                <a:pPr>
                  <a:defRPr b="0"/>
                </a:pPr>
                <a:r>
                  <a:rPr lang="en-US" b="0"/>
                  <a:t>Number </a:t>
                </a:r>
              </a:p>
            </c:rich>
          </c:tx>
          <c:overlay val="0"/>
        </c:title>
        <c:numFmt formatCode="General" sourceLinked="1"/>
        <c:majorTickMark val="out"/>
        <c:minorTickMark val="none"/>
        <c:tickLblPos val="nextTo"/>
        <c:crossAx val="330121728"/>
        <c:crosses val="autoZero"/>
        <c:crossBetween val="between"/>
      </c:valAx>
      <c:valAx>
        <c:axId val="211691200"/>
        <c:scaling>
          <c:orientation val="minMax"/>
        </c:scaling>
        <c:delete val="0"/>
        <c:axPos val="r"/>
        <c:title>
          <c:tx>
            <c:rich>
              <a:bodyPr rot="-5400000" vert="horz"/>
              <a:lstStyle/>
              <a:p>
                <a:pPr>
                  <a:defRPr b="0"/>
                </a:pPr>
                <a:r>
                  <a:rPr lang="en-US" b="0"/>
                  <a:t>Percentage IV device related </a:t>
                </a:r>
              </a:p>
            </c:rich>
          </c:tx>
          <c:overlay val="0"/>
        </c:title>
        <c:numFmt formatCode="0%" sourceLinked="1"/>
        <c:majorTickMark val="out"/>
        <c:minorTickMark val="none"/>
        <c:tickLblPos val="nextTo"/>
        <c:crossAx val="330122240"/>
        <c:crosses val="max"/>
        <c:crossBetween val="between"/>
      </c:valAx>
      <c:catAx>
        <c:axId val="330122240"/>
        <c:scaling>
          <c:orientation val="minMax"/>
        </c:scaling>
        <c:delete val="1"/>
        <c:axPos val="b"/>
        <c:majorTickMark val="out"/>
        <c:minorTickMark val="none"/>
        <c:tickLblPos val="nextTo"/>
        <c:crossAx val="211691200"/>
        <c:crosses val="autoZero"/>
        <c:auto val="1"/>
        <c:lblAlgn val="ctr"/>
        <c:lblOffset val="100"/>
        <c:noMultiLvlLbl val="0"/>
      </c:catAx>
    </c:plotArea>
    <c:legend>
      <c:legendPos val="t"/>
      <c:overlay val="0"/>
    </c:legend>
    <c:plotVisOnly val="1"/>
    <c:dispBlanksAs val="gap"/>
    <c:showDLblsOverMax val="0"/>
  </c:chart>
  <c:txPr>
    <a:bodyPr/>
    <a:lstStyle/>
    <a:p>
      <a:pPr>
        <a:defRPr>
          <a:latin typeface="Gill Sans MT" panose="020B0502020104020203"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000" b="0" i="0" u="none" strike="noStrike" baseline="0">
                <a:solidFill>
                  <a:srgbClr val="000000"/>
                </a:solidFill>
                <a:latin typeface="Gill Sans MT"/>
                <a:ea typeface="Gill Sans MT"/>
                <a:cs typeface="Gill Sans MT"/>
              </a:defRPr>
            </a:pPr>
            <a:r>
              <a:rPr lang="en-AU" sz="1200" b="1" i="0" u="none" strike="noStrike" baseline="0">
                <a:solidFill>
                  <a:srgbClr val="000000"/>
                </a:solidFill>
                <a:latin typeface="Gill Sans MT"/>
              </a:rPr>
              <a:t> CA-SAB in Tasmania </a:t>
            </a:r>
          </a:p>
          <a:p>
            <a:pPr>
              <a:defRPr sz="1000" b="0" i="0" u="none" strike="noStrike" baseline="0">
                <a:solidFill>
                  <a:srgbClr val="000000"/>
                </a:solidFill>
                <a:latin typeface="Gill Sans MT"/>
                <a:ea typeface="Gill Sans MT"/>
                <a:cs typeface="Gill Sans MT"/>
              </a:defRPr>
            </a:pPr>
            <a:r>
              <a:rPr lang="en-AU" sz="1200" b="1" i="0" u="none" strike="noStrike" baseline="0">
                <a:solidFill>
                  <a:srgbClr val="000000"/>
                </a:solidFill>
                <a:latin typeface="Gill Sans MT"/>
              </a:rPr>
              <a:t>Number and incidence/100 000 population by financial year</a:t>
            </a:r>
          </a:p>
        </c:rich>
      </c:tx>
      <c:overlay val="0"/>
    </c:title>
    <c:autoTitleDeleted val="0"/>
    <c:plotArea>
      <c:layout>
        <c:manualLayout>
          <c:layoutTarget val="inner"/>
          <c:xMode val="edge"/>
          <c:yMode val="edge"/>
          <c:x val="0.10417429290870422"/>
          <c:y val="0.23770555227958567"/>
          <c:w val="0.79566299081800451"/>
          <c:h val="0.63343471006644614"/>
        </c:manualLayout>
      </c:layout>
      <c:barChart>
        <c:barDir val="col"/>
        <c:grouping val="clustered"/>
        <c:varyColors val="0"/>
        <c:ser>
          <c:idx val="0"/>
          <c:order val="0"/>
          <c:tx>
            <c:v>Number</c:v>
          </c:tx>
          <c:invertIfNegative val="0"/>
          <c:cat>
            <c:strRef>
              <c:f>'CA SAB from Jul 2008'!$N$2:$N$9</c:f>
              <c:strCache>
                <c:ptCount val="8"/>
                <c:pt idx="0">
                  <c:v>2008-09</c:v>
                </c:pt>
                <c:pt idx="1">
                  <c:v>2009-10</c:v>
                </c:pt>
                <c:pt idx="2">
                  <c:v>2010-11</c:v>
                </c:pt>
                <c:pt idx="3">
                  <c:v>2011-12</c:v>
                </c:pt>
                <c:pt idx="4">
                  <c:v>2012-13</c:v>
                </c:pt>
                <c:pt idx="5">
                  <c:v>2013-14</c:v>
                </c:pt>
                <c:pt idx="6">
                  <c:v>2014-15</c:v>
                </c:pt>
                <c:pt idx="7">
                  <c:v>2015-16</c:v>
                </c:pt>
              </c:strCache>
            </c:strRef>
          </c:cat>
          <c:val>
            <c:numRef>
              <c:f>'CA SAB from Jul 2008'!$O$2:$O$9</c:f>
              <c:numCache>
                <c:formatCode>0</c:formatCode>
                <c:ptCount val="8"/>
                <c:pt idx="0">
                  <c:v>50</c:v>
                </c:pt>
                <c:pt idx="1">
                  <c:v>68</c:v>
                </c:pt>
                <c:pt idx="2">
                  <c:v>52</c:v>
                </c:pt>
                <c:pt idx="3">
                  <c:v>75</c:v>
                </c:pt>
                <c:pt idx="4">
                  <c:v>80</c:v>
                </c:pt>
                <c:pt idx="5">
                  <c:v>98</c:v>
                </c:pt>
                <c:pt idx="6">
                  <c:v>86</c:v>
                </c:pt>
                <c:pt idx="7">
                  <c:v>101</c:v>
                </c:pt>
              </c:numCache>
            </c:numRef>
          </c:val>
        </c:ser>
        <c:dLbls>
          <c:showLegendKey val="0"/>
          <c:showVal val="0"/>
          <c:showCatName val="0"/>
          <c:showSerName val="0"/>
          <c:showPercent val="0"/>
          <c:showBubbleSize val="0"/>
        </c:dLbls>
        <c:gapWidth val="150"/>
        <c:axId val="330121216"/>
        <c:axId val="211695232"/>
      </c:barChart>
      <c:lineChart>
        <c:grouping val="standard"/>
        <c:varyColors val="0"/>
        <c:ser>
          <c:idx val="1"/>
          <c:order val="1"/>
          <c:tx>
            <c:v>Incidence</c:v>
          </c:tx>
          <c:spPr>
            <a:ln>
              <a:solidFill>
                <a:sysClr val="windowText" lastClr="000000"/>
              </a:solidFill>
            </a:ln>
          </c:spPr>
          <c:marker>
            <c:spPr>
              <a:solidFill>
                <a:schemeClr val="tx1"/>
              </a:solidFill>
              <a:ln>
                <a:solidFill>
                  <a:sysClr val="windowText" lastClr="000000"/>
                </a:solidFill>
              </a:ln>
            </c:spPr>
          </c:marker>
          <c:cat>
            <c:strRef>
              <c:f>'CA SAB from Jul 2008'!$N$2:$N$8</c:f>
              <c:strCache>
                <c:ptCount val="7"/>
                <c:pt idx="0">
                  <c:v>2008-09</c:v>
                </c:pt>
                <c:pt idx="1">
                  <c:v>2009-10</c:v>
                </c:pt>
                <c:pt idx="2">
                  <c:v>2010-11</c:v>
                </c:pt>
                <c:pt idx="3">
                  <c:v>2011-12</c:v>
                </c:pt>
                <c:pt idx="4">
                  <c:v>2012-13</c:v>
                </c:pt>
                <c:pt idx="5">
                  <c:v>2013-14</c:v>
                </c:pt>
                <c:pt idx="6">
                  <c:v>2014-15</c:v>
                </c:pt>
              </c:strCache>
            </c:strRef>
          </c:cat>
          <c:val>
            <c:numRef>
              <c:f>'CA SAB from Jul 2008'!$S$2:$S$9</c:f>
              <c:numCache>
                <c:formatCode>0.0</c:formatCode>
                <c:ptCount val="8"/>
                <c:pt idx="0">
                  <c:v>9.9187849885140462</c:v>
                </c:pt>
                <c:pt idx="1">
                  <c:v>13.38037453242478</c:v>
                </c:pt>
                <c:pt idx="2">
                  <c:v>10.172243468735022</c:v>
                </c:pt>
                <c:pt idx="3">
                  <c:v>14.65702560093805</c:v>
                </c:pt>
                <c:pt idx="4">
                  <c:v>15.612802498048399</c:v>
                </c:pt>
                <c:pt idx="5">
                  <c:v>19.066147859922179</c:v>
                </c:pt>
                <c:pt idx="6">
                  <c:v>16.705516705516704</c:v>
                </c:pt>
                <c:pt idx="7">
                  <c:v>19.535783365570598</c:v>
                </c:pt>
              </c:numCache>
            </c:numRef>
          </c:val>
          <c:smooth val="0"/>
        </c:ser>
        <c:dLbls>
          <c:showLegendKey val="0"/>
          <c:showVal val="0"/>
          <c:showCatName val="0"/>
          <c:showSerName val="0"/>
          <c:showPercent val="0"/>
          <c:showBubbleSize val="0"/>
        </c:dLbls>
        <c:marker val="1"/>
        <c:smooth val="0"/>
        <c:axId val="330122752"/>
        <c:axId val="211695808"/>
      </c:lineChart>
      <c:catAx>
        <c:axId val="330121216"/>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Gill Sans MT"/>
                <a:ea typeface="Gill Sans MT"/>
                <a:cs typeface="Gill Sans MT"/>
              </a:defRPr>
            </a:pPr>
            <a:endParaRPr lang="en-US"/>
          </a:p>
        </c:txPr>
        <c:crossAx val="211695232"/>
        <c:crosses val="autoZero"/>
        <c:auto val="1"/>
        <c:lblAlgn val="ctr"/>
        <c:lblOffset val="100"/>
        <c:noMultiLvlLbl val="0"/>
      </c:catAx>
      <c:valAx>
        <c:axId val="211695232"/>
        <c:scaling>
          <c:orientation val="minMax"/>
        </c:scaling>
        <c:delete val="0"/>
        <c:axPos val="l"/>
        <c:title>
          <c:tx>
            <c:rich>
              <a:bodyPr/>
              <a:lstStyle/>
              <a:p>
                <a:pPr>
                  <a:defRPr sz="1000" b="0" i="0" u="none" strike="noStrike" baseline="0">
                    <a:solidFill>
                      <a:srgbClr val="000000"/>
                    </a:solidFill>
                    <a:latin typeface="Gill Sans MT"/>
                    <a:ea typeface="Gill Sans MT"/>
                    <a:cs typeface="Gill Sans MT"/>
                  </a:defRPr>
                </a:pPr>
                <a:r>
                  <a:rPr lang="en-AU"/>
                  <a:t>Number of CA-SAB</a:t>
                </a:r>
              </a:p>
            </c:rich>
          </c:tx>
          <c:layout>
            <c:manualLayout>
              <c:xMode val="edge"/>
              <c:yMode val="edge"/>
              <c:x val="1.4528124999999999E-2"/>
              <c:y val="0.28708287037037039"/>
            </c:manualLayout>
          </c:layout>
          <c:overlay val="0"/>
        </c:title>
        <c:numFmt formatCode="0" sourceLinked="1"/>
        <c:majorTickMark val="out"/>
        <c:minorTickMark val="none"/>
        <c:tickLblPos val="nextTo"/>
        <c:txPr>
          <a:bodyPr rot="0" vert="horz"/>
          <a:lstStyle/>
          <a:p>
            <a:pPr>
              <a:defRPr sz="1000" b="0" i="0" u="none" strike="noStrike" baseline="0">
                <a:solidFill>
                  <a:srgbClr val="000000"/>
                </a:solidFill>
                <a:latin typeface="Gill Sans MT"/>
                <a:ea typeface="Gill Sans MT"/>
                <a:cs typeface="Gill Sans MT"/>
              </a:defRPr>
            </a:pPr>
            <a:endParaRPr lang="en-US"/>
          </a:p>
        </c:txPr>
        <c:crossAx val="330121216"/>
        <c:crosses val="autoZero"/>
        <c:crossBetween val="between"/>
      </c:valAx>
      <c:catAx>
        <c:axId val="330122752"/>
        <c:scaling>
          <c:orientation val="minMax"/>
        </c:scaling>
        <c:delete val="1"/>
        <c:axPos val="b"/>
        <c:numFmt formatCode="General" sourceLinked="1"/>
        <c:majorTickMark val="out"/>
        <c:minorTickMark val="none"/>
        <c:tickLblPos val="none"/>
        <c:crossAx val="211695808"/>
        <c:crosses val="autoZero"/>
        <c:auto val="1"/>
        <c:lblAlgn val="ctr"/>
        <c:lblOffset val="100"/>
        <c:noMultiLvlLbl val="0"/>
      </c:catAx>
      <c:valAx>
        <c:axId val="211695808"/>
        <c:scaling>
          <c:orientation val="minMax"/>
        </c:scaling>
        <c:delete val="0"/>
        <c:axPos val="r"/>
        <c:title>
          <c:tx>
            <c:rich>
              <a:bodyPr/>
              <a:lstStyle/>
              <a:p>
                <a:pPr>
                  <a:defRPr sz="1000" b="0" i="0" u="none" strike="noStrike" baseline="0">
                    <a:solidFill>
                      <a:srgbClr val="000000"/>
                    </a:solidFill>
                    <a:latin typeface="Gill Sans MT"/>
                    <a:ea typeface="Gill Sans MT"/>
                    <a:cs typeface="Gill Sans MT"/>
                  </a:defRPr>
                </a:pPr>
                <a:r>
                  <a:rPr lang="en-AU"/>
                  <a:t>Incidence/100 000 population</a:t>
                </a:r>
              </a:p>
            </c:rich>
          </c:tx>
          <c:layout>
            <c:manualLayout>
              <c:xMode val="edge"/>
              <c:yMode val="edge"/>
              <c:x val="0.95469010416666666"/>
              <c:y val="0.19731296296296297"/>
            </c:manualLayout>
          </c:layout>
          <c:overlay val="0"/>
        </c:title>
        <c:numFmt formatCode="0" sourceLinked="0"/>
        <c:majorTickMark val="out"/>
        <c:minorTickMark val="none"/>
        <c:tickLblPos val="nextTo"/>
        <c:txPr>
          <a:bodyPr rot="0" vert="horz"/>
          <a:lstStyle/>
          <a:p>
            <a:pPr>
              <a:defRPr sz="1000" b="0" i="0" u="none" strike="noStrike" baseline="0">
                <a:solidFill>
                  <a:srgbClr val="000000"/>
                </a:solidFill>
                <a:latin typeface="Gill Sans MT"/>
                <a:ea typeface="Gill Sans MT"/>
                <a:cs typeface="Gill Sans MT"/>
              </a:defRPr>
            </a:pPr>
            <a:endParaRPr lang="en-US"/>
          </a:p>
        </c:txPr>
        <c:crossAx val="330122752"/>
        <c:crosses val="max"/>
        <c:crossBetween val="between"/>
      </c:valAx>
    </c:plotArea>
    <c:legend>
      <c:legendPos val="r"/>
      <c:layout>
        <c:manualLayout>
          <c:xMode val="edge"/>
          <c:yMode val="edge"/>
          <c:x val="0.19540260416666666"/>
          <c:y val="0.21263240740740738"/>
          <c:w val="0.58620775851293061"/>
          <c:h val="6.0109576466876057E-2"/>
        </c:manualLayout>
      </c:layout>
      <c:overlay val="0"/>
      <c:txPr>
        <a:bodyPr/>
        <a:lstStyle/>
        <a:p>
          <a:pPr>
            <a:defRPr sz="845" b="0" i="0" u="none" strike="noStrike" baseline="0">
              <a:solidFill>
                <a:srgbClr val="000000"/>
              </a:solidFill>
              <a:latin typeface="Gill Sans MT"/>
              <a:ea typeface="Gill Sans MT"/>
              <a:cs typeface="Gill Sans MT"/>
            </a:defRPr>
          </a:pPr>
          <a:endParaRPr lang="en-US"/>
        </a:p>
      </c:txPr>
    </c:legend>
    <c:plotVisOnly val="1"/>
    <c:dispBlanksAs val="gap"/>
    <c:showDLblsOverMax val="0"/>
  </c:chart>
  <c:spPr>
    <a:ln>
      <a:solidFill>
        <a:sysClr val="windowText" lastClr="000000"/>
      </a:solidFill>
    </a:ln>
  </c:spPr>
  <c:txPr>
    <a:bodyPr/>
    <a:lstStyle/>
    <a:p>
      <a:pPr>
        <a:defRPr sz="1000" b="0" i="0" u="none" strike="noStrike" baseline="0">
          <a:solidFill>
            <a:srgbClr val="000000"/>
          </a:solidFill>
          <a:latin typeface="Gill Sans MT"/>
          <a:ea typeface="Gill Sans MT"/>
          <a:cs typeface="Gill Sans MT"/>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000" b="0" i="0" u="none" strike="noStrike" baseline="0">
                <a:solidFill>
                  <a:srgbClr val="000000"/>
                </a:solidFill>
                <a:latin typeface="Gill Sans MT"/>
                <a:ea typeface="Gill Sans MT"/>
                <a:cs typeface="Gill Sans MT"/>
              </a:defRPr>
            </a:pPr>
            <a:r>
              <a:rPr lang="en-AU" sz="1200" b="1" i="0" u="none" strike="noStrike" baseline="0">
                <a:solidFill>
                  <a:srgbClr val="000000"/>
                </a:solidFill>
                <a:latin typeface="Gill Sans MT"/>
              </a:rPr>
              <a:t>CA-SAB in Tasmania </a:t>
            </a:r>
          </a:p>
          <a:p>
            <a:pPr>
              <a:defRPr sz="1000" b="0" i="0" u="none" strike="noStrike" baseline="0">
                <a:solidFill>
                  <a:srgbClr val="000000"/>
                </a:solidFill>
                <a:latin typeface="Gill Sans MT"/>
                <a:ea typeface="Gill Sans MT"/>
                <a:cs typeface="Gill Sans MT"/>
              </a:defRPr>
            </a:pPr>
            <a:r>
              <a:rPr lang="en-AU" sz="1200" b="1" i="0" u="none" strike="noStrike" baseline="0">
                <a:solidFill>
                  <a:srgbClr val="000000"/>
                </a:solidFill>
                <a:latin typeface="Gill Sans MT"/>
              </a:rPr>
              <a:t>Number of MSSA and MRSA by financial year </a:t>
            </a:r>
          </a:p>
        </c:rich>
      </c:tx>
      <c:overlay val="0"/>
    </c:title>
    <c:autoTitleDeleted val="0"/>
    <c:plotArea>
      <c:layout>
        <c:manualLayout>
          <c:layoutTarget val="inner"/>
          <c:xMode val="edge"/>
          <c:yMode val="edge"/>
          <c:x val="0.1033618826294989"/>
          <c:y val="0.22568760487342235"/>
          <c:w val="0.86793509865005192"/>
          <c:h val="0.66024766081872288"/>
        </c:manualLayout>
      </c:layout>
      <c:barChart>
        <c:barDir val="col"/>
        <c:grouping val="stacked"/>
        <c:varyColors val="0"/>
        <c:ser>
          <c:idx val="0"/>
          <c:order val="0"/>
          <c:tx>
            <c:v>CA-MSSA</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'CA SAB from Jul 2008'!$N$2:$N$9</c:f>
              <c:strCache>
                <c:ptCount val="8"/>
                <c:pt idx="0">
                  <c:v>2008-09</c:v>
                </c:pt>
                <c:pt idx="1">
                  <c:v>2009-10</c:v>
                </c:pt>
                <c:pt idx="2">
                  <c:v>2010-11</c:v>
                </c:pt>
                <c:pt idx="3">
                  <c:v>2011-12</c:v>
                </c:pt>
                <c:pt idx="4">
                  <c:v>2012-13</c:v>
                </c:pt>
                <c:pt idx="5">
                  <c:v>2013-14</c:v>
                </c:pt>
                <c:pt idx="6">
                  <c:v>2014-15</c:v>
                </c:pt>
                <c:pt idx="7">
                  <c:v>2015-16</c:v>
                </c:pt>
              </c:strCache>
            </c:strRef>
          </c:cat>
          <c:val>
            <c:numRef>
              <c:f>'CA SAB from Jul 2008'!$P$2:$P$9</c:f>
              <c:numCache>
                <c:formatCode>0</c:formatCode>
                <c:ptCount val="8"/>
                <c:pt idx="0">
                  <c:v>45</c:v>
                </c:pt>
                <c:pt idx="1">
                  <c:v>63</c:v>
                </c:pt>
                <c:pt idx="2">
                  <c:v>47</c:v>
                </c:pt>
                <c:pt idx="3">
                  <c:v>71</c:v>
                </c:pt>
                <c:pt idx="4">
                  <c:v>76</c:v>
                </c:pt>
                <c:pt idx="5">
                  <c:v>95</c:v>
                </c:pt>
                <c:pt idx="6">
                  <c:v>81</c:v>
                </c:pt>
                <c:pt idx="7">
                  <c:v>94</c:v>
                </c:pt>
              </c:numCache>
            </c:numRef>
          </c:val>
        </c:ser>
        <c:ser>
          <c:idx val="1"/>
          <c:order val="1"/>
          <c:tx>
            <c:v>CA-MRSA</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'CA SAB from Jul 2008'!$N$2:$N$9</c:f>
              <c:strCache>
                <c:ptCount val="8"/>
                <c:pt idx="0">
                  <c:v>2008-09</c:v>
                </c:pt>
                <c:pt idx="1">
                  <c:v>2009-10</c:v>
                </c:pt>
                <c:pt idx="2">
                  <c:v>2010-11</c:v>
                </c:pt>
                <c:pt idx="3">
                  <c:v>2011-12</c:v>
                </c:pt>
                <c:pt idx="4">
                  <c:v>2012-13</c:v>
                </c:pt>
                <c:pt idx="5">
                  <c:v>2013-14</c:v>
                </c:pt>
                <c:pt idx="6">
                  <c:v>2014-15</c:v>
                </c:pt>
                <c:pt idx="7">
                  <c:v>2015-16</c:v>
                </c:pt>
              </c:strCache>
            </c:strRef>
          </c:cat>
          <c:val>
            <c:numRef>
              <c:f>'CA SAB from Jul 2008'!$Q$2:$Q$9</c:f>
              <c:numCache>
                <c:formatCode>0</c:formatCode>
                <c:ptCount val="8"/>
                <c:pt idx="0">
                  <c:v>5</c:v>
                </c:pt>
                <c:pt idx="1">
                  <c:v>5</c:v>
                </c:pt>
                <c:pt idx="2">
                  <c:v>5</c:v>
                </c:pt>
                <c:pt idx="3">
                  <c:v>4</c:v>
                </c:pt>
                <c:pt idx="4">
                  <c:v>4</c:v>
                </c:pt>
                <c:pt idx="5">
                  <c:v>3</c:v>
                </c:pt>
                <c:pt idx="6">
                  <c:v>4</c:v>
                </c:pt>
                <c:pt idx="7">
                  <c:v>7</c:v>
                </c:pt>
              </c:numCache>
            </c:numRef>
          </c:val>
        </c:ser>
        <c:dLbls>
          <c:showLegendKey val="0"/>
          <c:showVal val="0"/>
          <c:showCatName val="0"/>
          <c:showSerName val="0"/>
          <c:showPercent val="0"/>
          <c:showBubbleSize val="0"/>
        </c:dLbls>
        <c:gapWidth val="40"/>
        <c:overlap val="100"/>
        <c:axId val="330123776"/>
        <c:axId val="274894208"/>
      </c:barChart>
      <c:catAx>
        <c:axId val="330123776"/>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Gill Sans MT"/>
                <a:ea typeface="Gill Sans MT"/>
                <a:cs typeface="Gill Sans MT"/>
              </a:defRPr>
            </a:pPr>
            <a:endParaRPr lang="en-US"/>
          </a:p>
        </c:txPr>
        <c:crossAx val="274894208"/>
        <c:crosses val="autoZero"/>
        <c:auto val="1"/>
        <c:lblAlgn val="ctr"/>
        <c:lblOffset val="100"/>
        <c:noMultiLvlLbl val="0"/>
      </c:catAx>
      <c:valAx>
        <c:axId val="274894208"/>
        <c:scaling>
          <c:orientation val="minMax"/>
          <c:max val="120"/>
        </c:scaling>
        <c:delete val="0"/>
        <c:axPos val="l"/>
        <c:title>
          <c:tx>
            <c:rich>
              <a:bodyPr/>
              <a:lstStyle/>
              <a:p>
                <a:pPr>
                  <a:defRPr sz="1000" b="0" i="0" u="none" strike="noStrike" baseline="0">
                    <a:solidFill>
                      <a:srgbClr val="000000"/>
                    </a:solidFill>
                    <a:latin typeface="Gill Sans MT"/>
                    <a:ea typeface="Gill Sans MT"/>
                    <a:cs typeface="Gill Sans MT"/>
                  </a:defRPr>
                </a:pPr>
                <a:r>
                  <a:rPr lang="en-AU"/>
                  <a:t>Number of CA-SAB</a:t>
                </a:r>
              </a:p>
            </c:rich>
          </c:tx>
          <c:layout>
            <c:manualLayout>
              <c:xMode val="edge"/>
              <c:yMode val="edge"/>
              <c:x val="1.3068055555555555E-2"/>
              <c:y val="0.30005925925925925"/>
            </c:manualLayout>
          </c:layout>
          <c:overlay val="0"/>
        </c:title>
        <c:numFmt formatCode="0" sourceLinked="1"/>
        <c:majorTickMark val="out"/>
        <c:minorTickMark val="none"/>
        <c:tickLblPos val="nextTo"/>
        <c:txPr>
          <a:bodyPr rot="0" vert="horz"/>
          <a:lstStyle/>
          <a:p>
            <a:pPr>
              <a:defRPr sz="1000" b="0" i="0" u="none" strike="noStrike" baseline="0">
                <a:solidFill>
                  <a:srgbClr val="000000"/>
                </a:solidFill>
                <a:latin typeface="Gill Sans MT"/>
                <a:ea typeface="Gill Sans MT"/>
                <a:cs typeface="Gill Sans MT"/>
              </a:defRPr>
            </a:pPr>
            <a:endParaRPr lang="en-US"/>
          </a:p>
        </c:txPr>
        <c:crossAx val="330123776"/>
        <c:crosses val="autoZero"/>
        <c:crossBetween val="between"/>
        <c:majorUnit val="20"/>
        <c:minorUnit val="4"/>
      </c:valAx>
    </c:plotArea>
    <c:legend>
      <c:legendPos val="b"/>
      <c:layout>
        <c:manualLayout>
          <c:xMode val="edge"/>
          <c:yMode val="edge"/>
          <c:x val="0.25089479166666667"/>
          <c:y val="0.20671712962962965"/>
          <c:w val="0.48123727933541016"/>
          <c:h val="8.037222222222222E-2"/>
        </c:manualLayout>
      </c:layout>
      <c:overlay val="0"/>
      <c:txPr>
        <a:bodyPr/>
        <a:lstStyle/>
        <a:p>
          <a:pPr>
            <a:defRPr sz="1000" b="0" i="0" u="none" strike="noStrike" baseline="0">
              <a:solidFill>
                <a:srgbClr val="000000"/>
              </a:solidFill>
              <a:latin typeface="Gill Sans MT"/>
              <a:ea typeface="Gill Sans MT"/>
              <a:cs typeface="Gill Sans MT"/>
            </a:defRPr>
          </a:pPr>
          <a:endParaRPr lang="en-US"/>
        </a:p>
      </c:txPr>
    </c:legend>
    <c:plotVisOnly val="1"/>
    <c:dispBlanksAs val="gap"/>
    <c:showDLblsOverMax val="0"/>
  </c:chart>
  <c:txPr>
    <a:bodyPr/>
    <a:lstStyle/>
    <a:p>
      <a:pPr>
        <a:defRPr sz="1000" b="0" i="0" u="none" strike="noStrike" baseline="0">
          <a:solidFill>
            <a:srgbClr val="000000"/>
          </a:solidFill>
          <a:latin typeface="Gill Sans MT"/>
          <a:ea typeface="Gill Sans MT"/>
          <a:cs typeface="Gill Sans MT"/>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b="1"/>
            </a:pPr>
            <a:r>
              <a:rPr lang="en-AU" b="1"/>
              <a:t>Tasmanian acute public hospitals</a:t>
            </a:r>
          </a:p>
          <a:p>
            <a:pPr>
              <a:defRPr b="1"/>
            </a:pPr>
            <a:r>
              <a:rPr lang="en-AU" b="1"/>
              <a:t>Hospital identified &amp; HCA-HCF CDI rate by quarter </a:t>
            </a:r>
          </a:p>
        </c:rich>
      </c:tx>
      <c:overlay val="0"/>
    </c:title>
    <c:autoTitleDeleted val="0"/>
    <c:plotArea>
      <c:layout>
        <c:manualLayout>
          <c:layoutTarget val="inner"/>
          <c:xMode val="edge"/>
          <c:yMode val="edge"/>
          <c:x val="8.5995486111111144E-2"/>
          <c:y val="0.31538274853801324"/>
          <c:w val="0.8834489583333337"/>
          <c:h val="0.4980736818123615"/>
        </c:manualLayout>
      </c:layout>
      <c:lineChart>
        <c:grouping val="standard"/>
        <c:varyColors val="0"/>
        <c:ser>
          <c:idx val="0"/>
          <c:order val="0"/>
          <c:tx>
            <c:v>Hospital identifed CDI</c:v>
          </c:tx>
          <c:marker>
            <c:symbol val="none"/>
          </c:marker>
          <c:cat>
            <c:strRef>
              <c:f>'CDI from July 2009'!$A$136:$A$163</c:f>
              <c:strCache>
                <c:ptCount val="28"/>
                <c:pt idx="0">
                  <c:v>Q3 2009</c:v>
                </c:pt>
                <c:pt idx="1">
                  <c:v>Q4 2009</c:v>
                </c:pt>
                <c:pt idx="2">
                  <c:v>Q1 2010</c:v>
                </c:pt>
                <c:pt idx="3">
                  <c:v>Q2 2010</c:v>
                </c:pt>
                <c:pt idx="4">
                  <c:v>Q3 2010</c:v>
                </c:pt>
                <c:pt idx="5">
                  <c:v>Q4 2010</c:v>
                </c:pt>
                <c:pt idx="6">
                  <c:v>Q1 2011</c:v>
                </c:pt>
                <c:pt idx="7">
                  <c:v>Q2 2011</c:v>
                </c:pt>
                <c:pt idx="8">
                  <c:v>Q3 2011</c:v>
                </c:pt>
                <c:pt idx="9">
                  <c:v>Q4 2011</c:v>
                </c:pt>
                <c:pt idx="10">
                  <c:v>Q1 2012</c:v>
                </c:pt>
                <c:pt idx="11">
                  <c:v>Q2 2012</c:v>
                </c:pt>
                <c:pt idx="12">
                  <c:v>Q3 2012</c:v>
                </c:pt>
                <c:pt idx="13">
                  <c:v>Q4 2012 </c:v>
                </c:pt>
                <c:pt idx="14">
                  <c:v>Q1 2013</c:v>
                </c:pt>
                <c:pt idx="15">
                  <c:v>Q2 2013</c:v>
                </c:pt>
                <c:pt idx="16">
                  <c:v>Q3 2013</c:v>
                </c:pt>
                <c:pt idx="17">
                  <c:v>Q4 2013</c:v>
                </c:pt>
                <c:pt idx="18">
                  <c:v>Q1 2014</c:v>
                </c:pt>
                <c:pt idx="19">
                  <c:v>Q2 2014</c:v>
                </c:pt>
                <c:pt idx="20">
                  <c:v>Q3 2014</c:v>
                </c:pt>
                <c:pt idx="21">
                  <c:v>Q4 2014</c:v>
                </c:pt>
                <c:pt idx="22">
                  <c:v>Q1 2015</c:v>
                </c:pt>
                <c:pt idx="23">
                  <c:v>Q2 2015</c:v>
                </c:pt>
                <c:pt idx="24">
                  <c:v>Q3 2015</c:v>
                </c:pt>
                <c:pt idx="25">
                  <c:v>Q4 2015</c:v>
                </c:pt>
                <c:pt idx="26">
                  <c:v>Q1 2016</c:v>
                </c:pt>
                <c:pt idx="27">
                  <c:v>Q2 2016</c:v>
                </c:pt>
              </c:strCache>
            </c:strRef>
          </c:cat>
          <c:val>
            <c:numRef>
              <c:f>'CDI from July 2009'!$W$136:$W$163</c:f>
              <c:numCache>
                <c:formatCode>0.0</c:formatCode>
                <c:ptCount val="28"/>
                <c:pt idx="0">
                  <c:v>2.3322613114673607</c:v>
                </c:pt>
                <c:pt idx="1">
                  <c:v>4.5889196194917465</c:v>
                </c:pt>
                <c:pt idx="2">
                  <c:v>3.0454920373072776</c:v>
                </c:pt>
                <c:pt idx="3">
                  <c:v>4.4024342871940956</c:v>
                </c:pt>
                <c:pt idx="4">
                  <c:v>4.2795287483637097</c:v>
                </c:pt>
                <c:pt idx="5">
                  <c:v>4.3969296868129799</c:v>
                </c:pt>
                <c:pt idx="6">
                  <c:v>4.7374031135266019</c:v>
                </c:pt>
                <c:pt idx="7">
                  <c:v>4.3162451133939248</c:v>
                </c:pt>
                <c:pt idx="8">
                  <c:v>5.3879310344827589</c:v>
                </c:pt>
                <c:pt idx="9">
                  <c:v>8.8739495798319332</c:v>
                </c:pt>
                <c:pt idx="10">
                  <c:v>7.1007597812965981</c:v>
                </c:pt>
                <c:pt idx="11">
                  <c:v>6.0272206102911285</c:v>
                </c:pt>
                <c:pt idx="12">
                  <c:v>5.1409137644670588</c:v>
                </c:pt>
                <c:pt idx="13">
                  <c:v>6.1939959532559774</c:v>
                </c:pt>
                <c:pt idx="14">
                  <c:v>7.0589564038852499</c:v>
                </c:pt>
                <c:pt idx="15">
                  <c:v>7.5417723164943764</c:v>
                </c:pt>
                <c:pt idx="16">
                  <c:v>6.8725945918928382</c:v>
                </c:pt>
                <c:pt idx="17">
                  <c:v>5.3825451749327184</c:v>
                </c:pt>
                <c:pt idx="18">
                  <c:v>6.2626585651849478</c:v>
                </c:pt>
                <c:pt idx="19">
                  <c:v>3.4636255179402977</c:v>
                </c:pt>
                <c:pt idx="20">
                  <c:v>3.351747253429334</c:v>
                </c:pt>
                <c:pt idx="21">
                  <c:v>4.8226410305222416</c:v>
                </c:pt>
                <c:pt idx="22">
                  <c:v>4.7143867368586472</c:v>
                </c:pt>
                <c:pt idx="23">
                  <c:v>4.5547991579776692</c:v>
                </c:pt>
                <c:pt idx="24">
                  <c:v>5.241537355095871</c:v>
                </c:pt>
                <c:pt idx="25">
                  <c:v>5.3222432636490788</c:v>
                </c:pt>
                <c:pt idx="26">
                  <c:v>4.4859142293199357</c:v>
                </c:pt>
                <c:pt idx="27">
                  <c:v>5.4943713218236425</c:v>
                </c:pt>
              </c:numCache>
            </c:numRef>
          </c:val>
          <c:smooth val="0"/>
        </c:ser>
        <c:ser>
          <c:idx val="1"/>
          <c:order val="1"/>
          <c:tx>
            <c:v>HCA HCF CDI</c:v>
          </c:tx>
          <c:marker>
            <c:symbol val="none"/>
          </c:marker>
          <c:cat>
            <c:strRef>
              <c:f>'CDI from July 2009'!$A$136:$A$163</c:f>
              <c:strCache>
                <c:ptCount val="28"/>
                <c:pt idx="0">
                  <c:v>Q3 2009</c:v>
                </c:pt>
                <c:pt idx="1">
                  <c:v>Q4 2009</c:v>
                </c:pt>
                <c:pt idx="2">
                  <c:v>Q1 2010</c:v>
                </c:pt>
                <c:pt idx="3">
                  <c:v>Q2 2010</c:v>
                </c:pt>
                <c:pt idx="4">
                  <c:v>Q3 2010</c:v>
                </c:pt>
                <c:pt idx="5">
                  <c:v>Q4 2010</c:v>
                </c:pt>
                <c:pt idx="6">
                  <c:v>Q1 2011</c:v>
                </c:pt>
                <c:pt idx="7">
                  <c:v>Q2 2011</c:v>
                </c:pt>
                <c:pt idx="8">
                  <c:v>Q3 2011</c:v>
                </c:pt>
                <c:pt idx="9">
                  <c:v>Q4 2011</c:v>
                </c:pt>
                <c:pt idx="10">
                  <c:v>Q1 2012</c:v>
                </c:pt>
                <c:pt idx="11">
                  <c:v>Q2 2012</c:v>
                </c:pt>
                <c:pt idx="12">
                  <c:v>Q3 2012</c:v>
                </c:pt>
                <c:pt idx="13">
                  <c:v>Q4 2012 </c:v>
                </c:pt>
                <c:pt idx="14">
                  <c:v>Q1 2013</c:v>
                </c:pt>
                <c:pt idx="15">
                  <c:v>Q2 2013</c:v>
                </c:pt>
                <c:pt idx="16">
                  <c:v>Q3 2013</c:v>
                </c:pt>
                <c:pt idx="17">
                  <c:v>Q4 2013</c:v>
                </c:pt>
                <c:pt idx="18">
                  <c:v>Q1 2014</c:v>
                </c:pt>
                <c:pt idx="19">
                  <c:v>Q2 2014</c:v>
                </c:pt>
                <c:pt idx="20">
                  <c:v>Q3 2014</c:v>
                </c:pt>
                <c:pt idx="21">
                  <c:v>Q4 2014</c:v>
                </c:pt>
                <c:pt idx="22">
                  <c:v>Q1 2015</c:v>
                </c:pt>
                <c:pt idx="23">
                  <c:v>Q2 2015</c:v>
                </c:pt>
                <c:pt idx="24">
                  <c:v>Q3 2015</c:v>
                </c:pt>
                <c:pt idx="25">
                  <c:v>Q4 2015</c:v>
                </c:pt>
                <c:pt idx="26">
                  <c:v>Q1 2016</c:v>
                </c:pt>
                <c:pt idx="27">
                  <c:v>Q2 2016</c:v>
                </c:pt>
              </c:strCache>
            </c:strRef>
          </c:cat>
          <c:val>
            <c:numRef>
              <c:f>'CDI from July 2009'!$AB$136:$AB$163</c:f>
              <c:numCache>
                <c:formatCode>0.0</c:formatCode>
                <c:ptCount val="28"/>
                <c:pt idx="0">
                  <c:v>1.3502565487442613</c:v>
                </c:pt>
                <c:pt idx="1">
                  <c:v>2.2324473824554443</c:v>
                </c:pt>
                <c:pt idx="2">
                  <c:v>1.9034325233170484</c:v>
                </c:pt>
                <c:pt idx="3">
                  <c:v>2.4601838663731708</c:v>
                </c:pt>
                <c:pt idx="4">
                  <c:v>3.7760547779679787</c:v>
                </c:pt>
                <c:pt idx="5">
                  <c:v>3.3919171869700131</c:v>
                </c:pt>
                <c:pt idx="6">
                  <c:v>2.8950796804884789</c:v>
                </c:pt>
                <c:pt idx="7">
                  <c:v>2.2197832011740184</c:v>
                </c:pt>
                <c:pt idx="8">
                  <c:v>3.1325180433039295</c:v>
                </c:pt>
                <c:pt idx="9">
                  <c:v>5.6470588235294112</c:v>
                </c:pt>
                <c:pt idx="10">
                  <c:v>3.4083646950223674</c:v>
                </c:pt>
                <c:pt idx="11">
                  <c:v>3.7845338715781507</c:v>
                </c:pt>
                <c:pt idx="12">
                  <c:v>2.3727294297540271</c:v>
                </c:pt>
                <c:pt idx="13">
                  <c:v>3.5787532174367871</c:v>
                </c:pt>
                <c:pt idx="14">
                  <c:v>4.3765529704088548</c:v>
                </c:pt>
                <c:pt idx="15">
                  <c:v>3.6408556010662507</c:v>
                </c:pt>
                <c:pt idx="16">
                  <c:v>3.8736442245214175</c:v>
                </c:pt>
                <c:pt idx="17">
                  <c:v>2.0504933999743691</c:v>
                </c:pt>
                <c:pt idx="18">
                  <c:v>3.0647052553032723</c:v>
                </c:pt>
                <c:pt idx="19">
                  <c:v>1.667671545674958</c:v>
                </c:pt>
                <c:pt idx="20">
                  <c:v>1.862081807460741</c:v>
                </c:pt>
                <c:pt idx="21">
                  <c:v>2.6651437273938701</c:v>
                </c:pt>
                <c:pt idx="22">
                  <c:v>2.0952829941593984</c:v>
                </c:pt>
                <c:pt idx="23">
                  <c:v>2.3389509189615056</c:v>
                </c:pt>
                <c:pt idx="24">
                  <c:v>2.5598205687677513</c:v>
                </c:pt>
                <c:pt idx="25">
                  <c:v>2.7230081814018545</c:v>
                </c:pt>
                <c:pt idx="26">
                  <c:v>1.538027735766835</c:v>
                </c:pt>
                <c:pt idx="27">
                  <c:v>2.0756513882444874</c:v>
                </c:pt>
              </c:numCache>
            </c:numRef>
          </c:val>
          <c:smooth val="0"/>
        </c:ser>
        <c:dLbls>
          <c:showLegendKey val="0"/>
          <c:showVal val="0"/>
          <c:showCatName val="0"/>
          <c:showSerName val="0"/>
          <c:showPercent val="0"/>
          <c:showBubbleSize val="0"/>
        </c:dLbls>
        <c:marker val="1"/>
        <c:smooth val="0"/>
        <c:axId val="330124288"/>
        <c:axId val="327915712"/>
      </c:lineChart>
      <c:catAx>
        <c:axId val="330124288"/>
        <c:scaling>
          <c:orientation val="minMax"/>
        </c:scaling>
        <c:delete val="0"/>
        <c:axPos val="b"/>
        <c:numFmt formatCode="General" sourceLinked="1"/>
        <c:majorTickMark val="none"/>
        <c:minorTickMark val="none"/>
        <c:tickLblPos val="nextTo"/>
        <c:txPr>
          <a:bodyPr rot="-5400000" vert="horz"/>
          <a:lstStyle/>
          <a:p>
            <a:pPr>
              <a:defRPr/>
            </a:pPr>
            <a:endParaRPr lang="en-US"/>
          </a:p>
        </c:txPr>
        <c:crossAx val="327915712"/>
        <c:crosses val="autoZero"/>
        <c:auto val="1"/>
        <c:lblAlgn val="ctr"/>
        <c:lblOffset val="100"/>
        <c:tickLblSkip val="2"/>
        <c:noMultiLvlLbl val="0"/>
      </c:catAx>
      <c:valAx>
        <c:axId val="327915712"/>
        <c:scaling>
          <c:orientation val="minMax"/>
        </c:scaling>
        <c:delete val="0"/>
        <c:axPos val="l"/>
        <c:title>
          <c:tx>
            <c:rich>
              <a:bodyPr/>
              <a:lstStyle/>
              <a:p>
                <a:pPr>
                  <a:defRPr b="0"/>
                </a:pPr>
                <a:r>
                  <a:rPr lang="en-AU" b="0"/>
                  <a:t>Rate/10 000 patient days</a:t>
                </a:r>
              </a:p>
            </c:rich>
          </c:tx>
          <c:overlay val="0"/>
        </c:title>
        <c:numFmt formatCode="0" sourceLinked="0"/>
        <c:majorTickMark val="none"/>
        <c:minorTickMark val="none"/>
        <c:tickLblPos val="nextTo"/>
        <c:txPr>
          <a:bodyPr rot="0" vert="horz"/>
          <a:lstStyle/>
          <a:p>
            <a:pPr>
              <a:defRPr/>
            </a:pPr>
            <a:endParaRPr lang="en-US"/>
          </a:p>
        </c:txPr>
        <c:crossAx val="330124288"/>
        <c:crosses val="autoZero"/>
        <c:crossBetween val="between"/>
        <c:majorUnit val="2"/>
      </c:valAx>
    </c:plotArea>
    <c:legend>
      <c:legendPos val="t"/>
      <c:layout>
        <c:manualLayout>
          <c:xMode val="edge"/>
          <c:yMode val="edge"/>
          <c:x val="8.2756903320969827E-2"/>
          <c:y val="0.18535462233887418"/>
          <c:w val="0.89519446432832361"/>
          <c:h val="9.6546223388743746E-2"/>
        </c:manualLayout>
      </c:layout>
      <c:overlay val="0"/>
    </c:legend>
    <c:plotVisOnly val="1"/>
    <c:dispBlanksAs val="gap"/>
    <c:showDLblsOverMax val="0"/>
  </c:chart>
  <c:spPr>
    <a:ln w="12700">
      <a:solidFill>
        <a:sysClr val="windowText" lastClr="000000"/>
      </a:solidFill>
    </a:ln>
  </c:spPr>
  <c:txPr>
    <a:bodyPr/>
    <a:lstStyle/>
    <a:p>
      <a:pPr>
        <a:defRPr sz="1000" b="0" i="0" u="none" strike="noStrike" baseline="0">
          <a:solidFill>
            <a:srgbClr val="000000"/>
          </a:solidFill>
          <a:latin typeface="Gill Sans MT" pitchFamily="34" charset="0"/>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B3C55-D3FE-4376-946A-12D8074C1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4964FA06.dotm</Template>
  <TotalTime>3</TotalTime>
  <Pages>38</Pages>
  <Words>6546</Words>
  <Characters>37314</Characters>
  <Application>Microsoft Office Word</Application>
  <DocSecurity>8</DocSecurity>
  <Lines>310</Lines>
  <Paragraphs>87</Paragraphs>
  <ScaleCrop>false</ScaleCrop>
  <HeadingPairs>
    <vt:vector size="2" baseType="variant">
      <vt:variant>
        <vt:lpstr>Title</vt:lpstr>
      </vt:variant>
      <vt:variant>
        <vt:i4>1</vt:i4>
      </vt:variant>
    </vt:vector>
  </HeadingPairs>
  <TitlesOfParts>
    <vt:vector size="1" baseType="lpstr">
      <vt:lpstr>Tasmanian Acute Public Hospitals</vt:lpstr>
    </vt:vector>
  </TitlesOfParts>
  <Company>DHHS</Company>
  <LinksUpToDate>false</LinksUpToDate>
  <CharactersWithSpaces>43773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Tasmanian Acute Public Hospitals</dc:title>
  <dc:subject>Healthcare Associated Infection Surveillance Report 30 – Annual Report 2015 -16</dc:subject>
  <dc:creator>Fiona Wilson</dc:creator>
  <cp:lastModifiedBy>Radivojevic, Tracey L</cp:lastModifiedBy>
  <cp:revision>8</cp:revision>
  <cp:lastPrinted>2014-01-14T03:33:00Z</cp:lastPrinted>
  <dcterms:created xsi:type="dcterms:W3CDTF">2016-12-06T02:37:00Z</dcterms:created>
  <dcterms:modified xsi:type="dcterms:W3CDTF">2016-12-06T02:40:00Z</dcterms:modified>
</cp:coreProperties>
</file>