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D98" w:rsidRDefault="00F256E2">
      <w:pPr>
        <w:pStyle w:val="Date"/>
      </w:pPr>
      <w:r>
        <w:t>.</w:t>
      </w:r>
    </w:p>
    <w:p w:rsidR="006B64D9" w:rsidRDefault="006B64D9" w:rsidP="006B64D9"/>
    <w:p w:rsidR="00230386" w:rsidRDefault="00230386" w:rsidP="006B64D9"/>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230386" w:rsidRPr="00230386" w:rsidRDefault="00230386" w:rsidP="00230386"/>
    <w:p w:rsidR="00C456DA" w:rsidRDefault="00CD1467" w:rsidP="00C32B88">
      <w:pPr>
        <w:tabs>
          <w:tab w:val="clear" w:pos="567"/>
          <w:tab w:val="left" w:pos="8595"/>
        </w:tabs>
      </w:pPr>
      <w:r>
        <w:tab/>
      </w:r>
      <w:r>
        <w:tab/>
      </w:r>
      <w:r>
        <w:tab/>
      </w:r>
    </w:p>
    <w:p w:rsidR="00C456DA" w:rsidRDefault="00C456DA">
      <w:pPr>
        <w:tabs>
          <w:tab w:val="clear" w:pos="567"/>
        </w:tabs>
        <w:spacing w:after="0" w:line="240" w:lineRule="auto"/>
      </w:pPr>
      <w:r>
        <w:br w:type="page"/>
      </w:r>
    </w:p>
    <w:p w:rsidR="006B64D9" w:rsidRPr="00230386" w:rsidRDefault="006B64D9" w:rsidP="00C32B88">
      <w:pPr>
        <w:tabs>
          <w:tab w:val="clear" w:pos="567"/>
          <w:tab w:val="left" w:pos="8595"/>
        </w:tabs>
        <w:sectPr w:rsidR="006B64D9" w:rsidRPr="00230386" w:rsidSect="006E2502">
          <w:headerReference w:type="default" r:id="rId8"/>
          <w:footerReference w:type="default" r:id="rId9"/>
          <w:pgSz w:w="11906" w:h="16838" w:code="9"/>
          <w:pgMar w:top="907" w:right="1134" w:bottom="720" w:left="1134" w:header="709" w:footer="0" w:gutter="0"/>
          <w:cols w:space="708"/>
          <w:docGrid w:linePitch="360"/>
        </w:sectPr>
      </w:pPr>
    </w:p>
    <w:p w:rsidR="00265A90" w:rsidRPr="00F51AB2" w:rsidRDefault="00265A90">
      <w:pPr>
        <w:pStyle w:val="Contentsheading"/>
      </w:pPr>
      <w:bookmarkStart w:id="0" w:name="bmContentsBegin"/>
      <w:bookmarkEnd w:id="0"/>
      <w:r w:rsidRPr="00F51AB2">
        <w:t>Contents</w:t>
      </w:r>
    </w:p>
    <w:p w:rsidR="000D4360" w:rsidRDefault="00CD7872">
      <w:pPr>
        <w:pStyle w:val="TOC1"/>
        <w:rPr>
          <w:rFonts w:asciiTheme="minorHAnsi" w:eastAsiaTheme="minorEastAsia" w:hAnsiTheme="minorHAnsi" w:cstheme="minorBidi"/>
          <w:b w:val="0"/>
          <w:szCs w:val="22"/>
          <w:lang w:eastAsia="en-AU"/>
        </w:rPr>
      </w:pPr>
      <w:r w:rsidRPr="00F51AB2">
        <w:rPr>
          <w:rFonts w:cs="Arial"/>
        </w:rPr>
        <w:fldChar w:fldCharType="begin"/>
      </w:r>
      <w:r w:rsidR="00410E61" w:rsidRPr="00F51AB2">
        <w:rPr>
          <w:rFonts w:cs="Arial"/>
        </w:rPr>
        <w:instrText xml:space="preserve"> TOC \f \h \z \t "Heading 1,1,Heading 2,2,Heading 1 (numbered),1,Heading 2 (numbered),2" </w:instrText>
      </w:r>
      <w:r w:rsidRPr="00F51AB2">
        <w:rPr>
          <w:rFonts w:cs="Arial"/>
        </w:rPr>
        <w:fldChar w:fldCharType="separate"/>
      </w:r>
      <w:hyperlink w:anchor="_Toc463254919" w:history="1">
        <w:r w:rsidR="000D4360" w:rsidRPr="00DB19B3">
          <w:rPr>
            <w:rStyle w:val="Hyperlink"/>
          </w:rPr>
          <w:t>1</w:t>
        </w:r>
        <w:r w:rsidR="000D4360">
          <w:rPr>
            <w:rFonts w:asciiTheme="minorHAnsi" w:eastAsiaTheme="minorEastAsia" w:hAnsiTheme="minorHAnsi" w:cstheme="minorBidi"/>
            <w:b w:val="0"/>
            <w:szCs w:val="22"/>
            <w:lang w:eastAsia="en-AU"/>
          </w:rPr>
          <w:tab/>
        </w:r>
        <w:r w:rsidR="000D4360" w:rsidRPr="00DB19B3">
          <w:rPr>
            <w:rStyle w:val="Hyperlink"/>
          </w:rPr>
          <w:t>Introduction</w:t>
        </w:r>
        <w:r w:rsidR="000D4360">
          <w:rPr>
            <w:webHidden/>
          </w:rPr>
          <w:tab/>
        </w:r>
        <w:r w:rsidR="000D4360">
          <w:rPr>
            <w:webHidden/>
          </w:rPr>
          <w:fldChar w:fldCharType="begin"/>
        </w:r>
        <w:r w:rsidR="000D4360">
          <w:rPr>
            <w:webHidden/>
          </w:rPr>
          <w:instrText xml:space="preserve"> PAGEREF _Toc463254919 \h </w:instrText>
        </w:r>
        <w:r w:rsidR="000D4360">
          <w:rPr>
            <w:webHidden/>
          </w:rPr>
        </w:r>
        <w:r w:rsidR="000D4360">
          <w:rPr>
            <w:webHidden/>
          </w:rPr>
          <w:fldChar w:fldCharType="separate"/>
        </w:r>
        <w:r w:rsidR="000D4360">
          <w:rPr>
            <w:webHidden/>
          </w:rPr>
          <w:t>3</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20" w:history="1">
        <w:r w:rsidR="000D4360" w:rsidRPr="00DB19B3">
          <w:rPr>
            <w:rStyle w:val="Hyperlink"/>
          </w:rPr>
          <w:t>2</w:t>
        </w:r>
        <w:r w:rsidR="000D4360">
          <w:rPr>
            <w:rFonts w:asciiTheme="minorHAnsi" w:eastAsiaTheme="minorEastAsia" w:hAnsiTheme="minorHAnsi" w:cstheme="minorBidi"/>
            <w:b w:val="0"/>
            <w:szCs w:val="22"/>
            <w:lang w:eastAsia="en-AU"/>
          </w:rPr>
          <w:tab/>
        </w:r>
        <w:r w:rsidR="000D4360" w:rsidRPr="00DB19B3">
          <w:rPr>
            <w:rStyle w:val="Hyperlink"/>
          </w:rPr>
          <w:t>Executive Summary</w:t>
        </w:r>
        <w:r w:rsidR="000D4360">
          <w:rPr>
            <w:webHidden/>
          </w:rPr>
          <w:tab/>
        </w:r>
        <w:r w:rsidR="000D4360">
          <w:rPr>
            <w:webHidden/>
          </w:rPr>
          <w:fldChar w:fldCharType="begin"/>
        </w:r>
        <w:r w:rsidR="000D4360">
          <w:rPr>
            <w:webHidden/>
          </w:rPr>
          <w:instrText xml:space="preserve"> PAGEREF _Toc463254920 \h </w:instrText>
        </w:r>
        <w:r w:rsidR="000D4360">
          <w:rPr>
            <w:webHidden/>
          </w:rPr>
        </w:r>
        <w:r w:rsidR="000D4360">
          <w:rPr>
            <w:webHidden/>
          </w:rPr>
          <w:fldChar w:fldCharType="separate"/>
        </w:r>
        <w:r w:rsidR="000D4360">
          <w:rPr>
            <w:webHidden/>
          </w:rPr>
          <w:t>6</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21" w:history="1">
        <w:r w:rsidR="000D4360" w:rsidRPr="00DB19B3">
          <w:rPr>
            <w:rStyle w:val="Hyperlink"/>
          </w:rPr>
          <w:t>3</w:t>
        </w:r>
        <w:r w:rsidR="000D4360">
          <w:rPr>
            <w:rFonts w:asciiTheme="minorHAnsi" w:eastAsiaTheme="minorEastAsia" w:hAnsiTheme="minorHAnsi" w:cstheme="minorBidi"/>
            <w:b w:val="0"/>
            <w:szCs w:val="22"/>
            <w:lang w:eastAsia="en-AU"/>
          </w:rPr>
          <w:tab/>
        </w:r>
        <w:r w:rsidR="000D4360" w:rsidRPr="00DB19B3">
          <w:rPr>
            <w:rStyle w:val="Hyperlink"/>
          </w:rPr>
          <w:t>Context</w:t>
        </w:r>
        <w:r w:rsidR="000D4360">
          <w:rPr>
            <w:webHidden/>
          </w:rPr>
          <w:tab/>
        </w:r>
        <w:r w:rsidR="000D4360">
          <w:rPr>
            <w:webHidden/>
          </w:rPr>
          <w:fldChar w:fldCharType="begin"/>
        </w:r>
        <w:r w:rsidR="000D4360">
          <w:rPr>
            <w:webHidden/>
          </w:rPr>
          <w:instrText xml:space="preserve"> PAGEREF _Toc463254921 \h </w:instrText>
        </w:r>
        <w:r w:rsidR="000D4360">
          <w:rPr>
            <w:webHidden/>
          </w:rPr>
        </w:r>
        <w:r w:rsidR="000D4360">
          <w:rPr>
            <w:webHidden/>
          </w:rPr>
          <w:fldChar w:fldCharType="separate"/>
        </w:r>
        <w:r w:rsidR="000D4360">
          <w:rPr>
            <w:webHidden/>
          </w:rPr>
          <w:t>8</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22" w:history="1">
        <w:r w:rsidR="000D4360" w:rsidRPr="00DB19B3">
          <w:rPr>
            <w:rStyle w:val="Hyperlink"/>
          </w:rPr>
          <w:t>3.1</w:t>
        </w:r>
        <w:r w:rsidR="000D4360">
          <w:rPr>
            <w:rFonts w:asciiTheme="minorHAnsi" w:eastAsiaTheme="minorEastAsia" w:hAnsiTheme="minorHAnsi" w:cstheme="minorBidi"/>
            <w:szCs w:val="22"/>
            <w:lang w:eastAsia="en-AU"/>
          </w:rPr>
          <w:tab/>
        </w:r>
        <w:r w:rsidR="000D4360" w:rsidRPr="00DB19B3">
          <w:rPr>
            <w:rStyle w:val="Hyperlink"/>
          </w:rPr>
          <w:t>Purchasing and System Management</w:t>
        </w:r>
        <w:r w:rsidR="000D4360">
          <w:rPr>
            <w:webHidden/>
          </w:rPr>
          <w:tab/>
        </w:r>
        <w:r w:rsidR="000D4360">
          <w:rPr>
            <w:webHidden/>
          </w:rPr>
          <w:fldChar w:fldCharType="begin"/>
        </w:r>
        <w:r w:rsidR="000D4360">
          <w:rPr>
            <w:webHidden/>
          </w:rPr>
          <w:instrText xml:space="preserve"> PAGEREF _Toc463254922 \h </w:instrText>
        </w:r>
        <w:r w:rsidR="000D4360">
          <w:rPr>
            <w:webHidden/>
          </w:rPr>
        </w:r>
        <w:r w:rsidR="000D4360">
          <w:rPr>
            <w:webHidden/>
          </w:rPr>
          <w:fldChar w:fldCharType="separate"/>
        </w:r>
        <w:r w:rsidR="000D4360">
          <w:rPr>
            <w:webHidden/>
          </w:rPr>
          <w:t>8</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23" w:history="1">
        <w:r w:rsidR="000D4360" w:rsidRPr="00DB19B3">
          <w:rPr>
            <w:rStyle w:val="Hyperlink"/>
          </w:rPr>
          <w:t>3.2</w:t>
        </w:r>
        <w:r w:rsidR="000D4360">
          <w:rPr>
            <w:rFonts w:asciiTheme="minorHAnsi" w:eastAsiaTheme="minorEastAsia" w:hAnsiTheme="minorHAnsi" w:cstheme="minorBidi"/>
            <w:szCs w:val="22"/>
            <w:lang w:eastAsia="en-AU"/>
          </w:rPr>
          <w:tab/>
        </w:r>
        <w:r w:rsidR="000D4360" w:rsidRPr="00DB19B3">
          <w:rPr>
            <w:rStyle w:val="Hyperlink"/>
          </w:rPr>
          <w:t>Purpose of the SoPI</w:t>
        </w:r>
        <w:r w:rsidR="000D4360">
          <w:rPr>
            <w:webHidden/>
          </w:rPr>
          <w:tab/>
        </w:r>
        <w:r w:rsidR="000D4360">
          <w:rPr>
            <w:webHidden/>
          </w:rPr>
          <w:fldChar w:fldCharType="begin"/>
        </w:r>
        <w:r w:rsidR="000D4360">
          <w:rPr>
            <w:webHidden/>
          </w:rPr>
          <w:instrText xml:space="preserve"> PAGEREF _Toc463254923 \h </w:instrText>
        </w:r>
        <w:r w:rsidR="000D4360">
          <w:rPr>
            <w:webHidden/>
          </w:rPr>
        </w:r>
        <w:r w:rsidR="000D4360">
          <w:rPr>
            <w:webHidden/>
          </w:rPr>
          <w:fldChar w:fldCharType="separate"/>
        </w:r>
        <w:r w:rsidR="000D4360">
          <w:rPr>
            <w:webHidden/>
          </w:rPr>
          <w:t>9</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24" w:history="1">
        <w:r w:rsidR="000D4360" w:rsidRPr="00DB19B3">
          <w:rPr>
            <w:rStyle w:val="Hyperlink"/>
          </w:rPr>
          <w:t>3.3</w:t>
        </w:r>
        <w:r w:rsidR="000D4360">
          <w:rPr>
            <w:rFonts w:asciiTheme="minorHAnsi" w:eastAsiaTheme="minorEastAsia" w:hAnsiTheme="minorHAnsi" w:cstheme="minorBidi"/>
            <w:szCs w:val="22"/>
            <w:lang w:eastAsia="en-AU"/>
          </w:rPr>
          <w:tab/>
        </w:r>
        <w:r w:rsidR="000D4360" w:rsidRPr="00DB19B3">
          <w:rPr>
            <w:rStyle w:val="Hyperlink"/>
          </w:rPr>
          <w:t>Scope</w:t>
        </w:r>
        <w:r w:rsidR="000D4360">
          <w:rPr>
            <w:webHidden/>
          </w:rPr>
          <w:tab/>
        </w:r>
        <w:r w:rsidR="000D4360">
          <w:rPr>
            <w:webHidden/>
          </w:rPr>
          <w:fldChar w:fldCharType="begin"/>
        </w:r>
        <w:r w:rsidR="000D4360">
          <w:rPr>
            <w:webHidden/>
          </w:rPr>
          <w:instrText xml:space="preserve"> PAGEREF _Toc463254924 \h </w:instrText>
        </w:r>
        <w:r w:rsidR="000D4360">
          <w:rPr>
            <w:webHidden/>
          </w:rPr>
        </w:r>
        <w:r w:rsidR="000D4360">
          <w:rPr>
            <w:webHidden/>
          </w:rPr>
          <w:fldChar w:fldCharType="separate"/>
        </w:r>
        <w:r w:rsidR="000D4360">
          <w:rPr>
            <w:webHidden/>
          </w:rPr>
          <w:t>10</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25" w:history="1">
        <w:r w:rsidR="000D4360" w:rsidRPr="00DB19B3">
          <w:rPr>
            <w:rStyle w:val="Hyperlink"/>
          </w:rPr>
          <w:t>3.4</w:t>
        </w:r>
        <w:r w:rsidR="000D4360">
          <w:rPr>
            <w:rFonts w:asciiTheme="minorHAnsi" w:eastAsiaTheme="minorEastAsia" w:hAnsiTheme="minorHAnsi" w:cstheme="minorBidi"/>
            <w:szCs w:val="22"/>
            <w:lang w:eastAsia="en-AU"/>
          </w:rPr>
          <w:tab/>
        </w:r>
        <w:r w:rsidR="000D4360" w:rsidRPr="00DB19B3">
          <w:rPr>
            <w:rStyle w:val="Hyperlink"/>
          </w:rPr>
          <w:t>Purchasing Principles</w:t>
        </w:r>
        <w:r w:rsidR="000D4360">
          <w:rPr>
            <w:webHidden/>
          </w:rPr>
          <w:tab/>
        </w:r>
        <w:r w:rsidR="000D4360">
          <w:rPr>
            <w:webHidden/>
          </w:rPr>
          <w:fldChar w:fldCharType="begin"/>
        </w:r>
        <w:r w:rsidR="000D4360">
          <w:rPr>
            <w:webHidden/>
          </w:rPr>
          <w:instrText xml:space="preserve"> PAGEREF _Toc463254925 \h </w:instrText>
        </w:r>
        <w:r w:rsidR="000D4360">
          <w:rPr>
            <w:webHidden/>
          </w:rPr>
        </w:r>
        <w:r w:rsidR="000D4360">
          <w:rPr>
            <w:webHidden/>
          </w:rPr>
          <w:fldChar w:fldCharType="separate"/>
        </w:r>
        <w:r w:rsidR="000D4360">
          <w:rPr>
            <w:webHidden/>
          </w:rPr>
          <w:t>11</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26" w:history="1">
        <w:r w:rsidR="000D4360" w:rsidRPr="00DB19B3">
          <w:rPr>
            <w:rStyle w:val="Hyperlink"/>
          </w:rPr>
          <w:t>4</w:t>
        </w:r>
        <w:r w:rsidR="000D4360">
          <w:rPr>
            <w:rFonts w:asciiTheme="minorHAnsi" w:eastAsiaTheme="minorEastAsia" w:hAnsiTheme="minorHAnsi" w:cstheme="minorBidi"/>
            <w:b w:val="0"/>
            <w:szCs w:val="22"/>
            <w:lang w:eastAsia="en-AU"/>
          </w:rPr>
          <w:tab/>
        </w:r>
        <w:r w:rsidR="000D4360" w:rsidRPr="00DB19B3">
          <w:rPr>
            <w:rStyle w:val="Hyperlink"/>
          </w:rPr>
          <w:t>Key Health Drivers in Tasmania</w:t>
        </w:r>
        <w:r w:rsidR="000D4360">
          <w:rPr>
            <w:webHidden/>
          </w:rPr>
          <w:tab/>
        </w:r>
        <w:r w:rsidR="000D4360">
          <w:rPr>
            <w:webHidden/>
          </w:rPr>
          <w:fldChar w:fldCharType="begin"/>
        </w:r>
        <w:r w:rsidR="000D4360">
          <w:rPr>
            <w:webHidden/>
          </w:rPr>
          <w:instrText xml:space="preserve"> PAGEREF _Toc463254926 \h </w:instrText>
        </w:r>
        <w:r w:rsidR="000D4360">
          <w:rPr>
            <w:webHidden/>
          </w:rPr>
        </w:r>
        <w:r w:rsidR="000D4360">
          <w:rPr>
            <w:webHidden/>
          </w:rPr>
          <w:fldChar w:fldCharType="separate"/>
        </w:r>
        <w:r w:rsidR="000D4360">
          <w:rPr>
            <w:webHidden/>
          </w:rPr>
          <w:t>13</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27" w:history="1">
        <w:r w:rsidR="000D4360" w:rsidRPr="00DB19B3">
          <w:rPr>
            <w:rStyle w:val="Hyperlink"/>
          </w:rPr>
          <w:t>4.1</w:t>
        </w:r>
        <w:r w:rsidR="000D4360">
          <w:rPr>
            <w:rFonts w:asciiTheme="minorHAnsi" w:eastAsiaTheme="minorEastAsia" w:hAnsiTheme="minorHAnsi" w:cstheme="minorBidi"/>
            <w:szCs w:val="22"/>
            <w:lang w:eastAsia="en-AU"/>
          </w:rPr>
          <w:tab/>
        </w:r>
        <w:r w:rsidR="000D4360" w:rsidRPr="00DB19B3">
          <w:rPr>
            <w:rStyle w:val="Hyperlink"/>
          </w:rPr>
          <w:t>Tasmanian Health Indicators</w:t>
        </w:r>
        <w:r w:rsidR="000D4360">
          <w:rPr>
            <w:webHidden/>
          </w:rPr>
          <w:tab/>
        </w:r>
        <w:r w:rsidR="000D4360">
          <w:rPr>
            <w:webHidden/>
          </w:rPr>
          <w:fldChar w:fldCharType="begin"/>
        </w:r>
        <w:r w:rsidR="000D4360">
          <w:rPr>
            <w:webHidden/>
          </w:rPr>
          <w:instrText xml:space="preserve"> PAGEREF _Toc463254927 \h </w:instrText>
        </w:r>
        <w:r w:rsidR="000D4360">
          <w:rPr>
            <w:webHidden/>
          </w:rPr>
        </w:r>
        <w:r w:rsidR="000D4360">
          <w:rPr>
            <w:webHidden/>
          </w:rPr>
          <w:fldChar w:fldCharType="separate"/>
        </w:r>
        <w:r w:rsidR="000D4360">
          <w:rPr>
            <w:webHidden/>
          </w:rPr>
          <w:t>13</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28" w:history="1">
        <w:r w:rsidR="000D4360" w:rsidRPr="00DB19B3">
          <w:rPr>
            <w:rStyle w:val="Hyperlink"/>
          </w:rPr>
          <w:t>4.2</w:t>
        </w:r>
        <w:r w:rsidR="000D4360">
          <w:rPr>
            <w:rFonts w:asciiTheme="minorHAnsi" w:eastAsiaTheme="minorEastAsia" w:hAnsiTheme="minorHAnsi" w:cstheme="minorBidi"/>
            <w:szCs w:val="22"/>
            <w:lang w:eastAsia="en-AU"/>
          </w:rPr>
          <w:tab/>
        </w:r>
        <w:r w:rsidR="000D4360" w:rsidRPr="00DB19B3">
          <w:rPr>
            <w:rStyle w:val="Hyperlink"/>
          </w:rPr>
          <w:t>Burden of Disease</w:t>
        </w:r>
        <w:r w:rsidR="000D4360">
          <w:rPr>
            <w:webHidden/>
          </w:rPr>
          <w:tab/>
        </w:r>
        <w:r w:rsidR="000D4360">
          <w:rPr>
            <w:webHidden/>
          </w:rPr>
          <w:fldChar w:fldCharType="begin"/>
        </w:r>
        <w:r w:rsidR="000D4360">
          <w:rPr>
            <w:webHidden/>
          </w:rPr>
          <w:instrText xml:space="preserve"> PAGEREF _Toc463254928 \h </w:instrText>
        </w:r>
        <w:r w:rsidR="000D4360">
          <w:rPr>
            <w:webHidden/>
          </w:rPr>
        </w:r>
        <w:r w:rsidR="000D4360">
          <w:rPr>
            <w:webHidden/>
          </w:rPr>
          <w:fldChar w:fldCharType="separate"/>
        </w:r>
        <w:r w:rsidR="000D4360">
          <w:rPr>
            <w:webHidden/>
          </w:rPr>
          <w:t>17</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29" w:history="1">
        <w:r w:rsidR="000D4360" w:rsidRPr="00DB19B3">
          <w:rPr>
            <w:rStyle w:val="Hyperlink"/>
          </w:rPr>
          <w:t>4.3</w:t>
        </w:r>
        <w:r w:rsidR="000D4360">
          <w:rPr>
            <w:rFonts w:asciiTheme="minorHAnsi" w:eastAsiaTheme="minorEastAsia" w:hAnsiTheme="minorHAnsi" w:cstheme="minorBidi"/>
            <w:szCs w:val="22"/>
            <w:lang w:eastAsia="en-AU"/>
          </w:rPr>
          <w:tab/>
        </w:r>
        <w:r w:rsidR="000D4360" w:rsidRPr="00DB19B3">
          <w:rPr>
            <w:rStyle w:val="Hyperlink"/>
          </w:rPr>
          <w:t>Surgery</w:t>
        </w:r>
        <w:r w:rsidR="000D4360">
          <w:rPr>
            <w:webHidden/>
          </w:rPr>
          <w:tab/>
        </w:r>
        <w:r w:rsidR="000D4360">
          <w:rPr>
            <w:webHidden/>
          </w:rPr>
          <w:fldChar w:fldCharType="begin"/>
        </w:r>
        <w:r w:rsidR="000D4360">
          <w:rPr>
            <w:webHidden/>
          </w:rPr>
          <w:instrText xml:space="preserve"> PAGEREF _Toc463254929 \h </w:instrText>
        </w:r>
        <w:r w:rsidR="000D4360">
          <w:rPr>
            <w:webHidden/>
          </w:rPr>
        </w:r>
        <w:r w:rsidR="000D4360">
          <w:rPr>
            <w:webHidden/>
          </w:rPr>
          <w:fldChar w:fldCharType="separate"/>
        </w:r>
        <w:r w:rsidR="000D4360">
          <w:rPr>
            <w:webHidden/>
          </w:rPr>
          <w:t>21</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30" w:history="1">
        <w:r w:rsidR="000D4360" w:rsidRPr="00DB19B3">
          <w:rPr>
            <w:rStyle w:val="Hyperlink"/>
          </w:rPr>
          <w:t>5</w:t>
        </w:r>
        <w:r w:rsidR="000D4360">
          <w:rPr>
            <w:rFonts w:asciiTheme="minorHAnsi" w:eastAsiaTheme="minorEastAsia" w:hAnsiTheme="minorHAnsi" w:cstheme="minorBidi"/>
            <w:b w:val="0"/>
            <w:szCs w:val="22"/>
            <w:lang w:eastAsia="en-AU"/>
          </w:rPr>
          <w:tab/>
        </w:r>
        <w:r w:rsidR="000D4360" w:rsidRPr="00DB19B3">
          <w:rPr>
            <w:rStyle w:val="Hyperlink"/>
          </w:rPr>
          <w:t>Purchasing Priorities</w:t>
        </w:r>
        <w:r w:rsidR="000D4360">
          <w:rPr>
            <w:webHidden/>
          </w:rPr>
          <w:tab/>
        </w:r>
        <w:r w:rsidR="000D4360">
          <w:rPr>
            <w:webHidden/>
          </w:rPr>
          <w:fldChar w:fldCharType="begin"/>
        </w:r>
        <w:r w:rsidR="000D4360">
          <w:rPr>
            <w:webHidden/>
          </w:rPr>
          <w:instrText xml:space="preserve"> PAGEREF _Toc463254930 \h </w:instrText>
        </w:r>
        <w:r w:rsidR="000D4360">
          <w:rPr>
            <w:webHidden/>
          </w:rPr>
        </w:r>
        <w:r w:rsidR="000D4360">
          <w:rPr>
            <w:webHidden/>
          </w:rPr>
          <w:fldChar w:fldCharType="separate"/>
        </w:r>
        <w:r w:rsidR="000D4360">
          <w:rPr>
            <w:webHidden/>
          </w:rPr>
          <w:t>24</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31" w:history="1">
        <w:r w:rsidR="000D4360" w:rsidRPr="00DB19B3">
          <w:rPr>
            <w:rStyle w:val="Hyperlink"/>
          </w:rPr>
          <w:t>5.1</w:t>
        </w:r>
        <w:r w:rsidR="000D4360">
          <w:rPr>
            <w:rFonts w:asciiTheme="minorHAnsi" w:eastAsiaTheme="minorEastAsia" w:hAnsiTheme="minorHAnsi" w:cstheme="minorBidi"/>
            <w:szCs w:val="22"/>
            <w:lang w:eastAsia="en-AU"/>
          </w:rPr>
          <w:tab/>
        </w:r>
        <w:r w:rsidR="000D4360" w:rsidRPr="00DB19B3">
          <w:rPr>
            <w:rStyle w:val="Hyperlink"/>
          </w:rPr>
          <w:t>Chronic Disease (Current &amp; Future)</w:t>
        </w:r>
        <w:r w:rsidR="000D4360">
          <w:rPr>
            <w:webHidden/>
          </w:rPr>
          <w:tab/>
        </w:r>
        <w:r w:rsidR="000D4360">
          <w:rPr>
            <w:webHidden/>
          </w:rPr>
          <w:fldChar w:fldCharType="begin"/>
        </w:r>
        <w:r w:rsidR="000D4360">
          <w:rPr>
            <w:webHidden/>
          </w:rPr>
          <w:instrText xml:space="preserve"> PAGEREF _Toc463254931 \h </w:instrText>
        </w:r>
        <w:r w:rsidR="000D4360">
          <w:rPr>
            <w:webHidden/>
          </w:rPr>
        </w:r>
        <w:r w:rsidR="000D4360">
          <w:rPr>
            <w:webHidden/>
          </w:rPr>
          <w:fldChar w:fldCharType="separate"/>
        </w:r>
        <w:r w:rsidR="000D4360">
          <w:rPr>
            <w:webHidden/>
          </w:rPr>
          <w:t>24</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32" w:history="1">
        <w:r w:rsidR="000D4360" w:rsidRPr="00DB19B3">
          <w:rPr>
            <w:rStyle w:val="Hyperlink"/>
          </w:rPr>
          <w:t>5.2</w:t>
        </w:r>
        <w:r w:rsidR="000D4360">
          <w:rPr>
            <w:rFonts w:asciiTheme="minorHAnsi" w:eastAsiaTheme="minorEastAsia" w:hAnsiTheme="minorHAnsi" w:cstheme="minorBidi"/>
            <w:szCs w:val="22"/>
            <w:lang w:eastAsia="en-AU"/>
          </w:rPr>
          <w:tab/>
        </w:r>
        <w:r w:rsidR="000D4360" w:rsidRPr="00DB19B3">
          <w:rPr>
            <w:rStyle w:val="Hyperlink"/>
          </w:rPr>
          <w:t>Surgery (Current &amp; Future)</w:t>
        </w:r>
        <w:r w:rsidR="000D4360">
          <w:rPr>
            <w:webHidden/>
          </w:rPr>
          <w:tab/>
        </w:r>
        <w:r w:rsidR="000D4360">
          <w:rPr>
            <w:webHidden/>
          </w:rPr>
          <w:fldChar w:fldCharType="begin"/>
        </w:r>
        <w:r w:rsidR="000D4360">
          <w:rPr>
            <w:webHidden/>
          </w:rPr>
          <w:instrText xml:space="preserve"> PAGEREF _Toc463254932 \h </w:instrText>
        </w:r>
        <w:r w:rsidR="000D4360">
          <w:rPr>
            <w:webHidden/>
          </w:rPr>
        </w:r>
        <w:r w:rsidR="000D4360">
          <w:rPr>
            <w:webHidden/>
          </w:rPr>
          <w:fldChar w:fldCharType="separate"/>
        </w:r>
        <w:r w:rsidR="000D4360">
          <w:rPr>
            <w:webHidden/>
          </w:rPr>
          <w:t>27</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33" w:history="1">
        <w:r w:rsidR="000D4360" w:rsidRPr="00DB19B3">
          <w:rPr>
            <w:rStyle w:val="Hyperlink"/>
          </w:rPr>
          <w:t>5.3</w:t>
        </w:r>
        <w:r w:rsidR="000D4360">
          <w:rPr>
            <w:rFonts w:asciiTheme="minorHAnsi" w:eastAsiaTheme="minorEastAsia" w:hAnsiTheme="minorHAnsi" w:cstheme="minorBidi"/>
            <w:szCs w:val="22"/>
            <w:lang w:eastAsia="en-AU"/>
          </w:rPr>
          <w:tab/>
        </w:r>
        <w:r w:rsidR="000D4360" w:rsidRPr="00DB19B3">
          <w:rPr>
            <w:rStyle w:val="Hyperlink"/>
          </w:rPr>
          <w:t>Primary and Community Sector Purchasing (Future)</w:t>
        </w:r>
        <w:r w:rsidR="000D4360">
          <w:rPr>
            <w:webHidden/>
          </w:rPr>
          <w:tab/>
        </w:r>
        <w:r w:rsidR="000D4360">
          <w:rPr>
            <w:webHidden/>
          </w:rPr>
          <w:fldChar w:fldCharType="begin"/>
        </w:r>
        <w:r w:rsidR="000D4360">
          <w:rPr>
            <w:webHidden/>
          </w:rPr>
          <w:instrText xml:space="preserve"> PAGEREF _Toc463254933 \h </w:instrText>
        </w:r>
        <w:r w:rsidR="000D4360">
          <w:rPr>
            <w:webHidden/>
          </w:rPr>
        </w:r>
        <w:r w:rsidR="000D4360">
          <w:rPr>
            <w:webHidden/>
          </w:rPr>
          <w:fldChar w:fldCharType="separate"/>
        </w:r>
        <w:r w:rsidR="000D4360">
          <w:rPr>
            <w:webHidden/>
          </w:rPr>
          <w:t>29</w:t>
        </w:r>
        <w:r w:rsidR="000D4360">
          <w:rPr>
            <w:webHidden/>
          </w:rPr>
          <w:fldChar w:fldCharType="end"/>
        </w:r>
      </w:hyperlink>
    </w:p>
    <w:p w:rsidR="000D4360" w:rsidRDefault="00D05FED">
      <w:pPr>
        <w:pStyle w:val="TOC2"/>
        <w:tabs>
          <w:tab w:val="left" w:pos="1260"/>
        </w:tabs>
        <w:rPr>
          <w:rFonts w:asciiTheme="minorHAnsi" w:eastAsiaTheme="minorEastAsia" w:hAnsiTheme="minorHAnsi" w:cstheme="minorBidi"/>
          <w:szCs w:val="22"/>
          <w:lang w:eastAsia="en-AU"/>
        </w:rPr>
      </w:pPr>
      <w:hyperlink w:anchor="_Toc463254934" w:history="1">
        <w:r w:rsidR="000D4360" w:rsidRPr="00DB19B3">
          <w:rPr>
            <w:rStyle w:val="Hyperlink"/>
          </w:rPr>
          <w:t>5.4</w:t>
        </w:r>
        <w:r w:rsidR="000D4360">
          <w:rPr>
            <w:rFonts w:asciiTheme="minorHAnsi" w:eastAsiaTheme="minorEastAsia" w:hAnsiTheme="minorHAnsi" w:cstheme="minorBidi"/>
            <w:szCs w:val="22"/>
            <w:lang w:eastAsia="en-AU"/>
          </w:rPr>
          <w:tab/>
        </w:r>
        <w:r w:rsidR="000D4360" w:rsidRPr="00DB19B3">
          <w:rPr>
            <w:rStyle w:val="Hyperlink"/>
          </w:rPr>
          <w:t>Consumer Engagement (Future)</w:t>
        </w:r>
        <w:r w:rsidR="000D4360">
          <w:rPr>
            <w:webHidden/>
          </w:rPr>
          <w:tab/>
        </w:r>
        <w:r w:rsidR="000D4360">
          <w:rPr>
            <w:webHidden/>
          </w:rPr>
          <w:fldChar w:fldCharType="begin"/>
        </w:r>
        <w:r w:rsidR="000D4360">
          <w:rPr>
            <w:webHidden/>
          </w:rPr>
          <w:instrText xml:space="preserve"> PAGEREF _Toc463254934 \h </w:instrText>
        </w:r>
        <w:r w:rsidR="000D4360">
          <w:rPr>
            <w:webHidden/>
          </w:rPr>
        </w:r>
        <w:r w:rsidR="000D4360">
          <w:rPr>
            <w:webHidden/>
          </w:rPr>
          <w:fldChar w:fldCharType="separate"/>
        </w:r>
        <w:r w:rsidR="000D4360">
          <w:rPr>
            <w:webHidden/>
          </w:rPr>
          <w:t>29</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35" w:history="1">
        <w:r w:rsidR="000D4360" w:rsidRPr="00DB19B3">
          <w:rPr>
            <w:rStyle w:val="Hyperlink"/>
          </w:rPr>
          <w:t>6</w:t>
        </w:r>
        <w:r w:rsidR="000D4360">
          <w:rPr>
            <w:rFonts w:asciiTheme="minorHAnsi" w:eastAsiaTheme="minorEastAsia" w:hAnsiTheme="minorHAnsi" w:cstheme="minorBidi"/>
            <w:b w:val="0"/>
            <w:szCs w:val="22"/>
            <w:lang w:eastAsia="en-AU"/>
          </w:rPr>
          <w:tab/>
        </w:r>
        <w:r w:rsidR="000D4360" w:rsidRPr="00DB19B3">
          <w:rPr>
            <w:rStyle w:val="Hyperlink"/>
          </w:rPr>
          <w:t>Purchasing Actions 2017-18</w:t>
        </w:r>
        <w:r w:rsidR="000D4360">
          <w:rPr>
            <w:webHidden/>
          </w:rPr>
          <w:tab/>
        </w:r>
        <w:r w:rsidR="000D4360">
          <w:rPr>
            <w:webHidden/>
          </w:rPr>
          <w:fldChar w:fldCharType="begin"/>
        </w:r>
        <w:r w:rsidR="000D4360">
          <w:rPr>
            <w:webHidden/>
          </w:rPr>
          <w:instrText xml:space="preserve"> PAGEREF _Toc463254935 \h </w:instrText>
        </w:r>
        <w:r w:rsidR="000D4360">
          <w:rPr>
            <w:webHidden/>
          </w:rPr>
        </w:r>
        <w:r w:rsidR="000D4360">
          <w:rPr>
            <w:webHidden/>
          </w:rPr>
          <w:fldChar w:fldCharType="separate"/>
        </w:r>
        <w:r w:rsidR="000D4360">
          <w:rPr>
            <w:webHidden/>
          </w:rPr>
          <w:t>31</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36" w:history="1">
        <w:r w:rsidR="000D4360" w:rsidRPr="00DB19B3">
          <w:rPr>
            <w:rStyle w:val="Hyperlink"/>
          </w:rPr>
          <w:t>Works Cited</w:t>
        </w:r>
        <w:r w:rsidR="000D4360">
          <w:rPr>
            <w:webHidden/>
          </w:rPr>
          <w:tab/>
        </w:r>
        <w:r w:rsidR="000D4360">
          <w:rPr>
            <w:webHidden/>
          </w:rPr>
          <w:fldChar w:fldCharType="begin"/>
        </w:r>
        <w:r w:rsidR="000D4360">
          <w:rPr>
            <w:webHidden/>
          </w:rPr>
          <w:instrText xml:space="preserve"> PAGEREF _Toc463254936 \h </w:instrText>
        </w:r>
        <w:r w:rsidR="000D4360">
          <w:rPr>
            <w:webHidden/>
          </w:rPr>
        </w:r>
        <w:r w:rsidR="000D4360">
          <w:rPr>
            <w:webHidden/>
          </w:rPr>
          <w:fldChar w:fldCharType="separate"/>
        </w:r>
        <w:r w:rsidR="000D4360">
          <w:rPr>
            <w:webHidden/>
          </w:rPr>
          <w:t>35</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37" w:history="1">
        <w:r w:rsidR="000D4360" w:rsidRPr="00DB19B3">
          <w:rPr>
            <w:rStyle w:val="Hyperlink"/>
          </w:rPr>
          <w:t>Appendix A: Disease and Injury List</w:t>
        </w:r>
        <w:r w:rsidR="000D4360">
          <w:rPr>
            <w:webHidden/>
          </w:rPr>
          <w:tab/>
        </w:r>
        <w:r w:rsidR="000D4360">
          <w:rPr>
            <w:webHidden/>
          </w:rPr>
          <w:fldChar w:fldCharType="begin"/>
        </w:r>
        <w:r w:rsidR="000D4360">
          <w:rPr>
            <w:webHidden/>
          </w:rPr>
          <w:instrText xml:space="preserve"> PAGEREF _Toc463254937 \h </w:instrText>
        </w:r>
        <w:r w:rsidR="000D4360">
          <w:rPr>
            <w:webHidden/>
          </w:rPr>
        </w:r>
        <w:r w:rsidR="000D4360">
          <w:rPr>
            <w:webHidden/>
          </w:rPr>
          <w:fldChar w:fldCharType="separate"/>
        </w:r>
        <w:r w:rsidR="000D4360">
          <w:rPr>
            <w:webHidden/>
          </w:rPr>
          <w:t>36</w:t>
        </w:r>
        <w:r w:rsidR="000D4360">
          <w:rPr>
            <w:webHidden/>
          </w:rPr>
          <w:fldChar w:fldCharType="end"/>
        </w:r>
      </w:hyperlink>
    </w:p>
    <w:p w:rsidR="000D4360" w:rsidRDefault="00D05FED">
      <w:pPr>
        <w:pStyle w:val="TOC1"/>
        <w:rPr>
          <w:rFonts w:asciiTheme="minorHAnsi" w:eastAsiaTheme="minorEastAsia" w:hAnsiTheme="minorHAnsi" w:cstheme="minorBidi"/>
          <w:b w:val="0"/>
          <w:szCs w:val="22"/>
          <w:lang w:eastAsia="en-AU"/>
        </w:rPr>
      </w:pPr>
      <w:hyperlink w:anchor="_Toc463254938" w:history="1">
        <w:r w:rsidR="000D4360" w:rsidRPr="00DB19B3">
          <w:rPr>
            <w:rStyle w:val="Hyperlink"/>
          </w:rPr>
          <w:t>Appendix B: Chronic Disease – Mapping</w:t>
        </w:r>
        <w:r w:rsidR="000D4360">
          <w:rPr>
            <w:webHidden/>
          </w:rPr>
          <w:tab/>
        </w:r>
        <w:r w:rsidR="000D4360">
          <w:rPr>
            <w:webHidden/>
          </w:rPr>
          <w:fldChar w:fldCharType="begin"/>
        </w:r>
        <w:r w:rsidR="000D4360">
          <w:rPr>
            <w:webHidden/>
          </w:rPr>
          <w:instrText xml:space="preserve"> PAGEREF _Toc463254938 \h </w:instrText>
        </w:r>
        <w:r w:rsidR="000D4360">
          <w:rPr>
            <w:webHidden/>
          </w:rPr>
        </w:r>
        <w:r w:rsidR="000D4360">
          <w:rPr>
            <w:webHidden/>
          </w:rPr>
          <w:fldChar w:fldCharType="separate"/>
        </w:r>
        <w:r w:rsidR="000D4360">
          <w:rPr>
            <w:webHidden/>
          </w:rPr>
          <w:t>38</w:t>
        </w:r>
        <w:r w:rsidR="000D4360">
          <w:rPr>
            <w:webHidden/>
          </w:rPr>
          <w:fldChar w:fldCharType="end"/>
        </w:r>
      </w:hyperlink>
    </w:p>
    <w:p w:rsidR="00265A90" w:rsidRPr="00F51AB2" w:rsidRDefault="00CD7872" w:rsidP="00896B85">
      <w:pPr>
        <w:pStyle w:val="TOC1"/>
      </w:pPr>
      <w:r w:rsidRPr="00F51AB2">
        <w:rPr>
          <w:rFonts w:cs="Arial"/>
        </w:rPr>
        <w:fldChar w:fldCharType="end"/>
      </w:r>
    </w:p>
    <w:p w:rsidR="00265A90" w:rsidRPr="00F51AB2" w:rsidRDefault="00265A90"/>
    <w:p w:rsidR="007E6D98" w:rsidRPr="00F51AB2" w:rsidRDefault="007E6D98">
      <w:pPr>
        <w:sectPr w:rsidR="007E6D98" w:rsidRPr="00F51AB2" w:rsidSect="00CD532A">
          <w:headerReference w:type="even" r:id="rId10"/>
          <w:headerReference w:type="default" r:id="rId11"/>
          <w:footerReference w:type="even" r:id="rId12"/>
          <w:footerReference w:type="default" r:id="rId13"/>
          <w:headerReference w:type="first" r:id="rId14"/>
          <w:pgSz w:w="11906" w:h="16838" w:code="9"/>
          <w:pgMar w:top="907" w:right="1134" w:bottom="720" w:left="1134" w:header="709" w:footer="709" w:gutter="0"/>
          <w:cols w:space="708"/>
          <w:docGrid w:linePitch="360"/>
        </w:sectPr>
      </w:pPr>
    </w:p>
    <w:p w:rsidR="00B14A1C" w:rsidRPr="00F51AB2" w:rsidRDefault="00B14A1C" w:rsidP="000C7580">
      <w:pPr>
        <w:pStyle w:val="Heading1numbered"/>
        <w:tabs>
          <w:tab w:val="clear" w:pos="1276"/>
          <w:tab w:val="num" w:pos="851"/>
        </w:tabs>
        <w:ind w:hanging="1276"/>
      </w:pPr>
      <w:bookmarkStart w:id="1" w:name="bmContentsEnd"/>
      <w:bookmarkStart w:id="2" w:name="_Toc463254919"/>
      <w:bookmarkEnd w:id="1"/>
      <w:r>
        <w:t>Introduction</w:t>
      </w:r>
      <w:bookmarkEnd w:id="2"/>
    </w:p>
    <w:p w:rsidR="00B60A67" w:rsidRPr="00F51AB2" w:rsidRDefault="00B60A67" w:rsidP="00230386">
      <w:pPr>
        <w:jc w:val="both"/>
      </w:pPr>
      <w:r w:rsidRPr="00F51AB2">
        <w:t xml:space="preserve">The objective of the </w:t>
      </w:r>
      <w:r w:rsidR="00FE4E0D">
        <w:t xml:space="preserve">State’s </w:t>
      </w:r>
      <w:r w:rsidRPr="00F51AB2">
        <w:rPr>
          <w:lang w:val="en-US"/>
        </w:rPr>
        <w:t>public sector health system is to deliver safe, high quality services to improve, promote, protect and maintain the health of Tasmanians</w:t>
      </w:r>
      <w:r w:rsidR="00060F93" w:rsidRPr="00F51AB2">
        <w:rPr>
          <w:lang w:val="en-US"/>
        </w:rPr>
        <w:t>.</w:t>
      </w:r>
      <w:r w:rsidRPr="00F51AB2">
        <w:rPr>
          <w:vertAlign w:val="superscript"/>
          <w:lang w:val="en-US"/>
        </w:rPr>
        <w:footnoteReference w:id="1"/>
      </w:r>
      <w:r w:rsidRPr="00F51AB2">
        <w:rPr>
          <w:lang w:val="en-US"/>
        </w:rPr>
        <w:t xml:space="preserve"> </w:t>
      </w:r>
      <w:r w:rsidR="00060F93">
        <w:rPr>
          <w:lang w:val="en-US"/>
        </w:rPr>
        <w:t xml:space="preserve"> </w:t>
      </w:r>
      <w:r w:rsidRPr="00F51AB2">
        <w:rPr>
          <w:lang w:val="en-US"/>
        </w:rPr>
        <w:t xml:space="preserve">This objective supports the vision </w:t>
      </w:r>
      <w:r w:rsidRPr="00F51AB2">
        <w:t>for Tasmania to have the healthiest population in Australia by 2025.</w:t>
      </w:r>
    </w:p>
    <w:p w:rsidR="00614387" w:rsidRDefault="00614387" w:rsidP="00230386">
      <w:pPr>
        <w:jc w:val="both"/>
      </w:pPr>
      <w:r>
        <w:t xml:space="preserve">As per </w:t>
      </w:r>
      <w:r w:rsidR="00323AEC">
        <w:t xml:space="preserve">authority </w:t>
      </w:r>
      <w:r w:rsidR="004F6AD6">
        <w:t>delegated by the Minister for Health</w:t>
      </w:r>
      <w:r>
        <w:t>, i</w:t>
      </w:r>
      <w:r w:rsidR="00B60A67" w:rsidRPr="00F51AB2">
        <w:t>t is the responsibility of the Department of Health and Human Services (the Department), as System Manager</w:t>
      </w:r>
      <w:r w:rsidR="00D12E8A">
        <w:t xml:space="preserve">, to purchase services </w:t>
      </w:r>
      <w:r>
        <w:t xml:space="preserve">(the Purchaser) </w:t>
      </w:r>
      <w:r w:rsidR="00D12E8A">
        <w:t>on behalf of Tasmanians</w:t>
      </w:r>
      <w:r w:rsidR="009511F3">
        <w:t>,</w:t>
      </w:r>
      <w:r>
        <w:t xml:space="preserve"> using funds provided by the Tasmanian and Commonwealth Governments (the Funders) from suppliers of health services (the Provider</w:t>
      </w:r>
      <w:r w:rsidR="005C3054">
        <w:t>/s</w:t>
      </w:r>
      <w:r>
        <w:t>)</w:t>
      </w:r>
      <w:r w:rsidR="00D12E8A">
        <w:t xml:space="preserve">. </w:t>
      </w:r>
    </w:p>
    <w:p w:rsidR="005F7A23" w:rsidRDefault="00DC631E" w:rsidP="00230386">
      <w:pPr>
        <w:jc w:val="both"/>
      </w:pPr>
      <w:r>
        <w:rPr>
          <w:lang w:val="en-US"/>
        </w:rPr>
        <w:t>The Department</w:t>
      </w:r>
      <w:r w:rsidR="00EA526A">
        <w:t xml:space="preserve"> </w:t>
      </w:r>
      <w:r w:rsidR="009511F3">
        <w:t>subsequently</w:t>
      </w:r>
      <w:r>
        <w:rPr>
          <w:lang w:val="en-US"/>
        </w:rPr>
        <w:t xml:space="preserve"> has</w:t>
      </w:r>
      <w:r w:rsidR="00EA526A">
        <w:t xml:space="preserve"> a </w:t>
      </w:r>
      <w:r w:rsidR="005F7A23">
        <w:t xml:space="preserve">clear </w:t>
      </w:r>
      <w:r w:rsidR="00EA526A">
        <w:t xml:space="preserve">responsibility to the people of Tasmania to ensure that </w:t>
      </w:r>
      <w:r>
        <w:rPr>
          <w:lang w:val="en-US"/>
        </w:rPr>
        <w:t xml:space="preserve">it </w:t>
      </w:r>
      <w:r w:rsidR="00EA526A">
        <w:t>is able to demonstrate that it is receiving the services it purchases and is obtaining value f</w:t>
      </w:r>
      <w:r w:rsidR="002A4E0D">
        <w:t>or money</w:t>
      </w:r>
      <w:r w:rsidR="00EA526A">
        <w:t>.</w:t>
      </w:r>
    </w:p>
    <w:p w:rsidR="004F6AD6" w:rsidRPr="004F6AD6" w:rsidRDefault="004F6AD6" w:rsidP="00230386">
      <w:pPr>
        <w:jc w:val="both"/>
      </w:pPr>
      <w:r w:rsidRPr="004F6AD6">
        <w:t xml:space="preserve">The </w:t>
      </w:r>
      <w:proofErr w:type="spellStart"/>
      <w:r w:rsidRPr="004F6AD6">
        <w:t>SoPI</w:t>
      </w:r>
      <w:proofErr w:type="spellEnd"/>
      <w:r w:rsidRPr="004F6AD6">
        <w:t xml:space="preserve"> serves a number of functions:</w:t>
      </w:r>
    </w:p>
    <w:p w:rsidR="002E29B1" w:rsidRPr="00D02DAD" w:rsidRDefault="002E29B1" w:rsidP="002E29B1">
      <w:pPr>
        <w:pStyle w:val="ListBullet"/>
      </w:pPr>
      <w:r w:rsidRPr="00D02DAD">
        <w:t xml:space="preserve">It is a synthesis of Government priorities and </w:t>
      </w:r>
      <w:r>
        <w:t xml:space="preserve">a response to </w:t>
      </w:r>
      <w:r w:rsidRPr="00D02DAD">
        <w:t>health trends across the State.</w:t>
      </w:r>
    </w:p>
    <w:p w:rsidR="004F6AD6" w:rsidRPr="00D02DAD" w:rsidRDefault="004F6AD6" w:rsidP="00CD2663">
      <w:pPr>
        <w:pStyle w:val="ListBullet"/>
      </w:pPr>
      <w:r w:rsidRPr="00D02DAD">
        <w:t xml:space="preserve">It </w:t>
      </w:r>
      <w:r w:rsidR="005F7A23" w:rsidRPr="00D02DAD">
        <w:t xml:space="preserve">signals the Department’s intentions over the </w:t>
      </w:r>
      <w:r w:rsidR="002E29B1">
        <w:rPr>
          <w:lang w:val="en-US"/>
        </w:rPr>
        <w:t>coming</w:t>
      </w:r>
      <w:r w:rsidR="002E29B1" w:rsidRPr="00D02DAD">
        <w:t xml:space="preserve"> </w:t>
      </w:r>
      <w:r w:rsidR="005F7A23" w:rsidRPr="00D02DAD">
        <w:t>five years</w:t>
      </w:r>
      <w:r w:rsidRPr="00D02DAD">
        <w:t xml:space="preserve"> in order to assist the Provider</w:t>
      </w:r>
      <w:r w:rsidR="002E7D56">
        <w:t>/</w:t>
      </w:r>
      <w:r w:rsidRPr="00D02DAD">
        <w:t>s with their forward planning</w:t>
      </w:r>
      <w:r w:rsidR="005F7A23" w:rsidRPr="00D02DAD">
        <w:t xml:space="preserve">. </w:t>
      </w:r>
    </w:p>
    <w:p w:rsidR="003B361D" w:rsidRPr="00D02DAD" w:rsidRDefault="003B361D" w:rsidP="00CD2663">
      <w:pPr>
        <w:pStyle w:val="ListBullet"/>
      </w:pPr>
      <w:r w:rsidRPr="00D02DAD">
        <w:t>It creates the basis for the Service Agreement between Purchaser and Provider.</w:t>
      </w:r>
    </w:p>
    <w:p w:rsidR="003B361D" w:rsidRPr="00D02DAD" w:rsidRDefault="003B361D" w:rsidP="00CD2663">
      <w:pPr>
        <w:pStyle w:val="ListBullet"/>
      </w:pPr>
      <w:r w:rsidRPr="00D02DAD">
        <w:t>It articulates purchasing intent in specific and measurable terms in order that the Department as Purchaser is able to clearly ascertain and account for what is being purchased.</w:t>
      </w:r>
    </w:p>
    <w:p w:rsidR="00B60A67" w:rsidRPr="00F51AB2" w:rsidRDefault="007C336F" w:rsidP="008748E5">
      <w:pPr>
        <w:spacing w:before="120"/>
      </w:pPr>
      <w:r>
        <w:t>A key</w:t>
      </w:r>
      <w:r w:rsidRPr="004F6AD6">
        <w:t xml:space="preserve"> mechanism for system management is through informed, appropriate purchasing.</w:t>
      </w:r>
      <w:r w:rsidR="003C054A">
        <w:t xml:space="preserve"> </w:t>
      </w:r>
      <w:r w:rsidR="00B60A67" w:rsidRPr="004F6AD6">
        <w:t xml:space="preserve">The nature and volume of services purchased will impact on the effectiveness and </w:t>
      </w:r>
      <w:r w:rsidR="002E29B1">
        <w:rPr>
          <w:lang w:val="en-US"/>
        </w:rPr>
        <w:t>value-for-money</w:t>
      </w:r>
      <w:r w:rsidR="002E29B1" w:rsidRPr="004F6AD6">
        <w:t xml:space="preserve"> </w:t>
      </w:r>
      <w:r w:rsidR="00B60A67" w:rsidRPr="004F6AD6">
        <w:t>of the Tasmanian health system</w:t>
      </w:r>
      <w:r>
        <w:rPr>
          <w:lang w:val="en-US"/>
        </w:rPr>
        <w:t>.</w:t>
      </w:r>
      <w:r w:rsidR="003C054A">
        <w:t xml:space="preserve"> </w:t>
      </w:r>
      <w:r w:rsidR="00B60A67" w:rsidRPr="004F6AD6">
        <w:t>However, purchasing</w:t>
      </w:r>
      <w:r w:rsidR="00B60A67" w:rsidRPr="00F51AB2">
        <w:t xml:space="preserve"> is a necessarily transactional process, and so must be contextualised to be effective as a mechanism to enact Government policy in health, and to ensure that purchasing decisions reflect the application of a longer term strategy. </w:t>
      </w:r>
      <w:r w:rsidR="00B60A67" w:rsidRPr="00F51AB2">
        <w:rPr>
          <w:lang w:val="en"/>
        </w:rPr>
        <w:t xml:space="preserve">As part of this purchasing process, the Department </w:t>
      </w:r>
      <w:r w:rsidR="00B60A67" w:rsidRPr="00F51AB2">
        <w:t xml:space="preserve">must also signal as far as possible its future purchasing intentions </w:t>
      </w:r>
      <w:r w:rsidR="0001277D">
        <w:rPr>
          <w:lang w:val="en-US"/>
        </w:rPr>
        <w:t>to support</w:t>
      </w:r>
      <w:r w:rsidR="00B60A67" w:rsidRPr="00F51AB2">
        <w:t xml:space="preserve"> service providers</w:t>
      </w:r>
      <w:r w:rsidR="0001277D">
        <w:rPr>
          <w:lang w:val="en-US"/>
        </w:rPr>
        <w:t>’ planning capacities.</w:t>
      </w:r>
      <w:r w:rsidR="00B60A67" w:rsidRPr="00F51AB2">
        <w:t xml:space="preserve"> </w:t>
      </w:r>
    </w:p>
    <w:p w:rsidR="005021D3" w:rsidRDefault="00F2051B" w:rsidP="00230386">
      <w:pPr>
        <w:jc w:val="both"/>
      </w:pPr>
      <w:r w:rsidRPr="00F51AB2">
        <w:t xml:space="preserve">The </w:t>
      </w:r>
      <w:r w:rsidR="00CF1478">
        <w:t>S</w:t>
      </w:r>
      <w:r w:rsidRPr="00F51AB2">
        <w:t xml:space="preserve">tatement of Purchaser Intent </w:t>
      </w:r>
      <w:r w:rsidR="00CF1478">
        <w:t>document</w:t>
      </w:r>
      <w:r w:rsidRPr="00F51AB2">
        <w:t xml:space="preserve"> </w:t>
      </w:r>
      <w:r w:rsidR="00B60A67" w:rsidRPr="00F51AB2">
        <w:t>act</w:t>
      </w:r>
      <w:r w:rsidRPr="00F51AB2">
        <w:t>s</w:t>
      </w:r>
      <w:r w:rsidR="00B60A67" w:rsidRPr="00F51AB2">
        <w:t xml:space="preserve"> as the bridge between the Strategic Priorities of the Health System and the </w:t>
      </w:r>
      <w:r w:rsidR="0001277D">
        <w:rPr>
          <w:lang w:val="en-US"/>
        </w:rPr>
        <w:t>transactional activity</w:t>
      </w:r>
      <w:r w:rsidR="008332F8">
        <w:rPr>
          <w:lang w:val="en-US"/>
        </w:rPr>
        <w:t xml:space="preserve"> </w:t>
      </w:r>
      <w:r w:rsidR="00B60A67" w:rsidRPr="00F51AB2">
        <w:t>of purchasing</w:t>
      </w:r>
      <w:r w:rsidR="005021D3" w:rsidRPr="00F51AB2">
        <w:t>. This is represented in Figure 1 below.</w:t>
      </w:r>
    </w:p>
    <w:p w:rsidR="00FE4E0D" w:rsidRDefault="00FE4E0D" w:rsidP="00230386">
      <w:pPr>
        <w:jc w:val="both"/>
      </w:pPr>
    </w:p>
    <w:p w:rsidR="00FE4E0D" w:rsidRDefault="00FE4E0D" w:rsidP="00230386">
      <w:pPr>
        <w:jc w:val="both"/>
      </w:pPr>
    </w:p>
    <w:p w:rsidR="00FE4E0D" w:rsidRDefault="00FE4E0D" w:rsidP="00230386">
      <w:pPr>
        <w:jc w:val="both"/>
      </w:pPr>
    </w:p>
    <w:p w:rsidR="00691B86" w:rsidRDefault="00691B86" w:rsidP="008748E5">
      <w:pPr>
        <w:pStyle w:val="BulletedListLevel1"/>
        <w:numPr>
          <w:ilvl w:val="0"/>
          <w:numId w:val="0"/>
        </w:numPr>
        <w:jc w:val="center"/>
        <w:rPr>
          <w:b/>
        </w:rPr>
      </w:pPr>
    </w:p>
    <w:p w:rsidR="00FE4E0D" w:rsidRDefault="00FE4E0D" w:rsidP="008748E5">
      <w:pPr>
        <w:pStyle w:val="BulletedListLevel1"/>
        <w:numPr>
          <w:ilvl w:val="0"/>
          <w:numId w:val="0"/>
        </w:numPr>
        <w:jc w:val="center"/>
        <w:rPr>
          <w:b/>
        </w:rPr>
      </w:pPr>
    </w:p>
    <w:p w:rsidR="00FE4E0D" w:rsidRDefault="00FE4E0D" w:rsidP="008748E5">
      <w:pPr>
        <w:pStyle w:val="BulletedListLevel1"/>
        <w:numPr>
          <w:ilvl w:val="0"/>
          <w:numId w:val="0"/>
        </w:numPr>
        <w:jc w:val="center"/>
        <w:rPr>
          <w:b/>
        </w:rPr>
      </w:pPr>
    </w:p>
    <w:p w:rsidR="00FE4E0D" w:rsidRDefault="00FE4E0D" w:rsidP="008748E5">
      <w:pPr>
        <w:pStyle w:val="BulletedListLevel1"/>
        <w:numPr>
          <w:ilvl w:val="0"/>
          <w:numId w:val="0"/>
        </w:numPr>
        <w:jc w:val="center"/>
        <w:rPr>
          <w:b/>
        </w:rPr>
      </w:pPr>
    </w:p>
    <w:p w:rsidR="00FE4E0D" w:rsidRDefault="00FE4E0D" w:rsidP="008748E5">
      <w:pPr>
        <w:pStyle w:val="BulletedListLevel1"/>
        <w:numPr>
          <w:ilvl w:val="0"/>
          <w:numId w:val="0"/>
        </w:numPr>
        <w:jc w:val="center"/>
        <w:rPr>
          <w:b/>
        </w:rPr>
      </w:pPr>
    </w:p>
    <w:p w:rsidR="00691B86" w:rsidRDefault="00691B86" w:rsidP="00FE4E0D">
      <w:pPr>
        <w:pStyle w:val="BulletedListLevel1"/>
        <w:numPr>
          <w:ilvl w:val="0"/>
          <w:numId w:val="0"/>
        </w:numPr>
        <w:rPr>
          <w:b/>
        </w:rPr>
      </w:pPr>
    </w:p>
    <w:p w:rsidR="008748E5" w:rsidRDefault="008748E5" w:rsidP="00BF5EB9">
      <w:pPr>
        <w:pStyle w:val="BulletedListLevel1"/>
        <w:numPr>
          <w:ilvl w:val="0"/>
          <w:numId w:val="0"/>
        </w:numPr>
        <w:rPr>
          <w:b/>
        </w:rPr>
      </w:pPr>
      <w:r w:rsidRPr="00F51AB2">
        <w:rPr>
          <w:b/>
        </w:rPr>
        <w:t>Figure 1:  Translation of Strategic Priorities into purchasable activities</w:t>
      </w:r>
    </w:p>
    <w:p w:rsidR="00691B86" w:rsidRPr="00F51AB2" w:rsidRDefault="00691B86" w:rsidP="008748E5">
      <w:pPr>
        <w:pStyle w:val="BulletedListLevel1"/>
        <w:numPr>
          <w:ilvl w:val="0"/>
          <w:numId w:val="0"/>
        </w:numPr>
        <w:jc w:val="center"/>
        <w:rPr>
          <w:b/>
        </w:rPr>
      </w:pPr>
    </w:p>
    <w:p w:rsidR="00B60A67" w:rsidRDefault="007C7CE2" w:rsidP="00230386">
      <w:pPr>
        <w:pStyle w:val="BulletedListLevel1"/>
        <w:numPr>
          <w:ilvl w:val="0"/>
          <w:numId w:val="0"/>
        </w:numPr>
        <w:jc w:val="center"/>
      </w:pPr>
      <w:r>
        <w:object w:dxaOrig="7874" w:dyaOrig="7460" w14:anchorId="1A15A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Translation of Strategic Priorities into purchasable activities&#10;&#10;Government Strategic Priorities - why do we purchase and provide the services we deliver? - What do we purchase? - Statement of Purchaser Intent - Service Agreement" style="width:279pt;height:238.5pt" o:ole="">
            <v:imagedata r:id="rId15" o:title=""/>
          </v:shape>
          <o:OLEObject Type="Embed" ProgID="Visio.Drawing.11" ShapeID="_x0000_i1025" DrawAspect="Content" ObjectID="_1599907124" r:id="rId16"/>
        </w:object>
      </w:r>
    </w:p>
    <w:p w:rsidR="006A02B7" w:rsidRDefault="00C64D57" w:rsidP="006A02B7">
      <w:pPr>
        <w:pStyle w:val="BulletedListLevel1"/>
        <w:numPr>
          <w:ilvl w:val="0"/>
          <w:numId w:val="0"/>
        </w:numPr>
        <w:jc w:val="both"/>
      </w:pPr>
      <w:r>
        <w:t>T</w:t>
      </w:r>
      <w:r w:rsidR="008B1171">
        <w:t>his</w:t>
      </w:r>
      <w:r w:rsidR="004A058D">
        <w:t xml:space="preserve"> </w:t>
      </w:r>
      <w:proofErr w:type="spellStart"/>
      <w:r w:rsidR="004A058D">
        <w:t>SoPI</w:t>
      </w:r>
      <w:proofErr w:type="spellEnd"/>
      <w:r w:rsidR="004A058D">
        <w:t xml:space="preserve"> will </w:t>
      </w:r>
      <w:r w:rsidR="00F46E45">
        <w:t>drive</w:t>
      </w:r>
      <w:r w:rsidR="004A058D">
        <w:t xml:space="preserve"> the Service Agreement (SA) via purchasing actions </w:t>
      </w:r>
      <w:r>
        <w:t>targeted at</w:t>
      </w:r>
      <w:r w:rsidR="004A058D">
        <w:t xml:space="preserve"> Acute Admitted Care episodes</w:t>
      </w:r>
      <w:r w:rsidR="00D82AE5">
        <w:t xml:space="preserve"> in the SA schedule</w:t>
      </w:r>
      <w:r w:rsidR="007508D1">
        <w:t xml:space="preserve"> (</w:t>
      </w:r>
      <w:r w:rsidR="004219E3">
        <w:t>F</w:t>
      </w:r>
      <w:r w:rsidR="007508D1">
        <w:t>igure</w:t>
      </w:r>
      <w:r w:rsidR="004219E3">
        <w:t xml:space="preserve"> 2</w:t>
      </w:r>
      <w:r w:rsidR="007508D1">
        <w:t>, solid red box)</w:t>
      </w:r>
      <w:r w:rsidR="004A058D">
        <w:t>.</w:t>
      </w:r>
      <w:r>
        <w:t xml:space="preserve"> The purchasing actions in this iteration of the </w:t>
      </w:r>
      <w:proofErr w:type="spellStart"/>
      <w:r>
        <w:t>SoPI</w:t>
      </w:r>
      <w:proofErr w:type="spellEnd"/>
      <w:r>
        <w:t xml:space="preserve"> do not constitute the full volume of acute admitted care.</w:t>
      </w:r>
      <w:r w:rsidR="004A058D">
        <w:t xml:space="preserve"> </w:t>
      </w:r>
      <w:r w:rsidR="006A02B7">
        <w:t xml:space="preserve">This will maintain the integrity of the link between the funding model and purchasing actions. This will thus have no effect on the funding model. </w:t>
      </w:r>
    </w:p>
    <w:p w:rsidR="008B1171" w:rsidRPr="008B1171" w:rsidRDefault="008B1171" w:rsidP="008B1171">
      <w:pPr>
        <w:pStyle w:val="BulletedListLevel1"/>
        <w:numPr>
          <w:ilvl w:val="0"/>
          <w:numId w:val="0"/>
        </w:numPr>
        <w:rPr>
          <w:b/>
        </w:rPr>
      </w:pPr>
      <w:r>
        <w:rPr>
          <w:b/>
        </w:rPr>
        <w:t>Figure 2: Prop</w:t>
      </w:r>
      <w:r w:rsidRPr="008B1171">
        <w:rPr>
          <w:b/>
        </w:rPr>
        <w:t xml:space="preserve">ortional funding allocation of 2016_17 THS Service Agreement </w:t>
      </w:r>
    </w:p>
    <w:p w:rsidR="006204D3" w:rsidRDefault="007508D1" w:rsidP="006204D3">
      <w:pPr>
        <w:pStyle w:val="BulletedListLevel1"/>
        <w:numPr>
          <w:ilvl w:val="0"/>
          <w:numId w:val="0"/>
        </w:numPr>
        <w:jc w:val="center"/>
      </w:pPr>
      <w:r>
        <w:rPr>
          <w:noProof/>
          <w:lang w:eastAsia="en-AU"/>
        </w:rPr>
        <w:drawing>
          <wp:inline distT="0" distB="0" distL="0" distR="0" wp14:anchorId="771EC411" wp14:editId="5701DDF0">
            <wp:extent cx="4658117" cy="3021177"/>
            <wp:effectExtent l="0" t="0" r="0" b="8255"/>
            <wp:docPr id="21" name="Picture 21" descr="Figure 2: Proportional funding allocation of 2016-17 THS Service Agreement&#10;&#10;Emergency Department - Elective Surgery - Acute Admitted - Non and Sub acute - Block Funded Grants - Non ABF Activity - THS Operational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8332" cy="3021316"/>
                    </a:xfrm>
                    <a:prstGeom prst="rect">
                      <a:avLst/>
                    </a:prstGeom>
                    <a:noFill/>
                  </pic:spPr>
                </pic:pic>
              </a:graphicData>
            </a:graphic>
          </wp:inline>
        </w:drawing>
      </w:r>
    </w:p>
    <w:p w:rsidR="006204D3" w:rsidRDefault="006204D3" w:rsidP="006204D3">
      <w:pPr>
        <w:pStyle w:val="BulletedListLevel1"/>
        <w:numPr>
          <w:ilvl w:val="0"/>
          <w:numId w:val="0"/>
        </w:numPr>
        <w:jc w:val="both"/>
      </w:pPr>
      <w:r>
        <w:t xml:space="preserve">Future </w:t>
      </w:r>
      <w:proofErr w:type="spellStart"/>
      <w:r>
        <w:t>SoPIs</w:t>
      </w:r>
      <w:proofErr w:type="spellEnd"/>
      <w:r>
        <w:t xml:space="preserve"> will expand to include other sectors such as Community Care and conditions that are partly serviced via Block Funding, Non ABF activity or Grant Funded (Figure 2, dotted red box). This will create flexibility for providers to shift care between sectors as appropriate according to resourcing and community needs.</w:t>
      </w:r>
    </w:p>
    <w:p w:rsidR="007508D1" w:rsidRDefault="007508D1" w:rsidP="007508D1">
      <w:pPr>
        <w:pStyle w:val="BulletedListLevel1"/>
        <w:numPr>
          <w:ilvl w:val="0"/>
          <w:numId w:val="0"/>
        </w:numPr>
        <w:jc w:val="center"/>
      </w:pPr>
    </w:p>
    <w:p w:rsidR="00771AEB" w:rsidRDefault="008B1171" w:rsidP="00D82AE5">
      <w:pPr>
        <w:pStyle w:val="BulletedListLevel1"/>
        <w:numPr>
          <w:ilvl w:val="0"/>
          <w:numId w:val="0"/>
        </w:numPr>
        <w:jc w:val="both"/>
      </w:pPr>
      <w:r>
        <w:t>The actual proportion of funding assigned to each condition and its portion of the total funding envelope will be calculated during the dev</w:t>
      </w:r>
      <w:r w:rsidR="00B0606A">
        <w:t>e</w:t>
      </w:r>
      <w:r>
        <w:t xml:space="preserve">lopment of the funding model. The episode volumes shown in the purchasing actions table </w:t>
      </w:r>
      <w:r w:rsidR="006204D3">
        <w:t>in S</w:t>
      </w:r>
      <w:r>
        <w:t xml:space="preserve">ection 6 are based on projections using the </w:t>
      </w:r>
      <w:proofErr w:type="spellStart"/>
      <w:r>
        <w:t>Hardes</w:t>
      </w:r>
      <w:proofErr w:type="spellEnd"/>
      <w:r>
        <w:t xml:space="preserve"> modelling.</w:t>
      </w:r>
    </w:p>
    <w:p w:rsidR="00021F9E" w:rsidRDefault="00D82AE5" w:rsidP="00D82AE5">
      <w:pPr>
        <w:pStyle w:val="BulletedListLevel1"/>
        <w:numPr>
          <w:ilvl w:val="0"/>
          <w:numId w:val="0"/>
        </w:numPr>
        <w:jc w:val="both"/>
      </w:pPr>
      <w:r>
        <w:t>Articulation of purchasing actions</w:t>
      </w:r>
      <w:r w:rsidR="00021F9E">
        <w:t xml:space="preserve"> in the SA</w:t>
      </w:r>
      <w:r>
        <w:t xml:space="preserve"> will therefore shift in time from </w:t>
      </w:r>
      <w:r w:rsidR="00021F9E">
        <w:t xml:space="preserve">the </w:t>
      </w:r>
      <w:r>
        <w:t xml:space="preserve">administrative classification of </w:t>
      </w:r>
      <w:r w:rsidR="00771AEB">
        <w:t xml:space="preserve">purchasing </w:t>
      </w:r>
      <w:r>
        <w:t xml:space="preserve">actions </w:t>
      </w:r>
      <w:r w:rsidR="00FE4E0D">
        <w:t>(</w:t>
      </w:r>
      <w:r w:rsidR="00021F9E">
        <w:t>e.g. Acute Admitted episodes</w:t>
      </w:r>
      <w:r w:rsidR="00F27FFE">
        <w:t>, Non Admitted Care</w:t>
      </w:r>
      <w:r w:rsidR="00FE4E0D">
        <w:t>,</w:t>
      </w:r>
      <w:r w:rsidR="00F27FFE">
        <w:t xml:space="preserve"> etc</w:t>
      </w:r>
      <w:r w:rsidR="00FE4E0D">
        <w:t>.)</w:t>
      </w:r>
      <w:r w:rsidR="00021F9E">
        <w:t xml:space="preserve"> to </w:t>
      </w:r>
      <w:r>
        <w:t xml:space="preserve">condition focused actions. </w:t>
      </w:r>
      <w:r w:rsidR="00F46E45">
        <w:t xml:space="preserve">The apportioning of the total funded episodes </w:t>
      </w:r>
      <w:r w:rsidR="00F27FFE">
        <w:t>is based</w:t>
      </w:r>
      <w:r w:rsidR="00F46E45">
        <w:t xml:space="preserve"> on current activity. In time, the apportioning of episodes may shift according to strategic directions and future population needs</w:t>
      </w:r>
      <w:r w:rsidR="00F27FFE">
        <w:t xml:space="preserve"> and a more sophisticated understanding of future need</w:t>
      </w:r>
      <w:r w:rsidR="00F46E45">
        <w:t>.</w:t>
      </w:r>
    </w:p>
    <w:p w:rsidR="004A058D" w:rsidRDefault="00D82AE5" w:rsidP="00D82AE5">
      <w:pPr>
        <w:pStyle w:val="BulletedListLevel1"/>
        <w:numPr>
          <w:ilvl w:val="0"/>
          <w:numId w:val="0"/>
        </w:numPr>
        <w:jc w:val="both"/>
      </w:pPr>
      <w:r>
        <w:t>The strategic intent behind this move is to create a common language between the DHHS as purchaser, the Government as funder, clinicians as providers and the Tasmanian community as user</w:t>
      </w:r>
      <w:r w:rsidR="006204D3">
        <w:t>s</w:t>
      </w:r>
      <w:r>
        <w:t xml:space="preserve">. This will enable </w:t>
      </w:r>
      <w:r w:rsidR="006204D3">
        <w:t>meaningful</w:t>
      </w:r>
      <w:r>
        <w:t xml:space="preserve"> conversations between the various parties about lifestyle choices, </w:t>
      </w:r>
      <w:proofErr w:type="spellStart"/>
      <w:r>
        <w:t>livability</w:t>
      </w:r>
      <w:proofErr w:type="spellEnd"/>
      <w:r>
        <w:t xml:space="preserve"> of communities and funding choices. </w:t>
      </w:r>
    </w:p>
    <w:p w:rsidR="00DA6838" w:rsidRDefault="00DA6838" w:rsidP="00D82AE5">
      <w:pPr>
        <w:pStyle w:val="BulletedListLevel1"/>
        <w:numPr>
          <w:ilvl w:val="0"/>
          <w:numId w:val="0"/>
        </w:numPr>
        <w:jc w:val="both"/>
      </w:pPr>
      <w:r>
        <w:t xml:space="preserve">One of the challenges going forward will be how to apportion funding of conditions in services that are block / grant funded service multiple conditions.  </w:t>
      </w:r>
    </w:p>
    <w:p w:rsidR="004A058D" w:rsidRDefault="0048341D" w:rsidP="00D82AE5">
      <w:pPr>
        <w:pStyle w:val="BulletedListLevel1"/>
        <w:numPr>
          <w:ilvl w:val="0"/>
          <w:numId w:val="0"/>
        </w:numPr>
        <w:jc w:val="both"/>
      </w:pPr>
      <w:r>
        <w:t>Some purchasing actions such as Injuries / Trauma are targeted specifically at services highlighted in the White Paper and are aimed at capacity building within the service rather than purchasing specific episodes of care.</w:t>
      </w:r>
    </w:p>
    <w:p w:rsidR="0048341D" w:rsidRDefault="0048341D" w:rsidP="00D82AE5">
      <w:pPr>
        <w:pStyle w:val="BulletedListLevel1"/>
        <w:numPr>
          <w:ilvl w:val="0"/>
          <w:numId w:val="0"/>
        </w:numPr>
        <w:jc w:val="both"/>
      </w:pPr>
      <w:r>
        <w:t xml:space="preserve">Lastly, other </w:t>
      </w:r>
      <w:r w:rsidR="002E376F">
        <w:t xml:space="preserve">purchasing </w:t>
      </w:r>
      <w:r>
        <w:t>actions are aimed at qualitative improvements and will be articulated either via KPIs or the DHHS Monitoring Suite e.g. surgery treat in turn</w:t>
      </w:r>
      <w:r w:rsidR="002E376F">
        <w:t xml:space="preserve"> and Mental Health referral for follow after attempted deliberate </w:t>
      </w:r>
      <w:proofErr w:type="spellStart"/>
      <w:r w:rsidR="002E376F">
        <w:t>self harm</w:t>
      </w:r>
      <w:proofErr w:type="spellEnd"/>
      <w:r w:rsidR="002E376F">
        <w:t>.</w:t>
      </w:r>
    </w:p>
    <w:p w:rsidR="004A058D" w:rsidRDefault="004A058D" w:rsidP="004A058D">
      <w:pPr>
        <w:pStyle w:val="BulletedListLevel1"/>
        <w:numPr>
          <w:ilvl w:val="0"/>
          <w:numId w:val="0"/>
        </w:numPr>
        <w:rPr>
          <w:rFonts w:ascii="Calibri" w:hAnsi="Calibri"/>
          <w:szCs w:val="22"/>
        </w:rPr>
      </w:pPr>
    </w:p>
    <w:p w:rsidR="00FE4E0D" w:rsidRDefault="00FE4E0D" w:rsidP="004A058D">
      <w:pPr>
        <w:pStyle w:val="BulletedListLevel1"/>
        <w:numPr>
          <w:ilvl w:val="0"/>
          <w:numId w:val="0"/>
        </w:numPr>
        <w:rPr>
          <w:rFonts w:ascii="Calibri" w:hAnsi="Calibri"/>
          <w:szCs w:val="22"/>
        </w:rPr>
      </w:pPr>
    </w:p>
    <w:p w:rsidR="00FE4E0D" w:rsidRDefault="00FE4E0D" w:rsidP="004A058D">
      <w:pPr>
        <w:pStyle w:val="BulletedListLevel1"/>
        <w:numPr>
          <w:ilvl w:val="0"/>
          <w:numId w:val="0"/>
        </w:numPr>
        <w:rPr>
          <w:rFonts w:ascii="Calibri" w:hAnsi="Calibri"/>
          <w:szCs w:val="22"/>
        </w:rPr>
      </w:pPr>
    </w:p>
    <w:p w:rsidR="00FE4E0D" w:rsidRDefault="00FE4E0D" w:rsidP="004A058D">
      <w:pPr>
        <w:pStyle w:val="BulletedListLevel1"/>
        <w:numPr>
          <w:ilvl w:val="0"/>
          <w:numId w:val="0"/>
        </w:numPr>
        <w:rPr>
          <w:rFonts w:ascii="Calibri" w:hAnsi="Calibri"/>
          <w:szCs w:val="22"/>
        </w:rPr>
      </w:pPr>
    </w:p>
    <w:p w:rsidR="00FE4E0D" w:rsidRPr="00FE4E0D" w:rsidRDefault="00FE4E0D" w:rsidP="00FE4E0D">
      <w:pPr>
        <w:pStyle w:val="BulletedListLevel1"/>
        <w:numPr>
          <w:ilvl w:val="0"/>
          <w:numId w:val="0"/>
        </w:numPr>
        <w:jc w:val="both"/>
      </w:pPr>
      <w:r w:rsidRPr="00FE4E0D">
        <w:t xml:space="preserve">Michael </w:t>
      </w:r>
      <w:proofErr w:type="spellStart"/>
      <w:r w:rsidRPr="00FE4E0D">
        <w:t>Pervan</w:t>
      </w:r>
      <w:proofErr w:type="spellEnd"/>
      <w:r w:rsidRPr="00FE4E0D">
        <w:t xml:space="preserve"> </w:t>
      </w:r>
    </w:p>
    <w:p w:rsidR="00FE4E0D" w:rsidRPr="00FE4E0D" w:rsidRDefault="00FE4E0D" w:rsidP="00FE4E0D">
      <w:pPr>
        <w:pStyle w:val="BulletedListLevel1"/>
        <w:numPr>
          <w:ilvl w:val="0"/>
          <w:numId w:val="0"/>
        </w:numPr>
        <w:jc w:val="both"/>
      </w:pPr>
      <w:r w:rsidRPr="00FE4E0D">
        <w:t>Secretary</w:t>
      </w:r>
      <w:r>
        <w:t>, DHHS</w:t>
      </w:r>
    </w:p>
    <w:p w:rsidR="00FE4E0D" w:rsidRPr="00FE4E0D" w:rsidRDefault="00FE4E0D" w:rsidP="00FE4E0D">
      <w:pPr>
        <w:pStyle w:val="BulletedListLevel1"/>
        <w:numPr>
          <w:ilvl w:val="0"/>
          <w:numId w:val="0"/>
        </w:numPr>
        <w:jc w:val="both"/>
      </w:pPr>
      <w:r w:rsidRPr="00FE4E0D">
        <w:t>October 2016</w:t>
      </w:r>
    </w:p>
    <w:p w:rsidR="00AC4B59" w:rsidRDefault="00AC4B59" w:rsidP="000C74B6">
      <w:pPr>
        <w:pStyle w:val="Heading1numbered"/>
        <w:tabs>
          <w:tab w:val="clear" w:pos="1276"/>
        </w:tabs>
        <w:ind w:left="851"/>
      </w:pPr>
      <w:bookmarkStart w:id="3" w:name="_Toc463254920"/>
      <w:r>
        <w:t>Executive Summary</w:t>
      </w:r>
      <w:bookmarkEnd w:id="3"/>
    </w:p>
    <w:p w:rsidR="00B21B70" w:rsidRDefault="00B21B70" w:rsidP="00ED3AD6">
      <w:pPr>
        <w:pStyle w:val="BulletedListLevel1"/>
        <w:numPr>
          <w:ilvl w:val="0"/>
          <w:numId w:val="0"/>
        </w:numPr>
        <w:jc w:val="both"/>
      </w:pPr>
      <w:r>
        <w:t xml:space="preserve">The purchasing intentions </w:t>
      </w:r>
      <w:r w:rsidR="00EB0E7F">
        <w:rPr>
          <w:lang w:val="en-US"/>
        </w:rPr>
        <w:t>outlined in</w:t>
      </w:r>
      <w:r>
        <w:t xml:space="preserve"> th</w:t>
      </w:r>
      <w:r w:rsidR="00BD3D98">
        <w:t>is</w:t>
      </w:r>
      <w:r>
        <w:t xml:space="preserve"> </w:t>
      </w:r>
      <w:proofErr w:type="spellStart"/>
      <w:r>
        <w:t>SoP</w:t>
      </w:r>
      <w:r w:rsidR="00BF7386">
        <w:t>I</w:t>
      </w:r>
      <w:proofErr w:type="spellEnd"/>
      <w:r w:rsidR="00BF7386">
        <w:t xml:space="preserve"> (</w:t>
      </w:r>
      <w:r w:rsidR="00BD3D98">
        <w:t>2017</w:t>
      </w:r>
      <w:r w:rsidR="00AD3D67">
        <w:t>-</w:t>
      </w:r>
      <w:r w:rsidR="00BD3D98">
        <w:t>18</w:t>
      </w:r>
      <w:r w:rsidR="00BF7386">
        <w:t>)</w:t>
      </w:r>
      <w:r>
        <w:t xml:space="preserve"> </w:t>
      </w:r>
      <w:r w:rsidR="00EB0E7F">
        <w:rPr>
          <w:lang w:val="en-US"/>
        </w:rPr>
        <w:t>are</w:t>
      </w:r>
      <w:r>
        <w:t xml:space="preserve"> </w:t>
      </w:r>
      <w:r w:rsidR="00ED3AD6">
        <w:t>shaped</w:t>
      </w:r>
      <w:r>
        <w:t xml:space="preserve"> primarily by </w:t>
      </w:r>
      <w:r w:rsidR="00EB0E7F">
        <w:rPr>
          <w:lang w:val="en-US"/>
        </w:rPr>
        <w:t xml:space="preserve">identifying and responding to the causes of the </w:t>
      </w:r>
      <w:r w:rsidR="00ED3AD6">
        <w:t>greatest burden of disease</w:t>
      </w:r>
      <w:r>
        <w:t xml:space="preserve"> </w:t>
      </w:r>
      <w:r w:rsidR="00ED3AD6">
        <w:t>for</w:t>
      </w:r>
      <w:r>
        <w:t xml:space="preserve"> Tasmanians</w:t>
      </w:r>
      <w:r w:rsidR="00EB0E7F">
        <w:rPr>
          <w:lang w:val="en-US"/>
        </w:rPr>
        <w:t>,</w:t>
      </w:r>
      <w:r>
        <w:t xml:space="preserve"> </w:t>
      </w:r>
      <w:r w:rsidR="00ED3AD6">
        <w:t>along</w:t>
      </w:r>
      <w:r w:rsidR="00EB0E7F">
        <w:rPr>
          <w:lang w:val="en-US"/>
        </w:rPr>
        <w:t>side previously articulated</w:t>
      </w:r>
      <w:r w:rsidR="00ED3AD6">
        <w:t xml:space="preserve"> </w:t>
      </w:r>
      <w:r>
        <w:t xml:space="preserve">Government health priorities. </w:t>
      </w:r>
      <w:r w:rsidR="005A62AB">
        <w:t xml:space="preserve">It aims to ensure that health service delivery </w:t>
      </w:r>
      <w:r w:rsidR="00EB0E7F">
        <w:rPr>
          <w:lang w:val="en-US"/>
        </w:rPr>
        <w:t>is</w:t>
      </w:r>
      <w:r w:rsidR="005A62AB">
        <w:t xml:space="preserve"> planned, </w:t>
      </w:r>
      <w:r w:rsidR="00EB0E7F">
        <w:rPr>
          <w:lang w:val="en-US"/>
        </w:rPr>
        <w:t>purchased</w:t>
      </w:r>
      <w:r w:rsidR="00EB0E7F">
        <w:t xml:space="preserve"> </w:t>
      </w:r>
      <w:r w:rsidR="005A62AB">
        <w:t>and managed to deliver high quality patient outcomes</w:t>
      </w:r>
      <w:r w:rsidR="006B12BD">
        <w:rPr>
          <w:lang w:val="en-US"/>
        </w:rPr>
        <w:t xml:space="preserve"> at both </w:t>
      </w:r>
      <w:r w:rsidR="00ED7081">
        <w:rPr>
          <w:lang w:val="en-US"/>
        </w:rPr>
        <w:t xml:space="preserve">individual and community levels </w:t>
      </w:r>
      <w:r w:rsidR="006B12BD">
        <w:rPr>
          <w:lang w:val="en-US"/>
        </w:rPr>
        <w:t>within the available financial resources.</w:t>
      </w:r>
      <w:r w:rsidR="005A62AB">
        <w:t xml:space="preserve"> </w:t>
      </w:r>
    </w:p>
    <w:p w:rsidR="00B21B70" w:rsidRDefault="00B21B70" w:rsidP="00ED3AD6">
      <w:pPr>
        <w:pStyle w:val="BulletedListLevel1"/>
        <w:numPr>
          <w:ilvl w:val="0"/>
          <w:numId w:val="0"/>
        </w:numPr>
        <w:jc w:val="both"/>
      </w:pPr>
      <w:r>
        <w:t>The evidence base used for th</w:t>
      </w:r>
      <w:r w:rsidR="00BF7386">
        <w:t>is</w:t>
      </w:r>
      <w:r>
        <w:t xml:space="preserve"> </w:t>
      </w:r>
      <w:proofErr w:type="spellStart"/>
      <w:r>
        <w:t>SoPI</w:t>
      </w:r>
      <w:proofErr w:type="spellEnd"/>
      <w:r>
        <w:t xml:space="preserve"> consists</w:t>
      </w:r>
      <w:r w:rsidR="006B12BD">
        <w:rPr>
          <w:lang w:val="en-US"/>
        </w:rPr>
        <w:t>, in part,</w:t>
      </w:r>
      <w:r>
        <w:t xml:space="preserve"> of a range of reports, the most central being the Australian Institute of Health and Welfare (AIHW) </w:t>
      </w:r>
      <w:r w:rsidR="00BD3D98">
        <w:rPr>
          <w:rFonts w:cs="MyriadPro-Regular"/>
          <w:lang w:eastAsia="en-AU"/>
        </w:rPr>
        <w:t>report on ‘</w:t>
      </w:r>
      <w:r w:rsidR="00BD3D98" w:rsidRPr="009D0E10">
        <w:rPr>
          <w:rFonts w:cs="MyriadPro-Regular"/>
          <w:i/>
          <w:lang w:eastAsia="en-AU"/>
        </w:rPr>
        <w:t>Australian Burden of Disease Study 2011</w:t>
      </w:r>
      <w:r w:rsidR="00BD3D98">
        <w:rPr>
          <w:rFonts w:cs="MyriadPro-Regular"/>
          <w:i/>
          <w:lang w:eastAsia="en-AU"/>
        </w:rPr>
        <w:t xml:space="preserve">’ </w:t>
      </w:r>
      <w:r>
        <w:t xml:space="preserve"> with specific reference to Tasmanian data</w:t>
      </w:r>
      <w:r w:rsidR="00437355">
        <w:t>,</w:t>
      </w:r>
      <w:r w:rsidR="003712CB">
        <w:t xml:space="preserve"> and the Department’s </w:t>
      </w:r>
      <w:r w:rsidR="003712CB" w:rsidRPr="00BD3D98">
        <w:rPr>
          <w:i/>
        </w:rPr>
        <w:t>‘Health Indicators Tasmania 2013’</w:t>
      </w:r>
      <w:r w:rsidR="003712CB">
        <w:t xml:space="preserve"> which brings together the key markers of </w:t>
      </w:r>
      <w:r w:rsidR="00B27610">
        <w:rPr>
          <w:lang w:val="en-US"/>
        </w:rPr>
        <w:t xml:space="preserve">the </w:t>
      </w:r>
      <w:r w:rsidR="003712CB">
        <w:t>health</w:t>
      </w:r>
      <w:r w:rsidR="00B27610">
        <w:rPr>
          <w:lang w:val="en-US"/>
        </w:rPr>
        <w:t xml:space="preserve"> of Tasmanians</w:t>
      </w:r>
      <w:r w:rsidR="003712CB">
        <w:t>.</w:t>
      </w:r>
    </w:p>
    <w:p w:rsidR="009C0EF1" w:rsidRDefault="009C0EF1" w:rsidP="00ED3AD6">
      <w:pPr>
        <w:pStyle w:val="BulletedListLevel1"/>
        <w:numPr>
          <w:ilvl w:val="0"/>
          <w:numId w:val="0"/>
        </w:numPr>
        <w:ind w:left="567" w:hanging="567"/>
        <w:jc w:val="both"/>
      </w:pPr>
      <w:r>
        <w:t xml:space="preserve">The </w:t>
      </w:r>
      <w:proofErr w:type="spellStart"/>
      <w:r>
        <w:t>SoPI</w:t>
      </w:r>
      <w:proofErr w:type="spellEnd"/>
      <w:r>
        <w:t xml:space="preserve"> is informed by three key inputs:</w:t>
      </w:r>
    </w:p>
    <w:p w:rsidR="009C0EF1" w:rsidRDefault="009C0EF1" w:rsidP="00455D71">
      <w:pPr>
        <w:pStyle w:val="ListBullet"/>
      </w:pPr>
      <w:r>
        <w:t xml:space="preserve">Health priorities </w:t>
      </w:r>
      <w:r w:rsidR="00423D76">
        <w:t>(</w:t>
      </w:r>
      <w:r>
        <w:t>supported by evidence for health needs of Tasmanians as articulated by independent agencies and G</w:t>
      </w:r>
      <w:r w:rsidR="0068261D">
        <w:t>overnment health priorities</w:t>
      </w:r>
      <w:r w:rsidR="00423D76">
        <w:t>)</w:t>
      </w:r>
    </w:p>
    <w:p w:rsidR="009C0EF1" w:rsidRDefault="009C0EF1" w:rsidP="00455D71">
      <w:pPr>
        <w:pStyle w:val="ListBullet"/>
      </w:pPr>
      <w:r>
        <w:t xml:space="preserve">Tasmanian Role Delineation Framework (TRDF) and </w:t>
      </w:r>
      <w:r w:rsidR="0068261D">
        <w:t xml:space="preserve">Tasmanian </w:t>
      </w:r>
      <w:r>
        <w:t xml:space="preserve">Clinical Service Profile </w:t>
      </w:r>
      <w:r w:rsidR="0068261D">
        <w:t>(TCSP)</w:t>
      </w:r>
    </w:p>
    <w:p w:rsidR="009C0EF1" w:rsidRDefault="009C0EF1" w:rsidP="00455D71">
      <w:pPr>
        <w:pStyle w:val="ListBullet"/>
      </w:pPr>
      <w:r>
        <w:t>Treasury budget input</w:t>
      </w:r>
      <w:r w:rsidR="00DF5FC5">
        <w:t>.</w:t>
      </w:r>
    </w:p>
    <w:p w:rsidR="009C0EF1" w:rsidRDefault="00DF5FC5" w:rsidP="00ED3AD6">
      <w:pPr>
        <w:pStyle w:val="BulletedListLevel1"/>
        <w:numPr>
          <w:ilvl w:val="0"/>
          <w:numId w:val="0"/>
        </w:numPr>
        <w:jc w:val="both"/>
      </w:pPr>
      <w:r>
        <w:t xml:space="preserve">To support the Government’s </w:t>
      </w:r>
      <w:r w:rsidR="00CA6E10">
        <w:t xml:space="preserve">agreed </w:t>
      </w:r>
      <w:r>
        <w:t>vision, principles and strategic priorities, t</w:t>
      </w:r>
      <w:r w:rsidR="009C0EF1">
        <w:t xml:space="preserve">he </w:t>
      </w:r>
      <w:r>
        <w:t xml:space="preserve">Planning, Purchasing and Performance Group has developed a set of </w:t>
      </w:r>
      <w:r w:rsidR="009C0EF1">
        <w:t>Purchas</w:t>
      </w:r>
      <w:r w:rsidR="00B2669F">
        <w:t>er</w:t>
      </w:r>
      <w:r w:rsidR="009C0EF1">
        <w:t xml:space="preserve"> Principles</w:t>
      </w:r>
      <w:r>
        <w:t xml:space="preserve"> to guide health service planning and delivery in Tasmania</w:t>
      </w:r>
      <w:r w:rsidR="00A74C2D">
        <w:rPr>
          <w:lang w:val="en-US"/>
        </w:rPr>
        <w:t>,</w:t>
      </w:r>
      <w:r>
        <w:t xml:space="preserve"> that</w:t>
      </w:r>
      <w:r w:rsidR="009C0EF1">
        <w:t>:</w:t>
      </w:r>
    </w:p>
    <w:p w:rsidR="009C0EF1" w:rsidRDefault="009C0EF1" w:rsidP="00455D71">
      <w:pPr>
        <w:pStyle w:val="ListBullet"/>
      </w:pPr>
      <w:r>
        <w:t>targets the health needs of Tasmanians</w:t>
      </w:r>
    </w:p>
    <w:p w:rsidR="009C0EF1" w:rsidRDefault="009C0EF1" w:rsidP="00455D71">
      <w:pPr>
        <w:pStyle w:val="ListBullet"/>
      </w:pPr>
      <w:r>
        <w:t>supports</w:t>
      </w:r>
      <w:r w:rsidR="00A74C2D">
        <w:rPr>
          <w:lang w:val="en-US"/>
        </w:rPr>
        <w:t xml:space="preserve"> equitable</w:t>
      </w:r>
      <w:r>
        <w:t xml:space="preserve"> access to </w:t>
      </w:r>
      <w:r w:rsidR="00DF5FC5">
        <w:t>quality</w:t>
      </w:r>
      <w:r>
        <w:t xml:space="preserve"> care</w:t>
      </w:r>
    </w:p>
    <w:p w:rsidR="009C0EF1" w:rsidRDefault="009C0EF1" w:rsidP="00455D71">
      <w:pPr>
        <w:pStyle w:val="ListBullet"/>
      </w:pPr>
      <w:r>
        <w:t>prioritises access to care that is fair and affordable</w:t>
      </w:r>
      <w:r w:rsidR="00A74C2D">
        <w:rPr>
          <w:lang w:val="en-US"/>
        </w:rPr>
        <w:t>, and</w:t>
      </w:r>
    </w:p>
    <w:p w:rsidR="009C0EF1" w:rsidRDefault="00A74C2D" w:rsidP="00455D71">
      <w:pPr>
        <w:pStyle w:val="ListBullet"/>
      </w:pPr>
      <w:proofErr w:type="gramStart"/>
      <w:r>
        <w:rPr>
          <w:lang w:val="en-US"/>
        </w:rPr>
        <w:t>supports</w:t>
      </w:r>
      <w:proofErr w:type="gramEnd"/>
      <w:r>
        <w:rPr>
          <w:lang w:val="en-US"/>
        </w:rPr>
        <w:t xml:space="preserve"> </w:t>
      </w:r>
      <w:r w:rsidR="00DF5FC5">
        <w:t>new</w:t>
      </w:r>
      <w:r>
        <w:rPr>
          <w:lang w:val="en-US"/>
        </w:rPr>
        <w:t>,</w:t>
      </w:r>
      <w:r w:rsidR="00DF5FC5">
        <w:t xml:space="preserve"> </w:t>
      </w:r>
      <w:r w:rsidR="009C0EF1">
        <w:t>innovative and affordable models of care</w:t>
      </w:r>
      <w:r w:rsidR="00DF5FC5">
        <w:t>.</w:t>
      </w:r>
    </w:p>
    <w:p w:rsidR="00654F69" w:rsidRDefault="009C0EF1" w:rsidP="00ED3AD6">
      <w:pPr>
        <w:pStyle w:val="BulletedListLevel1"/>
        <w:numPr>
          <w:ilvl w:val="0"/>
          <w:numId w:val="0"/>
        </w:numPr>
        <w:jc w:val="both"/>
      </w:pPr>
      <w:r>
        <w:t xml:space="preserve">The </w:t>
      </w:r>
      <w:proofErr w:type="spellStart"/>
      <w:r>
        <w:t>SoPI</w:t>
      </w:r>
      <w:proofErr w:type="spellEnd"/>
      <w:r>
        <w:t xml:space="preserve"> </w:t>
      </w:r>
      <w:r w:rsidR="00AD3D67">
        <w:t xml:space="preserve">(2017-18) </w:t>
      </w:r>
      <w:r>
        <w:t>focus</w:t>
      </w:r>
      <w:r w:rsidR="009358E1">
        <w:t>es</w:t>
      </w:r>
      <w:r>
        <w:t xml:space="preserve"> on </w:t>
      </w:r>
      <w:r w:rsidR="00C90497">
        <w:t xml:space="preserve">the outcomes of </w:t>
      </w:r>
      <w:r w:rsidR="009358E1">
        <w:t xml:space="preserve">the </w:t>
      </w:r>
      <w:r w:rsidR="00C90497">
        <w:t>key health drivers in Tasmania with emphasis on</w:t>
      </w:r>
      <w:r w:rsidR="00654F69">
        <w:t>:</w:t>
      </w:r>
      <w:r w:rsidR="00C90497">
        <w:t xml:space="preserve"> </w:t>
      </w:r>
    </w:p>
    <w:p w:rsidR="00654F69" w:rsidRDefault="00C90497" w:rsidP="00A33018">
      <w:pPr>
        <w:pStyle w:val="BulletedListLevel1"/>
        <w:numPr>
          <w:ilvl w:val="0"/>
          <w:numId w:val="28"/>
        </w:numPr>
        <w:ind w:hanging="513"/>
        <w:jc w:val="both"/>
      </w:pPr>
      <w:r>
        <w:t xml:space="preserve">those conditions that </w:t>
      </w:r>
      <w:r w:rsidR="008B297D">
        <w:rPr>
          <w:lang w:val="en-US"/>
        </w:rPr>
        <w:t>drive</w:t>
      </w:r>
      <w:r w:rsidR="008B297D">
        <w:t xml:space="preserve"> </w:t>
      </w:r>
      <w:r>
        <w:t>the greatest burden of disease for Tasmanians</w:t>
      </w:r>
      <w:r w:rsidR="00AB12E2">
        <w:t xml:space="preserve"> an</w:t>
      </w:r>
      <w:r w:rsidR="00ED3AD6">
        <w:t xml:space="preserve">d </w:t>
      </w:r>
    </w:p>
    <w:p w:rsidR="00CE62C9" w:rsidRDefault="00ED3AD6" w:rsidP="00A33018">
      <w:pPr>
        <w:pStyle w:val="BulletedListLevel1"/>
        <w:numPr>
          <w:ilvl w:val="0"/>
          <w:numId w:val="28"/>
        </w:numPr>
        <w:ind w:hanging="513"/>
        <w:jc w:val="both"/>
      </w:pPr>
      <w:r>
        <w:t xml:space="preserve">Elective Surgery requirements based around the status of the </w:t>
      </w:r>
      <w:r w:rsidR="004E413C">
        <w:t>Elective Surgery Wait</w:t>
      </w:r>
      <w:r w:rsidR="00FA28FF">
        <w:t>ing</w:t>
      </w:r>
      <w:r w:rsidR="004E413C">
        <w:t xml:space="preserve"> List (</w:t>
      </w:r>
      <w:r>
        <w:t>ESWL</w:t>
      </w:r>
      <w:r w:rsidR="004E413C">
        <w:t>)</w:t>
      </w:r>
      <w:r>
        <w:t>.</w:t>
      </w:r>
    </w:p>
    <w:p w:rsidR="00CE62C9" w:rsidRDefault="00AB12E2" w:rsidP="00ED3AD6">
      <w:pPr>
        <w:pStyle w:val="BulletedListLevel1"/>
        <w:numPr>
          <w:ilvl w:val="0"/>
          <w:numId w:val="0"/>
        </w:numPr>
        <w:jc w:val="both"/>
      </w:pPr>
      <w:r>
        <w:t>T</w:t>
      </w:r>
      <w:r w:rsidR="009C0EF1">
        <w:t xml:space="preserve">he </w:t>
      </w:r>
      <w:r w:rsidR="008B297D">
        <w:rPr>
          <w:lang w:val="en-US"/>
        </w:rPr>
        <w:t xml:space="preserve">followings groupings of </w:t>
      </w:r>
      <w:r w:rsidR="009C0EF1">
        <w:t>health conditions account for eighty percent of the burden of disease for the Tasmanian population</w:t>
      </w:r>
      <w:r w:rsidR="00CE62C9">
        <w:t>:</w:t>
      </w:r>
    </w:p>
    <w:p w:rsidR="00CE62C9" w:rsidRDefault="00CE62C9" w:rsidP="00455D71">
      <w:pPr>
        <w:pStyle w:val="ListBullet"/>
      </w:pPr>
      <w:r>
        <w:t>Respiratory Disease</w:t>
      </w:r>
    </w:p>
    <w:p w:rsidR="00CE62C9" w:rsidRDefault="00CE62C9" w:rsidP="00455D71">
      <w:pPr>
        <w:pStyle w:val="ListBullet"/>
      </w:pPr>
      <w:r>
        <w:t>Neurological Disease</w:t>
      </w:r>
    </w:p>
    <w:p w:rsidR="00CE62C9" w:rsidRDefault="00CE62C9" w:rsidP="00455D71">
      <w:pPr>
        <w:pStyle w:val="ListBullet"/>
      </w:pPr>
      <w:r>
        <w:t>Cardiovascular Disease</w:t>
      </w:r>
    </w:p>
    <w:p w:rsidR="00CE62C9" w:rsidRDefault="00CE62C9" w:rsidP="00455D71">
      <w:pPr>
        <w:pStyle w:val="ListBullet"/>
      </w:pPr>
      <w:r>
        <w:t>Cancer and Other Neoplasms</w:t>
      </w:r>
    </w:p>
    <w:p w:rsidR="00CE62C9" w:rsidRDefault="00CE62C9" w:rsidP="00455D71">
      <w:pPr>
        <w:pStyle w:val="ListBullet"/>
      </w:pPr>
      <w:r>
        <w:t>Injuries (</w:t>
      </w:r>
      <w:proofErr w:type="spellStart"/>
      <w:r>
        <w:t>includ</w:t>
      </w:r>
      <w:r w:rsidR="00FB133E">
        <w:rPr>
          <w:lang w:val="en-US"/>
        </w:rPr>
        <w:t>ing</w:t>
      </w:r>
      <w:proofErr w:type="spellEnd"/>
      <w:r>
        <w:t xml:space="preserve"> Deliberate Self Harm)</w:t>
      </w:r>
    </w:p>
    <w:p w:rsidR="00CE62C9" w:rsidRDefault="00CE62C9" w:rsidP="00455D71">
      <w:pPr>
        <w:pStyle w:val="ListBullet"/>
      </w:pPr>
      <w:r>
        <w:t>Musculoskeletal conditions</w:t>
      </w:r>
    </w:p>
    <w:p w:rsidR="00CE62C9" w:rsidRDefault="00CE62C9" w:rsidP="00455D71">
      <w:pPr>
        <w:pStyle w:val="ListBullet"/>
      </w:pPr>
      <w:r>
        <w:t>Oral Disorders</w:t>
      </w:r>
    </w:p>
    <w:p w:rsidR="00CE62C9" w:rsidRDefault="00CE62C9" w:rsidP="00455D71">
      <w:pPr>
        <w:pStyle w:val="ListBullet"/>
      </w:pPr>
      <w:r>
        <w:t>Hearing and Vision Disorders</w:t>
      </w:r>
    </w:p>
    <w:p w:rsidR="00312BC3" w:rsidRDefault="00312BC3" w:rsidP="00ED3AD6">
      <w:pPr>
        <w:pStyle w:val="BulletedListLevel1"/>
        <w:numPr>
          <w:ilvl w:val="0"/>
          <w:numId w:val="0"/>
        </w:numPr>
        <w:tabs>
          <w:tab w:val="clear" w:pos="1134"/>
        </w:tabs>
        <w:jc w:val="both"/>
      </w:pPr>
      <w:r>
        <w:t xml:space="preserve">Purchasing actions will centre </w:t>
      </w:r>
      <w:r w:rsidR="00102BC7">
        <w:t>on</w:t>
      </w:r>
      <w:r>
        <w:t xml:space="preserve"> these conditions.</w:t>
      </w:r>
    </w:p>
    <w:p w:rsidR="00AB12E2" w:rsidRDefault="009C0EF1" w:rsidP="00ED3AD6">
      <w:pPr>
        <w:pStyle w:val="BulletedListLevel1"/>
        <w:numPr>
          <w:ilvl w:val="0"/>
          <w:numId w:val="0"/>
        </w:numPr>
        <w:tabs>
          <w:tab w:val="clear" w:pos="1134"/>
        </w:tabs>
        <w:jc w:val="both"/>
      </w:pPr>
      <w:r>
        <w:t xml:space="preserve">Elective Surgery purchasing actions </w:t>
      </w:r>
      <w:r w:rsidR="00FB133E">
        <w:rPr>
          <w:lang w:val="en-US"/>
        </w:rPr>
        <w:t>focus</w:t>
      </w:r>
      <w:r w:rsidR="00FB133E">
        <w:t xml:space="preserve"> </w:t>
      </w:r>
      <w:r>
        <w:t xml:space="preserve">on </w:t>
      </w:r>
      <w:r w:rsidR="00AB12E2">
        <w:t xml:space="preserve">baseline </w:t>
      </w:r>
      <w:r>
        <w:t xml:space="preserve">volumes required to </w:t>
      </w:r>
      <w:r w:rsidR="00645A86">
        <w:t xml:space="preserve">achieve and </w:t>
      </w:r>
      <w:r>
        <w:t>maintain</w:t>
      </w:r>
      <w:r w:rsidR="00CE62C9">
        <w:t xml:space="preserve"> </w:t>
      </w:r>
      <w:r w:rsidR="00A11439">
        <w:t xml:space="preserve">acceptable </w:t>
      </w:r>
      <w:r w:rsidR="00645A86">
        <w:t>elective surgery waiting times</w:t>
      </w:r>
      <w:r w:rsidR="00AB12E2">
        <w:t xml:space="preserve"> and to ensure fairness in waiting list management</w:t>
      </w:r>
      <w:r>
        <w:t>.</w:t>
      </w:r>
      <w:r w:rsidR="00AB12E2">
        <w:t xml:space="preserve"> </w:t>
      </w:r>
      <w:r w:rsidR="006701BD">
        <w:rPr>
          <w:lang w:val="en-US"/>
        </w:rPr>
        <w:t>G</w:t>
      </w:r>
      <w:proofErr w:type="spellStart"/>
      <w:r w:rsidR="00AB12E2">
        <w:t>reater</w:t>
      </w:r>
      <w:proofErr w:type="spellEnd"/>
      <w:r w:rsidR="00AB12E2">
        <w:t xml:space="preserve"> sophistication in Elective and Emergency surgery purchasing will </w:t>
      </w:r>
      <w:r w:rsidR="007C40AA">
        <w:rPr>
          <w:lang w:val="en-US"/>
        </w:rPr>
        <w:t>characterize</w:t>
      </w:r>
      <w:r w:rsidR="007C40AA">
        <w:t xml:space="preserve"> </w:t>
      </w:r>
      <w:r w:rsidR="00AB12E2">
        <w:t xml:space="preserve">future </w:t>
      </w:r>
      <w:proofErr w:type="spellStart"/>
      <w:r w:rsidR="00AB12E2">
        <w:t>SoPIs</w:t>
      </w:r>
      <w:proofErr w:type="spellEnd"/>
      <w:r w:rsidR="00AB12E2">
        <w:t>.</w:t>
      </w:r>
    </w:p>
    <w:p w:rsidR="009C0EF1" w:rsidRDefault="009C0EF1" w:rsidP="00ED3AD6">
      <w:pPr>
        <w:pStyle w:val="BulletedListLevel1"/>
        <w:numPr>
          <w:ilvl w:val="0"/>
          <w:numId w:val="0"/>
        </w:numPr>
        <w:jc w:val="both"/>
      </w:pPr>
      <w:r>
        <w:t xml:space="preserve">Future </w:t>
      </w:r>
      <w:proofErr w:type="spellStart"/>
      <w:r w:rsidR="00E851D3">
        <w:rPr>
          <w:lang w:val="en-US"/>
        </w:rPr>
        <w:t>SoPIs</w:t>
      </w:r>
      <w:proofErr w:type="spellEnd"/>
      <w:r w:rsidR="00E851D3">
        <w:rPr>
          <w:lang w:val="en-US"/>
        </w:rPr>
        <w:t xml:space="preserve"> will </w:t>
      </w:r>
      <w:r w:rsidR="002B48C7">
        <w:t xml:space="preserve">develop </w:t>
      </w:r>
      <w:r>
        <w:t>purchasing intentions</w:t>
      </w:r>
      <w:r w:rsidR="007D5534">
        <w:t xml:space="preserve"> a</w:t>
      </w:r>
      <w:r w:rsidR="00A11439">
        <w:t>n</w:t>
      </w:r>
      <w:r w:rsidR="007D5534">
        <w:t xml:space="preserve">d priorities </w:t>
      </w:r>
      <w:r w:rsidR="007C40AA">
        <w:t xml:space="preserve">in </w:t>
      </w:r>
      <w:r w:rsidR="00E851D3">
        <w:rPr>
          <w:lang w:val="en-US"/>
        </w:rPr>
        <w:t>the following areas</w:t>
      </w:r>
      <w:r>
        <w:t xml:space="preserve">: </w:t>
      </w:r>
    </w:p>
    <w:p w:rsidR="0069783F" w:rsidRDefault="009358E1" w:rsidP="00455D71">
      <w:pPr>
        <w:pStyle w:val="ListBullet"/>
      </w:pPr>
      <w:r>
        <w:t xml:space="preserve">Purchasing for complexity in </w:t>
      </w:r>
      <w:r w:rsidR="0069783F">
        <w:t>Chronic Disease</w:t>
      </w:r>
      <w:r>
        <w:t xml:space="preserve"> e.g. </w:t>
      </w:r>
      <w:r w:rsidR="0069783F">
        <w:t>Multi-morbidity</w:t>
      </w:r>
      <w:r w:rsidR="006B2506">
        <w:rPr>
          <w:lang w:val="en-US"/>
        </w:rPr>
        <w:t xml:space="preserve">, </w:t>
      </w:r>
      <w:r w:rsidR="00CF5DD9">
        <w:rPr>
          <w:lang w:val="en-US"/>
        </w:rPr>
        <w:t>in-community management (i.e. Hospital avoidance) or quality of life measures</w:t>
      </w:r>
    </w:p>
    <w:p w:rsidR="006754DE" w:rsidRDefault="006754DE" w:rsidP="00455D71">
      <w:pPr>
        <w:pStyle w:val="ListBullet"/>
      </w:pPr>
      <w:r>
        <w:t xml:space="preserve">Target other </w:t>
      </w:r>
      <w:r w:rsidR="006B2506">
        <w:rPr>
          <w:lang w:val="en-US"/>
        </w:rPr>
        <w:t xml:space="preserve">contributory </w:t>
      </w:r>
      <w:r>
        <w:t xml:space="preserve">health conditions such as smoking, overweight and </w:t>
      </w:r>
      <w:r w:rsidR="006B2506">
        <w:rPr>
          <w:lang w:val="en-US"/>
        </w:rPr>
        <w:t>substance abuse</w:t>
      </w:r>
    </w:p>
    <w:p w:rsidR="009C0EF1" w:rsidRDefault="009C0EF1" w:rsidP="00455D71">
      <w:pPr>
        <w:pStyle w:val="ListBullet"/>
      </w:pPr>
      <w:r>
        <w:t>Sector purchasing</w:t>
      </w:r>
      <w:r w:rsidR="009358E1">
        <w:t xml:space="preserve"> </w:t>
      </w:r>
      <w:r w:rsidR="00B52B46">
        <w:t>(</w:t>
      </w:r>
      <w:r w:rsidR="009358E1">
        <w:t xml:space="preserve">e.g. </w:t>
      </w:r>
      <w:r w:rsidR="00B52B46">
        <w:t>c</w:t>
      </w:r>
      <w:r w:rsidR="009358E1">
        <w:t>ommunity</w:t>
      </w:r>
      <w:r w:rsidR="0059612E">
        <w:rPr>
          <w:lang w:val="en-US"/>
        </w:rPr>
        <w:t>, private and interstate purchasing</w:t>
      </w:r>
      <w:r w:rsidR="00B52B46">
        <w:rPr>
          <w:lang w:val="en-US"/>
        </w:rPr>
        <w:t>)</w:t>
      </w:r>
    </w:p>
    <w:p w:rsidR="009C0EF1" w:rsidRPr="0062385D" w:rsidRDefault="009C0EF1" w:rsidP="00455D71">
      <w:pPr>
        <w:pStyle w:val="ListBullet"/>
      </w:pPr>
      <w:r w:rsidRPr="0062385D">
        <w:t>System reform</w:t>
      </w:r>
      <w:r w:rsidR="0059612E">
        <w:rPr>
          <w:lang w:val="en-US"/>
        </w:rPr>
        <w:t>, whether it is</w:t>
      </w:r>
      <w:r w:rsidR="00CF5DD9">
        <w:rPr>
          <w:lang w:val="en-US"/>
        </w:rPr>
        <w:t xml:space="preserve"> at the local, hospital or state-wide service level</w:t>
      </w:r>
    </w:p>
    <w:p w:rsidR="009C0EF1" w:rsidRDefault="009C0EF1" w:rsidP="00ED3AD6">
      <w:pPr>
        <w:pStyle w:val="BulletedListLevel1"/>
        <w:numPr>
          <w:ilvl w:val="0"/>
          <w:numId w:val="0"/>
        </w:numPr>
        <w:ind w:left="567" w:hanging="567"/>
        <w:jc w:val="both"/>
      </w:pPr>
      <w:r>
        <w:t>Other</w:t>
      </w:r>
      <w:r w:rsidR="00437355">
        <w:t xml:space="preserve"> purchasing</w:t>
      </w:r>
      <w:r>
        <w:t xml:space="preserve"> intentions </w:t>
      </w:r>
      <w:r w:rsidR="003F3A65">
        <w:t xml:space="preserve">and priorities that </w:t>
      </w:r>
      <w:r>
        <w:t>w</w:t>
      </w:r>
      <w:r w:rsidR="00060F93">
        <w:t xml:space="preserve">ill be developed in future </w:t>
      </w:r>
      <w:proofErr w:type="spellStart"/>
      <w:r w:rsidR="00060F93">
        <w:t>SoPI</w:t>
      </w:r>
      <w:r>
        <w:t>s</w:t>
      </w:r>
      <w:proofErr w:type="spellEnd"/>
      <w:r w:rsidR="003F3A65">
        <w:t xml:space="preserve"> are</w:t>
      </w:r>
      <w:r w:rsidR="0044597D">
        <w:t>:</w:t>
      </w:r>
    </w:p>
    <w:p w:rsidR="00AB0564" w:rsidRDefault="009C0EF1" w:rsidP="00AB0564">
      <w:pPr>
        <w:pStyle w:val="ListBullet"/>
      </w:pPr>
      <w:r>
        <w:t>New and emerging technologies</w:t>
      </w:r>
      <w:r w:rsidR="00AB0564">
        <w:t xml:space="preserve"> – e.g.</w:t>
      </w:r>
      <w:r w:rsidR="00AB0564" w:rsidRPr="006E55A6">
        <w:rPr>
          <w:rFonts w:cs="Calibri"/>
          <w:color w:val="000000"/>
        </w:rPr>
        <w:t xml:space="preserve"> </w:t>
      </w:r>
      <w:r w:rsidR="00AB0564">
        <w:rPr>
          <w:rFonts w:cs="Calibri"/>
          <w:color w:val="000000"/>
        </w:rPr>
        <w:t>n</w:t>
      </w:r>
      <w:r w:rsidR="00AB0564" w:rsidRPr="006E55A6">
        <w:t xml:space="preserve">ew </w:t>
      </w:r>
      <w:r w:rsidR="00AB0564">
        <w:t xml:space="preserve">cancer </w:t>
      </w:r>
      <w:r w:rsidR="00AB0564" w:rsidRPr="006E55A6">
        <w:t>chemotherapy targeted treatment to reduce chemotherapy chair treatment time for patients and provide greater efficiency</w:t>
      </w:r>
    </w:p>
    <w:p w:rsidR="0059612E" w:rsidRPr="00EA4B31" w:rsidRDefault="006B2506" w:rsidP="00455D71">
      <w:pPr>
        <w:pStyle w:val="ListBullet"/>
      </w:pPr>
      <w:r>
        <w:rPr>
          <w:lang w:val="en-US"/>
        </w:rPr>
        <w:t>Innovative mechanisms to address social determinants of health, such as educational status</w:t>
      </w:r>
      <w:r w:rsidR="0059612E">
        <w:rPr>
          <w:lang w:val="en-US"/>
        </w:rPr>
        <w:t xml:space="preserve"> and health literacy</w:t>
      </w:r>
    </w:p>
    <w:p w:rsidR="009C0EF1" w:rsidRDefault="003F3A65" w:rsidP="00455D71">
      <w:pPr>
        <w:pStyle w:val="ListBullet"/>
      </w:pPr>
      <w:r>
        <w:t>Education</w:t>
      </w:r>
      <w:r w:rsidR="009C0EF1">
        <w:t>, training and research</w:t>
      </w:r>
      <w:r w:rsidR="0059612E">
        <w:rPr>
          <w:lang w:val="en-US"/>
        </w:rPr>
        <w:t xml:space="preserve"> as both costs of and drivers for health service delivery</w:t>
      </w:r>
    </w:p>
    <w:p w:rsidR="009C0EF1" w:rsidRPr="0026595A" w:rsidRDefault="009C0EF1" w:rsidP="0026595A"/>
    <w:p w:rsidR="00B60A67" w:rsidRPr="00F51AB2" w:rsidRDefault="00B60A67" w:rsidP="000C74B6">
      <w:pPr>
        <w:pStyle w:val="Heading1numbered"/>
        <w:tabs>
          <w:tab w:val="clear" w:pos="1276"/>
        </w:tabs>
        <w:ind w:left="851"/>
      </w:pPr>
      <w:bookmarkStart w:id="4" w:name="_Toc463254921"/>
      <w:r w:rsidRPr="00F51AB2">
        <w:t>Context</w:t>
      </w:r>
      <w:bookmarkEnd w:id="4"/>
    </w:p>
    <w:p w:rsidR="00B60A67" w:rsidRPr="00F51AB2" w:rsidRDefault="00B60A67" w:rsidP="00884F72">
      <w:pPr>
        <w:pStyle w:val="Heading2numbered"/>
      </w:pPr>
      <w:bookmarkStart w:id="5" w:name="_Toc463254922"/>
      <w:r w:rsidRPr="00F51AB2">
        <w:t>Purchasing and System Management</w:t>
      </w:r>
      <w:bookmarkEnd w:id="5"/>
      <w:r w:rsidRPr="00F51AB2">
        <w:t xml:space="preserve"> </w:t>
      </w:r>
    </w:p>
    <w:p w:rsidR="00B60A67" w:rsidRPr="00F51AB2" w:rsidRDefault="00B60A67" w:rsidP="00605B51">
      <w:pPr>
        <w:jc w:val="both"/>
      </w:pPr>
      <w:r w:rsidRPr="00F51AB2">
        <w:t xml:space="preserve">It is </w:t>
      </w:r>
      <w:r w:rsidR="004E216A">
        <w:t>important</w:t>
      </w:r>
      <w:r w:rsidRPr="00F51AB2">
        <w:t xml:space="preserve"> for the Department in its role as </w:t>
      </w:r>
      <w:r w:rsidR="00F2051B" w:rsidRPr="00F51AB2">
        <w:t>system manager</w:t>
      </w:r>
      <w:r w:rsidRPr="00F51AB2">
        <w:t xml:space="preserve"> to be clear on how it applies </w:t>
      </w:r>
      <w:r w:rsidR="004E216A">
        <w:t xml:space="preserve">and articulates </w:t>
      </w:r>
      <w:r w:rsidRPr="00F51AB2">
        <w:t xml:space="preserve">priorities, including what they are, how they are derived, how services will be purchased, and how delivery will be monitored.  </w:t>
      </w:r>
    </w:p>
    <w:p w:rsidR="00B60A67" w:rsidRPr="00F51AB2" w:rsidRDefault="00B60A67" w:rsidP="00605B51">
      <w:pPr>
        <w:jc w:val="both"/>
      </w:pPr>
      <w:r w:rsidRPr="00F51AB2">
        <w:t xml:space="preserve">In order to </w:t>
      </w:r>
      <w:r w:rsidR="004E216A">
        <w:t>articulate</w:t>
      </w:r>
      <w:r w:rsidRPr="00F51AB2">
        <w:t xml:space="preserve"> this, </w:t>
      </w:r>
      <w:r w:rsidR="008B4413" w:rsidRPr="00F51AB2">
        <w:t>the Department</w:t>
      </w:r>
      <w:r w:rsidRPr="00F51AB2">
        <w:t xml:space="preserve"> produces </w:t>
      </w:r>
      <w:r w:rsidR="00F5267A">
        <w:t>the following documents</w:t>
      </w:r>
      <w:r w:rsidRPr="00F51AB2">
        <w:t xml:space="preserve">:  </w:t>
      </w:r>
    </w:p>
    <w:p w:rsidR="00EB1AA2" w:rsidRPr="00455D71" w:rsidRDefault="00EB1AA2" w:rsidP="00455D71">
      <w:pPr>
        <w:pStyle w:val="ListBullet"/>
      </w:pPr>
      <w:r w:rsidRPr="00455D71">
        <w:t xml:space="preserve">This document, the </w:t>
      </w:r>
      <w:r w:rsidR="00F5267A" w:rsidRPr="00455D71">
        <w:t>‘</w:t>
      </w:r>
      <w:r w:rsidRPr="00455D71">
        <w:rPr>
          <w:i/>
        </w:rPr>
        <w:t>Statement of Purchaser Intent (</w:t>
      </w:r>
      <w:proofErr w:type="spellStart"/>
      <w:r w:rsidRPr="00455D71">
        <w:rPr>
          <w:i/>
        </w:rPr>
        <w:t>SoPI</w:t>
      </w:r>
      <w:proofErr w:type="spellEnd"/>
      <w:r w:rsidRPr="00455D71">
        <w:rPr>
          <w:i/>
        </w:rPr>
        <w:t>)</w:t>
      </w:r>
      <w:r w:rsidR="00F5267A" w:rsidRPr="00455D71">
        <w:rPr>
          <w:i/>
        </w:rPr>
        <w:t>’</w:t>
      </w:r>
      <w:r w:rsidRPr="00455D71">
        <w:t xml:space="preserve">, an annually </w:t>
      </w:r>
      <w:r w:rsidR="00A0264B" w:rsidRPr="00455D71">
        <w:t xml:space="preserve">updated document, outlining the </w:t>
      </w:r>
      <w:r w:rsidRPr="00455D71">
        <w:t xml:space="preserve">purchasing intentions for the </w:t>
      </w:r>
      <w:r w:rsidR="00C404DB">
        <w:rPr>
          <w:lang w:val="en-US"/>
        </w:rPr>
        <w:t>up</w:t>
      </w:r>
      <w:r w:rsidRPr="00455D71">
        <w:t xml:space="preserve">coming five financial years.  </w:t>
      </w:r>
    </w:p>
    <w:p w:rsidR="00F5267A" w:rsidRPr="00455D71" w:rsidRDefault="00F5267A" w:rsidP="00455D71">
      <w:pPr>
        <w:pStyle w:val="ListBullet"/>
      </w:pPr>
      <w:r w:rsidRPr="00455D71">
        <w:t>The annual ‘</w:t>
      </w:r>
      <w:r w:rsidRPr="00455D71">
        <w:rPr>
          <w:i/>
        </w:rPr>
        <w:t>Service Agreement between the Minister for Health and the Tasmanian Health Service (THS)’</w:t>
      </w:r>
      <w:r w:rsidRPr="00455D71">
        <w:t xml:space="preserve">, </w:t>
      </w:r>
      <w:r w:rsidR="004C64FD" w:rsidRPr="00455D71">
        <w:t>outlining the</w:t>
      </w:r>
      <w:r w:rsidR="004C64FD" w:rsidRPr="00455D71">
        <w:rPr>
          <w:rFonts w:cs="Gill Sans MT"/>
        </w:rPr>
        <w:t xml:space="preserve"> </w:t>
      </w:r>
      <w:r w:rsidR="00DF2F8B">
        <w:rPr>
          <w:rFonts w:cs="Gill Sans MT"/>
          <w:lang w:val="en-US"/>
        </w:rPr>
        <w:t xml:space="preserve">financial allocation, </w:t>
      </w:r>
      <w:r w:rsidR="004C64FD" w:rsidRPr="00455D71">
        <w:rPr>
          <w:rFonts w:cs="Gill Sans MT"/>
        </w:rPr>
        <w:t>service delivery</w:t>
      </w:r>
      <w:r w:rsidR="00DF2F8B">
        <w:rPr>
          <w:rFonts w:cs="Gill Sans MT"/>
          <w:lang w:val="en-US"/>
        </w:rPr>
        <w:t xml:space="preserve"> requirements</w:t>
      </w:r>
      <w:r w:rsidR="004C64FD" w:rsidRPr="00455D71">
        <w:rPr>
          <w:rFonts w:cs="Gill Sans MT"/>
        </w:rPr>
        <w:t xml:space="preserve"> and performance expectations </w:t>
      </w:r>
      <w:r w:rsidR="00677D4C">
        <w:rPr>
          <w:rFonts w:cs="Gill Sans MT"/>
          <w:lang w:val="en-US"/>
        </w:rPr>
        <w:t>for</w:t>
      </w:r>
      <w:r w:rsidR="004C64FD" w:rsidRPr="00455D71">
        <w:rPr>
          <w:rFonts w:cs="Gill Sans MT"/>
        </w:rPr>
        <w:t xml:space="preserve"> the THS.</w:t>
      </w:r>
    </w:p>
    <w:p w:rsidR="00EB1AA2" w:rsidRPr="00455D71" w:rsidRDefault="00EB1AA2" w:rsidP="00455D71">
      <w:pPr>
        <w:pStyle w:val="ListBullet"/>
      </w:pPr>
      <w:r w:rsidRPr="00455D71">
        <w:rPr>
          <w:rFonts w:eastAsia="Calibri"/>
        </w:rPr>
        <w:t xml:space="preserve">The </w:t>
      </w:r>
      <w:r w:rsidR="00F5267A" w:rsidRPr="00455D71">
        <w:rPr>
          <w:rFonts w:eastAsia="Calibri"/>
        </w:rPr>
        <w:t>‘</w:t>
      </w:r>
      <w:r w:rsidRPr="00455D71">
        <w:rPr>
          <w:rFonts w:eastAsia="Calibri"/>
          <w:i/>
        </w:rPr>
        <w:t>Service Agreement Performance Framework</w:t>
      </w:r>
      <w:r w:rsidR="00F5267A" w:rsidRPr="00455D71">
        <w:rPr>
          <w:rFonts w:eastAsia="Calibri"/>
          <w:i/>
        </w:rPr>
        <w:t>’</w:t>
      </w:r>
      <w:r w:rsidRPr="00455D71">
        <w:rPr>
          <w:rFonts w:eastAsia="Calibri"/>
        </w:rPr>
        <w:t xml:space="preserve"> outlin</w:t>
      </w:r>
      <w:r w:rsidR="00194268" w:rsidRPr="00455D71">
        <w:rPr>
          <w:rFonts w:eastAsia="Calibri"/>
        </w:rPr>
        <w:t>ing</w:t>
      </w:r>
      <w:r w:rsidRPr="00455D71">
        <w:rPr>
          <w:rFonts w:eastAsia="Calibri"/>
        </w:rPr>
        <w:t xml:space="preserve"> the performance management </w:t>
      </w:r>
      <w:r w:rsidR="00677D4C">
        <w:rPr>
          <w:rFonts w:eastAsia="Calibri"/>
          <w:lang w:val="en-US"/>
        </w:rPr>
        <w:t>mechanisms</w:t>
      </w:r>
      <w:r w:rsidR="00677D4C" w:rsidRPr="00455D71">
        <w:rPr>
          <w:rFonts w:eastAsia="Calibri"/>
        </w:rPr>
        <w:t xml:space="preserve"> </w:t>
      </w:r>
      <w:r w:rsidRPr="00455D71">
        <w:rPr>
          <w:rFonts w:eastAsia="Calibri"/>
        </w:rPr>
        <w:t xml:space="preserve">available to the Minister (or delegate) under the Act </w:t>
      </w:r>
      <w:r w:rsidR="00D8336E">
        <w:rPr>
          <w:rFonts w:eastAsia="Calibri"/>
          <w:lang w:val="en-US"/>
        </w:rPr>
        <w:t>in response to</w:t>
      </w:r>
      <w:r w:rsidR="003416D4">
        <w:rPr>
          <w:rFonts w:eastAsia="Calibri"/>
          <w:lang w:val="en-US"/>
        </w:rPr>
        <w:t xml:space="preserve"> </w:t>
      </w:r>
      <w:r w:rsidR="00677D4C">
        <w:rPr>
          <w:rFonts w:eastAsia="Calibri"/>
          <w:lang w:val="en-US"/>
        </w:rPr>
        <w:t>unsatisfactory</w:t>
      </w:r>
      <w:r w:rsidR="00677D4C" w:rsidRPr="00455D71">
        <w:rPr>
          <w:rFonts w:eastAsia="Calibri"/>
        </w:rPr>
        <w:t xml:space="preserve"> </w:t>
      </w:r>
      <w:r w:rsidRPr="00455D71">
        <w:rPr>
          <w:rFonts w:eastAsia="Calibri"/>
        </w:rPr>
        <w:t xml:space="preserve">performance </w:t>
      </w:r>
      <w:r w:rsidR="00677D4C">
        <w:rPr>
          <w:rFonts w:eastAsia="Calibri"/>
          <w:lang w:val="en-US"/>
        </w:rPr>
        <w:t>against the requirements of</w:t>
      </w:r>
      <w:r w:rsidR="00677D4C" w:rsidRPr="00455D71">
        <w:rPr>
          <w:rFonts w:eastAsia="Calibri"/>
        </w:rPr>
        <w:t xml:space="preserve"> </w:t>
      </w:r>
      <w:r w:rsidRPr="00455D71">
        <w:rPr>
          <w:rFonts w:eastAsia="Calibri"/>
        </w:rPr>
        <w:t xml:space="preserve">the Service Agreement.  </w:t>
      </w:r>
    </w:p>
    <w:p w:rsidR="004E216A" w:rsidRDefault="00B60A67" w:rsidP="00605B51">
      <w:pPr>
        <w:pStyle w:val="BulletedListLevel1"/>
        <w:numPr>
          <w:ilvl w:val="0"/>
          <w:numId w:val="0"/>
        </w:numPr>
        <w:jc w:val="both"/>
      </w:pPr>
      <w:r w:rsidRPr="00F51AB2">
        <w:t>Other operational documents govern</w:t>
      </w:r>
      <w:proofErr w:type="spellStart"/>
      <w:r w:rsidR="00D8336E">
        <w:rPr>
          <w:lang w:val="en-US"/>
        </w:rPr>
        <w:t>ing</w:t>
      </w:r>
      <w:proofErr w:type="spellEnd"/>
      <w:r w:rsidRPr="00F51AB2">
        <w:t xml:space="preserve"> the Department’s broader system man</w:t>
      </w:r>
      <w:r w:rsidR="00DF61A9">
        <w:t>a</w:t>
      </w:r>
      <w:r w:rsidRPr="00F51AB2">
        <w:t>ger functions</w:t>
      </w:r>
      <w:r w:rsidR="00B44703">
        <w:t xml:space="preserve"> and further contextualise </w:t>
      </w:r>
      <w:r w:rsidR="00EB1AA2">
        <w:t xml:space="preserve">and support </w:t>
      </w:r>
      <w:r w:rsidR="00B44703">
        <w:t xml:space="preserve">the </w:t>
      </w:r>
      <w:proofErr w:type="spellStart"/>
      <w:r w:rsidR="00B44703">
        <w:t>SoPI</w:t>
      </w:r>
      <w:proofErr w:type="spellEnd"/>
      <w:r w:rsidR="00B44703">
        <w:t xml:space="preserve"> include:</w:t>
      </w:r>
      <w:r w:rsidRPr="00F51AB2">
        <w:t xml:space="preserve"> </w:t>
      </w:r>
    </w:p>
    <w:p w:rsidR="00EB1AA2" w:rsidRDefault="00EB1AA2" w:rsidP="00455D71">
      <w:pPr>
        <w:pStyle w:val="ListBullet"/>
      </w:pPr>
      <w:r>
        <w:t>T</w:t>
      </w:r>
      <w:r w:rsidRPr="00F51AB2">
        <w:t xml:space="preserve">he </w:t>
      </w:r>
      <w:r>
        <w:t xml:space="preserve">DHHS as System Manager </w:t>
      </w:r>
    </w:p>
    <w:p w:rsidR="00EB1AA2" w:rsidRDefault="00EB1AA2" w:rsidP="00455D71">
      <w:pPr>
        <w:pStyle w:val="ListBullet"/>
      </w:pPr>
      <w:r w:rsidRPr="00F51AB2">
        <w:t>Tasmanian Clinical Governance Framework</w:t>
      </w:r>
      <w:r>
        <w:t>,</w:t>
      </w:r>
      <w:r w:rsidRPr="00F51AB2">
        <w:t xml:space="preserve"> and </w:t>
      </w:r>
    </w:p>
    <w:p w:rsidR="00EB1AA2" w:rsidRDefault="00EB1AA2" w:rsidP="00455D71">
      <w:pPr>
        <w:pStyle w:val="ListBullet"/>
      </w:pPr>
      <w:r>
        <w:t xml:space="preserve">The </w:t>
      </w:r>
      <w:r w:rsidRPr="00F51AB2">
        <w:t>Monitoring Suite Operational Guidelines</w:t>
      </w:r>
      <w:r w:rsidR="00A47509">
        <w:t>.</w:t>
      </w:r>
      <w:r w:rsidRPr="00F51AB2">
        <w:t xml:space="preserve"> </w:t>
      </w:r>
    </w:p>
    <w:p w:rsidR="00571E55" w:rsidRDefault="00571E55" w:rsidP="00EB1AA2">
      <w:pPr>
        <w:jc w:val="both"/>
      </w:pPr>
      <w:r w:rsidRPr="00F51AB2">
        <w:t xml:space="preserve">It is intended that these </w:t>
      </w:r>
      <w:r w:rsidR="009F581C" w:rsidRPr="00F51AB2">
        <w:t xml:space="preserve">purchasing and system management </w:t>
      </w:r>
      <w:r w:rsidRPr="00F51AB2">
        <w:t xml:space="preserve">documents will correspond to, and inform, planning documents produced for and by the </w:t>
      </w:r>
      <w:r w:rsidR="00E854DB" w:rsidRPr="00F51AB2">
        <w:t>THS</w:t>
      </w:r>
      <w:r w:rsidRPr="00F51AB2">
        <w:t xml:space="preserve">. This relationship is </w:t>
      </w:r>
      <w:r w:rsidR="00C372B2" w:rsidRPr="00F51AB2">
        <w:t>demonstrated</w:t>
      </w:r>
      <w:r w:rsidRPr="00F51AB2">
        <w:t xml:space="preserve"> in Figure </w:t>
      </w:r>
      <w:r w:rsidR="00520920">
        <w:t>3</w:t>
      </w:r>
      <w:r w:rsidRPr="00F51AB2">
        <w:t>.</w:t>
      </w:r>
    </w:p>
    <w:p w:rsidR="008D61EB" w:rsidRPr="00F51AB2" w:rsidRDefault="008D61EB" w:rsidP="008D61EB">
      <w:pPr>
        <w:rPr>
          <w:b/>
        </w:rPr>
      </w:pPr>
      <w:r w:rsidRPr="00F51AB2">
        <w:rPr>
          <w:b/>
        </w:rPr>
        <w:t xml:space="preserve">Figure </w:t>
      </w:r>
      <w:r w:rsidR="00520920">
        <w:rPr>
          <w:b/>
        </w:rPr>
        <w:t>3</w:t>
      </w:r>
      <w:r w:rsidRPr="00F51AB2">
        <w:rPr>
          <w:b/>
        </w:rPr>
        <w:t>: Corresponding documents for the system manager and service provider (THS).</w:t>
      </w:r>
    </w:p>
    <w:p w:rsidR="008D61EB" w:rsidRDefault="00455D71" w:rsidP="00605B51">
      <w:pPr>
        <w:jc w:val="both"/>
      </w:pPr>
      <w:r>
        <w:rPr>
          <w:noProof/>
          <w:lang w:eastAsia="en-AU"/>
        </w:rPr>
        <w:drawing>
          <wp:inline distT="0" distB="0" distL="0" distR="0" wp14:anchorId="1C09F525" wp14:editId="3AFC337C">
            <wp:extent cx="5753100" cy="3762375"/>
            <wp:effectExtent l="0" t="0" r="0" b="9525"/>
            <wp:docPr id="8" name="Picture 8" descr="Figure 3: Corresponding documents for the system manager and service provider (THS).&#10;&#10;Level of Planning Documents to Main Plans to Planned Foc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290" cy="3767077"/>
                    </a:xfrm>
                    <a:prstGeom prst="rect">
                      <a:avLst/>
                    </a:prstGeom>
                  </pic:spPr>
                </pic:pic>
              </a:graphicData>
            </a:graphic>
          </wp:inline>
        </w:drawing>
      </w:r>
    </w:p>
    <w:p w:rsidR="00B60A67" w:rsidRPr="00F51AB2" w:rsidRDefault="00B60A67" w:rsidP="00884F72">
      <w:pPr>
        <w:pStyle w:val="Heading2numbered"/>
      </w:pPr>
      <w:bookmarkStart w:id="6" w:name="_Toc463254923"/>
      <w:r w:rsidRPr="00F51AB2">
        <w:t xml:space="preserve">Purpose of the </w:t>
      </w:r>
      <w:proofErr w:type="spellStart"/>
      <w:r w:rsidRPr="00F51AB2">
        <w:t>SoPI</w:t>
      </w:r>
      <w:bookmarkEnd w:id="6"/>
      <w:proofErr w:type="spellEnd"/>
      <w:r w:rsidRPr="00F51AB2">
        <w:t xml:space="preserve"> </w:t>
      </w:r>
    </w:p>
    <w:p w:rsidR="00571E55" w:rsidRPr="00F51AB2" w:rsidRDefault="00571E55" w:rsidP="00571E55">
      <w:r w:rsidRPr="00F51AB2">
        <w:t xml:space="preserve">The </w:t>
      </w:r>
      <w:proofErr w:type="spellStart"/>
      <w:r w:rsidRPr="00F51AB2">
        <w:t>SoPI</w:t>
      </w:r>
      <w:proofErr w:type="spellEnd"/>
      <w:r w:rsidRPr="00F51AB2">
        <w:t xml:space="preserve"> is the translational device between the </w:t>
      </w:r>
      <w:r w:rsidR="00673DF7">
        <w:rPr>
          <w:lang w:val="en-US"/>
        </w:rPr>
        <w:t xml:space="preserve">Department’s twin </w:t>
      </w:r>
      <w:r w:rsidRPr="00F51AB2">
        <w:t xml:space="preserve">functions of system manager and </w:t>
      </w:r>
      <w:r w:rsidR="00673DF7">
        <w:rPr>
          <w:lang w:val="en-US"/>
        </w:rPr>
        <w:t>purchaser</w:t>
      </w:r>
      <w:r w:rsidRPr="00F51AB2">
        <w:t xml:space="preserve">.  This is </w:t>
      </w:r>
      <w:r w:rsidR="00A263E0" w:rsidRPr="00F51AB2">
        <w:t>demonstrated</w:t>
      </w:r>
      <w:r w:rsidRPr="00F51AB2">
        <w:t xml:space="preserve"> in Figure </w:t>
      </w:r>
      <w:r w:rsidR="00DF2A4B">
        <w:t>4</w:t>
      </w:r>
      <w:r w:rsidRPr="00F51AB2">
        <w:t xml:space="preserve">. </w:t>
      </w:r>
    </w:p>
    <w:p w:rsidR="00B60A67" w:rsidRPr="00F51AB2" w:rsidRDefault="00B60A67" w:rsidP="00B60A67">
      <w:r w:rsidRPr="00F51AB2">
        <w:t xml:space="preserve">The establishment of an </w:t>
      </w:r>
      <w:r w:rsidR="00301924">
        <w:t xml:space="preserve">iterative </w:t>
      </w:r>
      <w:r w:rsidRPr="00F51AB2">
        <w:t xml:space="preserve">annual (rolling) </w:t>
      </w:r>
      <w:proofErr w:type="spellStart"/>
      <w:r w:rsidRPr="00F51AB2">
        <w:t>SoPI</w:t>
      </w:r>
      <w:proofErr w:type="spellEnd"/>
      <w:r w:rsidRPr="00F51AB2">
        <w:t>, signalling the Purchaser’s intent</w:t>
      </w:r>
      <w:r w:rsidR="005E481D">
        <w:rPr>
          <w:lang w:val="en-US"/>
        </w:rPr>
        <w:t>ions</w:t>
      </w:r>
      <w:r w:rsidRPr="00F51AB2">
        <w:t xml:space="preserve"> </w:t>
      </w:r>
      <w:r w:rsidR="005E481D">
        <w:rPr>
          <w:lang w:val="en-US"/>
        </w:rPr>
        <w:t>for</w:t>
      </w:r>
      <w:r w:rsidRPr="00F51AB2">
        <w:t xml:space="preserve"> the </w:t>
      </w:r>
      <w:r w:rsidR="005E481D">
        <w:rPr>
          <w:lang w:val="en-US"/>
        </w:rPr>
        <w:t>up</w:t>
      </w:r>
      <w:r w:rsidRPr="00F51AB2">
        <w:t>coming five years, provides:</w:t>
      </w:r>
    </w:p>
    <w:p w:rsidR="00B60A67" w:rsidRPr="00F51AB2" w:rsidRDefault="00B60A67" w:rsidP="00455D71">
      <w:pPr>
        <w:pStyle w:val="ListBullet"/>
      </w:pPr>
      <w:proofErr w:type="gramStart"/>
      <w:r w:rsidRPr="00F51AB2">
        <w:t>the</w:t>
      </w:r>
      <w:proofErr w:type="gramEnd"/>
      <w:r w:rsidRPr="00F51AB2">
        <w:t xml:space="preserve"> ability to articulate clearly the priorities for health in coming years, and how these will impact on purchased activity</w:t>
      </w:r>
      <w:r w:rsidR="00A47509">
        <w:t>.</w:t>
      </w:r>
    </w:p>
    <w:p w:rsidR="00B60A67" w:rsidRPr="00F51AB2" w:rsidRDefault="00B60A67" w:rsidP="00455D71">
      <w:pPr>
        <w:pStyle w:val="ListBullet"/>
      </w:pPr>
      <w:proofErr w:type="gramStart"/>
      <w:r w:rsidRPr="00F51AB2">
        <w:t>the</w:t>
      </w:r>
      <w:proofErr w:type="gramEnd"/>
      <w:r w:rsidRPr="00F51AB2">
        <w:t xml:space="preserve"> mechanism to translate System Manager priorities into purchasable </w:t>
      </w:r>
      <w:r w:rsidR="00C372B2" w:rsidRPr="00F51AB2">
        <w:t>actions</w:t>
      </w:r>
      <w:r w:rsidRPr="00F51AB2">
        <w:t xml:space="preserve"> </w:t>
      </w:r>
      <w:r w:rsidR="00C372B2" w:rsidRPr="00F51AB2">
        <w:t>for inclusion</w:t>
      </w:r>
      <w:r w:rsidRPr="00F51AB2">
        <w:t xml:space="preserve"> in Service Agreements</w:t>
      </w:r>
      <w:r w:rsidR="00A47509">
        <w:t>.</w:t>
      </w:r>
    </w:p>
    <w:p w:rsidR="00B60A67" w:rsidRPr="00F51AB2" w:rsidRDefault="00B60A67" w:rsidP="00455D71">
      <w:pPr>
        <w:pStyle w:val="ListBullet"/>
      </w:pPr>
      <w:r w:rsidRPr="00F51AB2">
        <w:t>an indicator of intentions to purchase in future, which will be refined and clarified on an iterative basis as the period to which they relate draw closer, and</w:t>
      </w:r>
    </w:p>
    <w:p w:rsidR="00B60A67" w:rsidRPr="00F51AB2" w:rsidRDefault="00060F93" w:rsidP="00455D71">
      <w:pPr>
        <w:pStyle w:val="ListBullet"/>
      </w:pPr>
      <w:r>
        <w:rPr>
          <w:lang w:val="en-US"/>
        </w:rPr>
        <w:t>i</w:t>
      </w:r>
      <w:r w:rsidR="00D60547">
        <w:rPr>
          <w:lang w:val="en-US"/>
        </w:rPr>
        <w:t xml:space="preserve">nformation for the </w:t>
      </w:r>
      <w:r w:rsidR="00B60A67" w:rsidRPr="00F51AB2">
        <w:t xml:space="preserve">THS to </w:t>
      </w:r>
      <w:r w:rsidR="00AF27FD" w:rsidRPr="00F51AB2">
        <w:t xml:space="preserve">inform the development of </w:t>
      </w:r>
      <w:r w:rsidR="00B60A67" w:rsidRPr="00F51AB2">
        <w:t>its rolling Corporate Plan</w:t>
      </w:r>
      <w:r w:rsidR="00D60547">
        <w:rPr>
          <w:lang w:val="en-US"/>
        </w:rPr>
        <w:t>,</w:t>
      </w:r>
      <w:r w:rsidR="00B60A67" w:rsidRPr="00F51AB2">
        <w:t xml:space="preserve"> </w:t>
      </w:r>
      <w:proofErr w:type="spellStart"/>
      <w:r w:rsidR="00B60A67" w:rsidRPr="00F51AB2">
        <w:t>incorporat</w:t>
      </w:r>
      <w:r w:rsidR="00D60547">
        <w:rPr>
          <w:lang w:val="en-US"/>
        </w:rPr>
        <w:t>ing</w:t>
      </w:r>
      <w:proofErr w:type="spellEnd"/>
      <w:r w:rsidR="00B60A67" w:rsidRPr="00F51AB2">
        <w:t xml:space="preserve"> the signals provided by the Purchaser as to what movements are likely in purchasing.  </w:t>
      </w:r>
    </w:p>
    <w:p w:rsidR="00571E55" w:rsidRDefault="00571E55" w:rsidP="00571E55">
      <w:r w:rsidRPr="00F51AB2">
        <w:t xml:space="preserve">Each year an updated </w:t>
      </w:r>
      <w:proofErr w:type="spellStart"/>
      <w:r w:rsidRPr="00F51AB2">
        <w:t>SoPI</w:t>
      </w:r>
      <w:proofErr w:type="spellEnd"/>
      <w:r w:rsidRPr="00F51AB2">
        <w:t xml:space="preserve"> will be released, </w:t>
      </w:r>
      <w:r w:rsidR="005807F1">
        <w:rPr>
          <w:lang w:val="en-US"/>
        </w:rPr>
        <w:t>in the September before the year in which it will take effect</w:t>
      </w:r>
      <w:r w:rsidR="005E025B" w:rsidRPr="00F51AB2">
        <w:t>. T</w:t>
      </w:r>
      <w:r w:rsidRPr="00F51AB2">
        <w:t xml:space="preserve">he finalised intentions and the details of the Service Agreement for that period </w:t>
      </w:r>
      <w:r w:rsidR="005E025B" w:rsidRPr="00F51AB2">
        <w:t>will</w:t>
      </w:r>
      <w:r w:rsidRPr="00F51AB2">
        <w:t xml:space="preserve"> be developed </w:t>
      </w:r>
      <w:r w:rsidR="005807F1">
        <w:rPr>
          <w:lang w:val="en-US"/>
        </w:rPr>
        <w:t>contemporaneously</w:t>
      </w:r>
      <w:r w:rsidRPr="00F51AB2">
        <w:t>.</w:t>
      </w:r>
    </w:p>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BF5EB9" w:rsidRDefault="00BF5EB9" w:rsidP="00571E55"/>
    <w:p w:rsidR="00947756" w:rsidRDefault="00947756" w:rsidP="00571E55">
      <w:r w:rsidRPr="00F51AB2">
        <w:rPr>
          <w:b/>
        </w:rPr>
        <w:t xml:space="preserve">Figure </w:t>
      </w:r>
      <w:r w:rsidR="00DF2A4B">
        <w:rPr>
          <w:b/>
        </w:rPr>
        <w:t>4</w:t>
      </w:r>
      <w:r w:rsidRPr="00F51AB2">
        <w:rPr>
          <w:b/>
        </w:rPr>
        <w:t xml:space="preserve">: Inter-relationship of the System Management Functions of the DHHS.  </w:t>
      </w:r>
    </w:p>
    <w:p w:rsidR="00947756" w:rsidRDefault="003655BE" w:rsidP="00571E55">
      <w:r>
        <w:object w:dxaOrig="11264" w:dyaOrig="14569" w14:anchorId="251FFAC3">
          <v:shape id="_x0000_i1026" type="#_x0000_t75" alt="Figure 4: Inter-relationship of the System Management Functions of the DHHS.  &#10;&#10;Australian Government Requirement and inputs to Tasmanian Requirements and inputs including State Government Priorities and Strategic Priorities for the Health System defines the role of System Manager informing the development of the Statement of Purchaser Intent and Service Agreement" style="width:408pt;height:528pt" o:ole="">
            <v:imagedata r:id="rId19" o:title=""/>
          </v:shape>
          <o:OLEObject Type="Embed" ProgID="Visio.Drawing.11" ShapeID="_x0000_i1026" DrawAspect="Content" ObjectID="_1599907125" r:id="rId20"/>
        </w:object>
      </w:r>
    </w:p>
    <w:p w:rsidR="0015136E" w:rsidRPr="00F51AB2" w:rsidRDefault="0015136E" w:rsidP="0015136E">
      <w:pPr>
        <w:pStyle w:val="Heading2numbered"/>
      </w:pPr>
      <w:bookmarkStart w:id="7" w:name="_Toc463254924"/>
      <w:r w:rsidRPr="00F51AB2">
        <w:t>Scope</w:t>
      </w:r>
      <w:bookmarkEnd w:id="7"/>
    </w:p>
    <w:p w:rsidR="0015136E" w:rsidRPr="00F51AB2" w:rsidRDefault="0015136E" w:rsidP="00057640">
      <w:r w:rsidRPr="00F51AB2">
        <w:t xml:space="preserve">The scope of </w:t>
      </w:r>
      <w:r w:rsidR="005807F1">
        <w:rPr>
          <w:lang w:val="en-US"/>
        </w:rPr>
        <w:t>the</w:t>
      </w:r>
      <w:r w:rsidR="005807F1" w:rsidRPr="00F51AB2">
        <w:t xml:space="preserve"> </w:t>
      </w:r>
      <w:proofErr w:type="spellStart"/>
      <w:r w:rsidRPr="00F51AB2">
        <w:t>SoPI</w:t>
      </w:r>
      <w:proofErr w:type="spellEnd"/>
      <w:r w:rsidRPr="00F51AB2">
        <w:t xml:space="preserve"> </w:t>
      </w:r>
      <w:r w:rsidR="005807F1">
        <w:rPr>
          <w:lang w:val="en-US"/>
        </w:rPr>
        <w:t>currently</w:t>
      </w:r>
      <w:r w:rsidR="005807F1" w:rsidRPr="00F51AB2">
        <w:t xml:space="preserve"> </w:t>
      </w:r>
      <w:r w:rsidRPr="00F51AB2">
        <w:t>relate</w:t>
      </w:r>
      <w:r>
        <w:t>s</w:t>
      </w:r>
      <w:r w:rsidRPr="00F51AB2">
        <w:t xml:space="preserve"> to State Government funded services purchased by the Department from the THS, although services purchased by the Commonwealth Government and managed through the Department </w:t>
      </w:r>
      <w:r w:rsidR="00301924">
        <w:t>will</w:t>
      </w:r>
      <w:r w:rsidRPr="00F51AB2">
        <w:t xml:space="preserve"> </w:t>
      </w:r>
      <w:r w:rsidR="00301924">
        <w:t xml:space="preserve">be </w:t>
      </w:r>
      <w:r w:rsidRPr="00F51AB2">
        <w:t xml:space="preserve">included. For services purchased from the THS but subsequently subcontracted to either Government or non-government organisations, broad intentions may be articulated but accountability for legislative and contractual requirements </w:t>
      </w:r>
      <w:r w:rsidR="00EE25E5">
        <w:rPr>
          <w:lang w:val="en-US"/>
        </w:rPr>
        <w:t>resides</w:t>
      </w:r>
      <w:r w:rsidR="00EE25E5" w:rsidRPr="00F51AB2">
        <w:t xml:space="preserve"> </w:t>
      </w:r>
      <w:r w:rsidRPr="00F51AB2">
        <w:t xml:space="preserve">with </w:t>
      </w:r>
      <w:r>
        <w:t xml:space="preserve">the </w:t>
      </w:r>
      <w:r w:rsidRPr="00F51AB2">
        <w:t xml:space="preserve">THS.  </w:t>
      </w:r>
    </w:p>
    <w:p w:rsidR="0015136E" w:rsidRDefault="0015136E" w:rsidP="0015136E">
      <w:r w:rsidRPr="00F51AB2">
        <w:t xml:space="preserve">Linkages between the THS and other service providers, may be articulated where relevant, particularly where </w:t>
      </w:r>
      <w:r w:rsidR="00423BE0">
        <w:rPr>
          <w:lang w:val="en-US"/>
        </w:rPr>
        <w:t>service integration is an objective,</w:t>
      </w:r>
      <w:r w:rsidRPr="00F51AB2">
        <w:t xml:space="preserve"> or to target potentially avoidable hospitalisations. </w:t>
      </w:r>
    </w:p>
    <w:p w:rsidR="003070A4" w:rsidRPr="00F51AB2" w:rsidRDefault="00BF58B4" w:rsidP="003070A4">
      <w:pPr>
        <w:pStyle w:val="Heading2numbered"/>
      </w:pPr>
      <w:bookmarkStart w:id="8" w:name="_Toc463254925"/>
      <w:r>
        <w:t xml:space="preserve">Purchasing </w:t>
      </w:r>
      <w:r w:rsidR="003070A4">
        <w:t>Principles</w:t>
      </w:r>
      <w:bookmarkEnd w:id="8"/>
      <w:r w:rsidR="003070A4">
        <w:t xml:space="preserve"> </w:t>
      </w:r>
    </w:p>
    <w:p w:rsidR="00240A6D" w:rsidRDefault="00240A6D" w:rsidP="00240A6D">
      <w:pPr>
        <w:jc w:val="both"/>
      </w:pPr>
      <w:r>
        <w:t>T</w:t>
      </w:r>
      <w:r w:rsidR="003070A4">
        <w:t xml:space="preserve">he </w:t>
      </w:r>
      <w:r>
        <w:t xml:space="preserve">DHHS will work in accordance with the vision, principles and strategic priorities outlined in the </w:t>
      </w:r>
      <w:r w:rsidRPr="00240A6D">
        <w:rPr>
          <w:i/>
        </w:rPr>
        <w:t>‘DHHS Corporate Plan 2016-18’</w:t>
      </w:r>
      <w:r>
        <w:t xml:space="preserve"> to keep Tasmanians safe, healthy and well.</w:t>
      </w:r>
    </w:p>
    <w:p w:rsidR="00F75EA3" w:rsidRDefault="00240A6D" w:rsidP="00240A6D">
      <w:pPr>
        <w:jc w:val="both"/>
      </w:pPr>
      <w:bookmarkStart w:id="9" w:name="_Toc384388613"/>
      <w:r>
        <w:t>T</w:t>
      </w:r>
      <w:r w:rsidR="003070A4" w:rsidRPr="000C7580">
        <w:t>he Tasmania</w:t>
      </w:r>
      <w:r w:rsidR="0072751A">
        <w:t>n</w:t>
      </w:r>
      <w:r w:rsidR="003070A4" w:rsidRPr="000C7580">
        <w:t xml:space="preserve"> Health System </w:t>
      </w:r>
      <w:r w:rsidR="00774C4E">
        <w:t>Purc</w:t>
      </w:r>
      <w:r w:rsidR="0072751A">
        <w:t>h</w:t>
      </w:r>
      <w:r w:rsidR="00774C4E">
        <w:t>asing</w:t>
      </w:r>
      <w:r w:rsidR="003070A4" w:rsidRPr="000C7580">
        <w:t xml:space="preserve"> </w:t>
      </w:r>
      <w:r w:rsidR="000C40B7">
        <w:t>F</w:t>
      </w:r>
      <w:r w:rsidR="003070A4" w:rsidRPr="000C7580">
        <w:t>ramework (see Figure</w:t>
      </w:r>
      <w:r w:rsidR="000C40B7">
        <w:t xml:space="preserve"> </w:t>
      </w:r>
      <w:r w:rsidR="00DF2A4B">
        <w:t>5</w:t>
      </w:r>
      <w:r w:rsidR="003070A4" w:rsidRPr="000C7580">
        <w:t xml:space="preserve">) </w:t>
      </w:r>
      <w:r w:rsidR="002F13E1">
        <w:t>outlines</w:t>
      </w:r>
      <w:r w:rsidR="003070A4" w:rsidRPr="000C7580">
        <w:t xml:space="preserve"> </w:t>
      </w:r>
      <w:r w:rsidR="000C7580" w:rsidRPr="000C7580">
        <w:t>the Purchaser Principles</w:t>
      </w:r>
      <w:r w:rsidR="003070A4" w:rsidRPr="000C7580">
        <w:t xml:space="preserve"> to support the </w:t>
      </w:r>
      <w:r>
        <w:t xml:space="preserve">DHHS </w:t>
      </w:r>
      <w:r w:rsidR="00F75EA3">
        <w:t>to guide health service planning and delivery in Tasmania that:</w:t>
      </w:r>
    </w:p>
    <w:p w:rsidR="00F75EA3" w:rsidRDefault="00F75EA3" w:rsidP="00455D71">
      <w:pPr>
        <w:pStyle w:val="ListBullet"/>
      </w:pPr>
      <w:r w:rsidRPr="00455D71">
        <w:rPr>
          <w:b/>
        </w:rPr>
        <w:t>targets the health needs of Tasmanians</w:t>
      </w:r>
      <w:r w:rsidR="009856A9">
        <w:t xml:space="preserve"> by:</w:t>
      </w:r>
    </w:p>
    <w:p w:rsidR="00301924" w:rsidRDefault="00301924" w:rsidP="002F7AD2">
      <w:pPr>
        <w:pStyle w:val="ListBullet2"/>
        <w:ind w:left="1418" w:hanging="851"/>
      </w:pPr>
      <w:proofErr w:type="gramStart"/>
      <w:r>
        <w:t>focussing</w:t>
      </w:r>
      <w:proofErr w:type="gramEnd"/>
      <w:r>
        <w:t xml:space="preserve"> on the broader health burden across the State. </w:t>
      </w:r>
    </w:p>
    <w:p w:rsidR="009856A9" w:rsidRPr="009856A9" w:rsidRDefault="008E295D" w:rsidP="00455D71">
      <w:pPr>
        <w:pStyle w:val="ListBullet2"/>
      </w:pPr>
      <w:r>
        <w:rPr>
          <w:lang w:eastAsia="en-AU"/>
        </w:rPr>
        <w:t>s</w:t>
      </w:r>
      <w:r w:rsidR="00CD41AD" w:rsidRPr="00CD41AD">
        <w:rPr>
          <w:lang w:eastAsia="en-AU"/>
        </w:rPr>
        <w:t>upport</w:t>
      </w:r>
      <w:r>
        <w:rPr>
          <w:lang w:eastAsia="en-AU"/>
        </w:rPr>
        <w:t>ing</w:t>
      </w:r>
      <w:r w:rsidR="00CD41AD" w:rsidRPr="00CD41AD">
        <w:rPr>
          <w:lang w:eastAsia="en-AU"/>
        </w:rPr>
        <w:t xml:space="preserve"> the Tasmanian community to become healthier</w:t>
      </w:r>
      <w:r>
        <w:rPr>
          <w:lang w:eastAsia="en-AU"/>
        </w:rPr>
        <w:t xml:space="preserve"> and focussing on promoting healthy habits and behaviours</w:t>
      </w:r>
      <w:r w:rsidR="008A049D">
        <w:rPr>
          <w:lang w:val="en-US" w:eastAsia="en-AU"/>
        </w:rPr>
        <w:t xml:space="preserve"> and improved health literacy,</w:t>
      </w:r>
      <w:r w:rsidR="00A47509">
        <w:rPr>
          <w:lang w:eastAsia="en-AU"/>
        </w:rPr>
        <w:t xml:space="preserve"> and</w:t>
      </w:r>
    </w:p>
    <w:p w:rsidR="00CD41AD" w:rsidRPr="009856A9" w:rsidRDefault="00CD41AD" w:rsidP="00455D71">
      <w:pPr>
        <w:pStyle w:val="ListBullet2"/>
      </w:pPr>
      <w:proofErr w:type="gramStart"/>
      <w:r w:rsidRPr="009856A9">
        <w:rPr>
          <w:lang w:eastAsia="en-AU"/>
        </w:rPr>
        <w:t>reduc</w:t>
      </w:r>
      <w:r w:rsidR="008E295D">
        <w:rPr>
          <w:lang w:eastAsia="en-AU"/>
        </w:rPr>
        <w:t>ing</w:t>
      </w:r>
      <w:proofErr w:type="gramEnd"/>
      <w:r w:rsidRPr="009856A9">
        <w:rPr>
          <w:lang w:eastAsia="en-AU"/>
        </w:rPr>
        <w:t xml:space="preserve"> </w:t>
      </w:r>
      <w:r w:rsidR="00F73850">
        <w:rPr>
          <w:lang w:eastAsia="en-AU"/>
        </w:rPr>
        <w:t xml:space="preserve">avoidable hospitalisations </w:t>
      </w:r>
      <w:r w:rsidR="00243D4D">
        <w:rPr>
          <w:lang w:eastAsia="en-AU"/>
        </w:rPr>
        <w:t>to</w:t>
      </w:r>
      <w:r w:rsidRPr="009856A9">
        <w:rPr>
          <w:lang w:eastAsia="en-AU"/>
        </w:rPr>
        <w:t xml:space="preserve"> improv</w:t>
      </w:r>
      <w:r w:rsidR="00243D4D">
        <w:rPr>
          <w:lang w:eastAsia="en-AU"/>
        </w:rPr>
        <w:t>e</w:t>
      </w:r>
      <w:r w:rsidR="00301924">
        <w:rPr>
          <w:lang w:eastAsia="en-AU"/>
        </w:rPr>
        <w:t xml:space="preserve"> patient outcomes</w:t>
      </w:r>
      <w:r w:rsidR="00A47509">
        <w:rPr>
          <w:lang w:eastAsia="en-AU"/>
        </w:rPr>
        <w:t>.</w:t>
      </w:r>
    </w:p>
    <w:p w:rsidR="00F75EA3" w:rsidRDefault="00F75EA3" w:rsidP="00455D71">
      <w:pPr>
        <w:pStyle w:val="ListBullet"/>
      </w:pPr>
      <w:r w:rsidRPr="00455D71">
        <w:rPr>
          <w:b/>
        </w:rPr>
        <w:t>supports access to quality care</w:t>
      </w:r>
      <w:r w:rsidR="009856A9">
        <w:t xml:space="preserve"> through:</w:t>
      </w:r>
    </w:p>
    <w:p w:rsidR="00024D7F" w:rsidRPr="009856A9" w:rsidRDefault="00A859C1" w:rsidP="00455D71">
      <w:pPr>
        <w:pStyle w:val="ListBullet2"/>
      </w:pPr>
      <w:r>
        <w:rPr>
          <w:lang w:val="en-US"/>
        </w:rPr>
        <w:t xml:space="preserve">purchasing </w:t>
      </w:r>
      <w:r w:rsidR="00024D7F" w:rsidRPr="009856A9">
        <w:t>services that meet the needs</w:t>
      </w:r>
      <w:r w:rsidR="00024D7F">
        <w:t xml:space="preserve"> of Tasmanians</w:t>
      </w:r>
      <w:r w:rsidR="00024D7F" w:rsidRPr="009856A9">
        <w:t xml:space="preserve"> </w:t>
      </w:r>
      <w:r w:rsidR="00C04FE1">
        <w:t xml:space="preserve">at the right time and </w:t>
      </w:r>
      <w:r w:rsidR="00124D01">
        <w:rPr>
          <w:lang w:val="en-US"/>
        </w:rPr>
        <w:t xml:space="preserve">are delivered </w:t>
      </w:r>
      <w:r w:rsidR="00C04FE1">
        <w:t xml:space="preserve">as close to home as </w:t>
      </w:r>
      <w:r w:rsidR="00124D01">
        <w:rPr>
          <w:lang w:val="en-US"/>
        </w:rPr>
        <w:t xml:space="preserve">safely and sustainably </w:t>
      </w:r>
      <w:r w:rsidR="00C04FE1">
        <w:t>practicable</w:t>
      </w:r>
    </w:p>
    <w:p w:rsidR="00301924" w:rsidRDefault="00F71810" w:rsidP="00455D71">
      <w:pPr>
        <w:pStyle w:val="ListBullet2"/>
      </w:pPr>
      <w:r w:rsidRPr="009856A9">
        <w:t>ensuring agreed standards are met and minimum service volumes are maintained</w:t>
      </w:r>
      <w:r w:rsidR="00A47509">
        <w:t>, and</w:t>
      </w:r>
    </w:p>
    <w:p w:rsidR="00F71810" w:rsidRPr="009856A9" w:rsidRDefault="00301924" w:rsidP="00455D71">
      <w:pPr>
        <w:pStyle w:val="ListBullet2"/>
      </w:pPr>
      <w:proofErr w:type="gramStart"/>
      <w:r>
        <w:t>putting</w:t>
      </w:r>
      <w:proofErr w:type="gramEnd"/>
      <w:r>
        <w:t xml:space="preserve"> in place measures that ensure Tasmanians are obtaining value for money from Providers</w:t>
      </w:r>
      <w:r w:rsidR="00A47509">
        <w:t>.</w:t>
      </w:r>
      <w:r w:rsidR="00F71810" w:rsidRPr="009856A9">
        <w:t xml:space="preserve"> </w:t>
      </w:r>
    </w:p>
    <w:p w:rsidR="00F75EA3" w:rsidRDefault="00F75EA3" w:rsidP="00455D71">
      <w:pPr>
        <w:pStyle w:val="ListBullet"/>
      </w:pPr>
      <w:r w:rsidRPr="00455D71">
        <w:rPr>
          <w:b/>
        </w:rPr>
        <w:t>prioritises access to care that is fair and affordable</w:t>
      </w:r>
      <w:r w:rsidR="00637535">
        <w:t xml:space="preserve"> by:</w:t>
      </w:r>
    </w:p>
    <w:p w:rsidR="00BF58B4" w:rsidRDefault="00BF58B4" w:rsidP="00455D71">
      <w:pPr>
        <w:pStyle w:val="ListBullet2"/>
      </w:pPr>
      <w:r>
        <w:t>ensuring that care is delivered at a location that meets the needs of most people in a reasonable manner</w:t>
      </w:r>
    </w:p>
    <w:p w:rsidR="004C5D5C" w:rsidRPr="00637535" w:rsidRDefault="004C5D5C" w:rsidP="00455D71">
      <w:pPr>
        <w:pStyle w:val="ListBullet2"/>
      </w:pPr>
      <w:r w:rsidRPr="00637535">
        <w:t>providing holistic, evidence-based health services that deliver the best patie</w:t>
      </w:r>
      <w:r w:rsidR="00301924">
        <w:t>nt outcomes at affordable costs</w:t>
      </w:r>
    </w:p>
    <w:p w:rsidR="00455D71" w:rsidRDefault="00F71810" w:rsidP="00455D71">
      <w:pPr>
        <w:pStyle w:val="ListBullet2"/>
      </w:pPr>
      <w:r w:rsidRPr="00637535">
        <w:t>strengthening the safety and efficiency of delivered clinical services through an agreed role delineation framework</w:t>
      </w:r>
      <w:r w:rsidR="00A47509">
        <w:t>,</w:t>
      </w:r>
      <w:r w:rsidRPr="00637535">
        <w:t xml:space="preserve"> </w:t>
      </w:r>
      <w:r w:rsidR="00133533" w:rsidRPr="00AB46B8">
        <w:t>and</w:t>
      </w:r>
    </w:p>
    <w:p w:rsidR="00F71810" w:rsidRPr="00637535" w:rsidRDefault="00527D62" w:rsidP="00455D71">
      <w:pPr>
        <w:pStyle w:val="ListBullet2"/>
      </w:pPr>
      <w:proofErr w:type="gramStart"/>
      <w:r>
        <w:rPr>
          <w:lang w:val="en-US"/>
        </w:rPr>
        <w:t>fo</w:t>
      </w:r>
      <w:r w:rsidR="00A859C1">
        <w:rPr>
          <w:lang w:val="en-US"/>
        </w:rPr>
        <w:t>stering</w:t>
      </w:r>
      <w:proofErr w:type="gramEnd"/>
      <w:r w:rsidR="00A859C1">
        <w:rPr>
          <w:lang w:val="en-US"/>
        </w:rPr>
        <w:t xml:space="preserve"> and enhancing high </w:t>
      </w:r>
      <w:r w:rsidR="00401FF4" w:rsidRPr="00AB46B8">
        <w:t>value</w:t>
      </w:r>
      <w:r w:rsidR="00A859C1">
        <w:rPr>
          <w:lang w:val="en-US"/>
        </w:rPr>
        <w:t>-</w:t>
      </w:r>
      <w:r w:rsidR="00401FF4" w:rsidRPr="00AB46B8">
        <w:t>for</w:t>
      </w:r>
      <w:r w:rsidR="00A859C1">
        <w:rPr>
          <w:lang w:val="en-US"/>
        </w:rPr>
        <w:t>-</w:t>
      </w:r>
      <w:r w:rsidR="00401FF4" w:rsidRPr="00AB46B8">
        <w:t xml:space="preserve">money improvements </w:t>
      </w:r>
      <w:r w:rsidR="00A859C1">
        <w:rPr>
          <w:lang w:val="en-US"/>
        </w:rPr>
        <w:t>and innovations</w:t>
      </w:r>
      <w:r w:rsidR="00A47509">
        <w:t>.</w:t>
      </w:r>
    </w:p>
    <w:p w:rsidR="00F75EA3" w:rsidRDefault="00F75EA3" w:rsidP="00455D71">
      <w:pPr>
        <w:pStyle w:val="ListBullet"/>
      </w:pPr>
      <w:r w:rsidRPr="00455D71">
        <w:rPr>
          <w:b/>
        </w:rPr>
        <w:t>new innovative and affordable models of care are supported</w:t>
      </w:r>
      <w:r w:rsidR="00637535">
        <w:t>, which are:</w:t>
      </w:r>
    </w:p>
    <w:p w:rsidR="00F71810" w:rsidRPr="00AB46B8" w:rsidRDefault="00F71810" w:rsidP="00455D71">
      <w:pPr>
        <w:pStyle w:val="ListBullet2"/>
      </w:pPr>
      <w:r w:rsidRPr="00AB46B8">
        <w:t>innovative and flexible enough to adapt to changing circumstances and to meet new challenges</w:t>
      </w:r>
      <w:r w:rsidR="00A47509">
        <w:t>, and</w:t>
      </w:r>
      <w:r w:rsidRPr="00AB46B8">
        <w:t xml:space="preserve"> </w:t>
      </w:r>
    </w:p>
    <w:p w:rsidR="009E73C3" w:rsidRPr="00AB46B8" w:rsidRDefault="009E73C3" w:rsidP="00455D71">
      <w:pPr>
        <w:pStyle w:val="ListBullet2"/>
      </w:pPr>
      <w:proofErr w:type="gramStart"/>
      <w:r w:rsidRPr="00AB46B8">
        <w:t>clinically</w:t>
      </w:r>
      <w:proofErr w:type="gramEnd"/>
      <w:r w:rsidRPr="00AB46B8">
        <w:t xml:space="preserve"> integrated and coordinated</w:t>
      </w:r>
      <w:r w:rsidR="00527D62">
        <w:rPr>
          <w:lang w:val="en-US"/>
        </w:rPr>
        <w:t xml:space="preserve"> for better care</w:t>
      </w:r>
      <w:r w:rsidR="00A47509">
        <w:t>.</w:t>
      </w:r>
    </w:p>
    <w:p w:rsidR="00F75EA3" w:rsidRDefault="00F75EA3" w:rsidP="003070A4">
      <w:pPr>
        <w:rPr>
          <w:highlight w:val="yellow"/>
        </w:rPr>
      </w:pPr>
    </w:p>
    <w:p w:rsidR="00DC046F" w:rsidRDefault="00DC046F" w:rsidP="003070A4">
      <w:pPr>
        <w:rPr>
          <w:highlight w:val="yellow"/>
        </w:rPr>
      </w:pPr>
    </w:p>
    <w:p w:rsidR="00C561BA" w:rsidRDefault="00C561BA" w:rsidP="003070A4">
      <w:pPr>
        <w:rPr>
          <w:highlight w:val="yellow"/>
        </w:rPr>
      </w:pPr>
    </w:p>
    <w:p w:rsidR="00C561BA" w:rsidRDefault="00C561BA" w:rsidP="003070A4">
      <w:pPr>
        <w:rPr>
          <w:highlight w:val="yellow"/>
        </w:rPr>
      </w:pPr>
    </w:p>
    <w:p w:rsidR="00C561BA" w:rsidRDefault="00C561BA" w:rsidP="003070A4">
      <w:pPr>
        <w:rPr>
          <w:highlight w:val="yellow"/>
        </w:rPr>
      </w:pPr>
    </w:p>
    <w:p w:rsidR="00C561BA" w:rsidRDefault="00C561BA" w:rsidP="003070A4">
      <w:pPr>
        <w:rPr>
          <w:highlight w:val="yellow"/>
        </w:rPr>
      </w:pPr>
    </w:p>
    <w:p w:rsidR="00C561BA" w:rsidRDefault="00C561BA" w:rsidP="003070A4">
      <w:pPr>
        <w:rPr>
          <w:highlight w:val="yellow"/>
        </w:rPr>
      </w:pPr>
    </w:p>
    <w:p w:rsidR="00C561BA" w:rsidRDefault="00C561BA" w:rsidP="003070A4">
      <w:pPr>
        <w:rPr>
          <w:highlight w:val="yellow"/>
        </w:rPr>
      </w:pPr>
    </w:p>
    <w:p w:rsidR="00133533" w:rsidRDefault="00133533" w:rsidP="003070A4">
      <w:pPr>
        <w:rPr>
          <w:highlight w:val="yellow"/>
        </w:rPr>
      </w:pPr>
    </w:p>
    <w:bookmarkEnd w:id="9"/>
    <w:p w:rsidR="00647DA1" w:rsidRDefault="00647DA1" w:rsidP="00647DA1">
      <w:pPr>
        <w:rPr>
          <w:b/>
        </w:rPr>
      </w:pPr>
      <w:r w:rsidRPr="00F51AB2">
        <w:rPr>
          <w:b/>
        </w:rPr>
        <w:t xml:space="preserve">Figure </w:t>
      </w:r>
      <w:r w:rsidR="00DF2A4B">
        <w:rPr>
          <w:b/>
        </w:rPr>
        <w:t>5</w:t>
      </w:r>
      <w:r w:rsidRPr="00F51AB2">
        <w:rPr>
          <w:b/>
        </w:rPr>
        <w:t xml:space="preserve">: </w:t>
      </w:r>
      <w:r>
        <w:rPr>
          <w:b/>
        </w:rPr>
        <w:t>Tasmanian Health System Purchasing Framework</w:t>
      </w:r>
    </w:p>
    <w:p w:rsidR="000C7580" w:rsidRDefault="000C7580" w:rsidP="003070A4">
      <w:pPr>
        <w:rPr>
          <w:b/>
        </w:rPr>
      </w:pPr>
    </w:p>
    <w:p w:rsidR="003070A4" w:rsidRPr="00A913D9" w:rsidRDefault="00716AC1" w:rsidP="00647DA1">
      <w:pPr>
        <w:ind w:hanging="142"/>
        <w:rPr>
          <w:b/>
        </w:rPr>
        <w:sectPr w:rsidR="003070A4" w:rsidRPr="00A913D9" w:rsidSect="007637BB">
          <w:headerReference w:type="even" r:id="rId21"/>
          <w:headerReference w:type="default" r:id="rId22"/>
          <w:footerReference w:type="even" r:id="rId23"/>
          <w:footerReference w:type="default" r:id="rId24"/>
          <w:headerReference w:type="first" r:id="rId25"/>
          <w:footerReference w:type="first" r:id="rId26"/>
          <w:type w:val="oddPage"/>
          <w:pgSz w:w="11907" w:h="16839" w:code="9"/>
          <w:pgMar w:top="567" w:right="851" w:bottom="851" w:left="1134" w:header="709" w:footer="709" w:gutter="0"/>
          <w:cols w:space="708"/>
          <w:docGrid w:linePitch="360"/>
        </w:sectPr>
      </w:pPr>
      <w:r>
        <w:rPr>
          <w:noProof/>
          <w:lang w:eastAsia="en-AU"/>
        </w:rPr>
        <w:drawing>
          <wp:inline distT="0" distB="0" distL="0" distR="0" wp14:anchorId="0C23984E" wp14:editId="75F51BBA">
            <wp:extent cx="6334125" cy="5114925"/>
            <wp:effectExtent l="0" t="0" r="9525" b="9525"/>
            <wp:docPr id="22" name="Picture 22" descr="Tasmanian Health System Purchasing Framework" title="Fig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34125" cy="5114925"/>
                    </a:xfrm>
                    <a:prstGeom prst="rect">
                      <a:avLst/>
                    </a:prstGeom>
                  </pic:spPr>
                </pic:pic>
              </a:graphicData>
            </a:graphic>
          </wp:inline>
        </w:drawing>
      </w:r>
    </w:p>
    <w:p w:rsidR="00A85E26" w:rsidRDefault="00A85E26" w:rsidP="00A85E26">
      <w:pPr>
        <w:pStyle w:val="Heading1numbered"/>
        <w:tabs>
          <w:tab w:val="clear" w:pos="1276"/>
        </w:tabs>
        <w:ind w:left="851"/>
      </w:pPr>
      <w:bookmarkStart w:id="10" w:name="_Toc463254926"/>
      <w:r>
        <w:t xml:space="preserve">Key Health </w:t>
      </w:r>
      <w:r w:rsidR="00225E69">
        <w:t>Drivers</w:t>
      </w:r>
      <w:r>
        <w:t xml:space="preserve"> in Tasmania</w:t>
      </w:r>
      <w:bookmarkEnd w:id="10"/>
    </w:p>
    <w:p w:rsidR="00CF007B" w:rsidRPr="00415E90" w:rsidRDefault="00F537F9" w:rsidP="004F114D">
      <w:pPr>
        <w:tabs>
          <w:tab w:val="clear" w:pos="567"/>
        </w:tabs>
        <w:autoSpaceDE w:val="0"/>
        <w:autoSpaceDN w:val="0"/>
        <w:adjustRightInd w:val="0"/>
        <w:rPr>
          <w:rFonts w:cs="MyriadPro-Regular"/>
          <w:lang w:val="en-US" w:eastAsia="en-AU"/>
        </w:rPr>
      </w:pPr>
      <w:r>
        <w:rPr>
          <w:rStyle w:val="IntenseEmphasis"/>
        </w:rPr>
        <w:t>The use of</w:t>
      </w:r>
      <w:r w:rsidR="00D41A64">
        <w:rPr>
          <w:rStyle w:val="IntenseEmphasis"/>
        </w:rPr>
        <w:t xml:space="preserve"> i</w:t>
      </w:r>
      <w:r w:rsidR="00CF007B" w:rsidRPr="00CF007B">
        <w:rPr>
          <w:rFonts w:cs="MyriadPro-Regular"/>
          <w:lang w:eastAsia="en-AU"/>
        </w:rPr>
        <w:t xml:space="preserve">nformation </w:t>
      </w:r>
      <w:r w:rsidR="00D41A64">
        <w:rPr>
          <w:rFonts w:cs="MyriadPro-Regular"/>
          <w:lang w:eastAsia="en-AU"/>
        </w:rPr>
        <w:t xml:space="preserve">and data </w:t>
      </w:r>
      <w:r w:rsidR="00CF007B" w:rsidRPr="00CF007B">
        <w:rPr>
          <w:rFonts w:cs="MyriadPro-Regular"/>
          <w:lang w:eastAsia="en-AU"/>
        </w:rPr>
        <w:t>on the health impacts and distribution of different diseases, injuries and risk</w:t>
      </w:r>
      <w:r w:rsidR="00CF007B">
        <w:rPr>
          <w:rFonts w:cs="MyriadPro-Regular"/>
          <w:lang w:eastAsia="en-AU"/>
        </w:rPr>
        <w:t xml:space="preserve"> </w:t>
      </w:r>
      <w:r w:rsidR="00CF007B" w:rsidRPr="00CF007B">
        <w:rPr>
          <w:rFonts w:cs="MyriadPro-Regular"/>
          <w:lang w:eastAsia="en-AU"/>
        </w:rPr>
        <w:t xml:space="preserve">factors is </w:t>
      </w:r>
      <w:r w:rsidR="00527D62">
        <w:rPr>
          <w:rFonts w:cs="MyriadPro-Regular"/>
          <w:lang w:val="en-US" w:eastAsia="en-AU"/>
        </w:rPr>
        <w:t>crucial</w:t>
      </w:r>
      <w:r w:rsidR="00527D62" w:rsidRPr="00CF007B">
        <w:rPr>
          <w:rFonts w:cs="MyriadPro-Regular"/>
          <w:lang w:eastAsia="en-AU"/>
        </w:rPr>
        <w:t xml:space="preserve"> </w:t>
      </w:r>
      <w:r w:rsidR="00CF007B" w:rsidRPr="00CF007B">
        <w:rPr>
          <w:rFonts w:cs="MyriadPro-Regular"/>
          <w:lang w:eastAsia="en-AU"/>
        </w:rPr>
        <w:t>in providing an evidence base to inform health policy, program and service delivery.</w:t>
      </w:r>
      <w:r w:rsidR="00CF007B">
        <w:rPr>
          <w:rFonts w:cs="MyriadPro-Regular"/>
          <w:lang w:eastAsia="en-AU"/>
        </w:rPr>
        <w:t xml:space="preserve"> </w:t>
      </w:r>
      <w:r w:rsidR="003019C9">
        <w:rPr>
          <w:rFonts w:cs="MyriadPro-Regular"/>
          <w:lang w:val="en-US" w:eastAsia="en-AU"/>
        </w:rPr>
        <w:t>In turn, this</w:t>
      </w:r>
      <w:r w:rsidR="00CF007B" w:rsidRPr="00CF007B">
        <w:rPr>
          <w:rFonts w:cs="MyriadPro-Regular"/>
          <w:lang w:eastAsia="en-AU"/>
        </w:rPr>
        <w:t xml:space="preserve"> helps to ensure </w:t>
      </w:r>
      <w:r w:rsidR="003019C9">
        <w:rPr>
          <w:rFonts w:cs="MyriadPro-Regular"/>
          <w:lang w:val="en-US" w:eastAsia="en-AU"/>
        </w:rPr>
        <w:t>health resources are directed towards services that are</w:t>
      </w:r>
      <w:r w:rsidR="00415E90">
        <w:rPr>
          <w:rFonts w:cs="MyriadPro-Regular"/>
          <w:lang w:eastAsia="en-AU"/>
        </w:rPr>
        <w:t xml:space="preserve"> </w:t>
      </w:r>
      <w:r w:rsidR="00CF007B" w:rsidRPr="00CF007B">
        <w:rPr>
          <w:rFonts w:cs="MyriadPro-Regular"/>
          <w:lang w:eastAsia="en-AU"/>
        </w:rPr>
        <w:t>cost-effective, equitable and optimise</w:t>
      </w:r>
      <w:r w:rsidR="00CF007B">
        <w:rPr>
          <w:rFonts w:cs="MyriadPro-Regular"/>
          <w:lang w:eastAsia="en-AU"/>
        </w:rPr>
        <w:t xml:space="preserve"> </w:t>
      </w:r>
      <w:r w:rsidR="001E68BF">
        <w:rPr>
          <w:rFonts w:cs="MyriadPro-Regular"/>
          <w:lang w:val="en-US" w:eastAsia="en-AU"/>
        </w:rPr>
        <w:t xml:space="preserve">the </w:t>
      </w:r>
      <w:r w:rsidR="00CF007B" w:rsidRPr="00CF007B">
        <w:rPr>
          <w:rFonts w:cs="MyriadPro-Regular"/>
          <w:lang w:eastAsia="en-AU"/>
        </w:rPr>
        <w:t>health</w:t>
      </w:r>
      <w:r w:rsidR="001E68BF">
        <w:rPr>
          <w:rFonts w:cs="MyriadPro-Regular"/>
          <w:lang w:val="en-US" w:eastAsia="en-AU"/>
        </w:rPr>
        <w:t xml:space="preserve"> of Tasmanians.</w:t>
      </w:r>
      <w:r w:rsidR="00CF007B" w:rsidRPr="00CF007B">
        <w:rPr>
          <w:rFonts w:cs="MyriadPro-Regular"/>
          <w:lang w:eastAsia="en-AU"/>
        </w:rPr>
        <w:t xml:space="preserve"> </w:t>
      </w:r>
    </w:p>
    <w:p w:rsidR="008C1C98" w:rsidRDefault="00CF007B" w:rsidP="004F114D">
      <w:pPr>
        <w:tabs>
          <w:tab w:val="clear" w:pos="567"/>
        </w:tabs>
        <w:autoSpaceDE w:val="0"/>
        <w:autoSpaceDN w:val="0"/>
        <w:adjustRightInd w:val="0"/>
        <w:rPr>
          <w:rFonts w:cs="MyriadPro-Regular"/>
          <w:lang w:eastAsia="en-AU"/>
        </w:rPr>
      </w:pPr>
      <w:r>
        <w:rPr>
          <w:rStyle w:val="IntenseEmphasis"/>
        </w:rPr>
        <w:t>T</w:t>
      </w:r>
      <w:r w:rsidR="00F537F9">
        <w:rPr>
          <w:rStyle w:val="IntenseEmphasis"/>
        </w:rPr>
        <w:t xml:space="preserve">he Australian Institute of Health and Welfare (AIHW) is </w:t>
      </w:r>
      <w:r w:rsidR="001E68BF">
        <w:rPr>
          <w:rStyle w:val="IntenseEmphasis"/>
          <w:lang w:val="en-US"/>
        </w:rPr>
        <w:t>established</w:t>
      </w:r>
      <w:r w:rsidR="00507DF5">
        <w:rPr>
          <w:rStyle w:val="IntenseEmphasis"/>
        </w:rPr>
        <w:t xml:space="preserve"> </w:t>
      </w:r>
      <w:r w:rsidR="00F537F9">
        <w:rPr>
          <w:lang w:val="en"/>
        </w:rPr>
        <w:t>by the Australian Government to provide reliable, regular and relevant information and statistics on Australia</w:t>
      </w:r>
      <w:r w:rsidR="001E68BF">
        <w:rPr>
          <w:lang w:val="en-US"/>
        </w:rPr>
        <w:t>ns’</w:t>
      </w:r>
      <w:r w:rsidR="00F537F9">
        <w:rPr>
          <w:lang w:val="en"/>
        </w:rPr>
        <w:t xml:space="preserve"> health and welfare</w:t>
      </w:r>
      <w:r w:rsidR="00717D29">
        <w:rPr>
          <w:lang w:val="en"/>
        </w:rPr>
        <w:t xml:space="preserve">. </w:t>
      </w:r>
      <w:r w:rsidR="008C1C98" w:rsidRPr="00BF5B43">
        <w:rPr>
          <w:rFonts w:cs="MyriadPro-Regular"/>
          <w:lang w:eastAsia="en-AU"/>
        </w:rPr>
        <w:t xml:space="preserve">The </w:t>
      </w:r>
      <w:r w:rsidR="009D0E10">
        <w:rPr>
          <w:rFonts w:cs="MyriadPro-Regular"/>
          <w:lang w:eastAsia="en-AU"/>
        </w:rPr>
        <w:t>AIHW</w:t>
      </w:r>
      <w:r w:rsidR="00717D29">
        <w:rPr>
          <w:rFonts w:cs="MyriadPro-Regular"/>
          <w:lang w:eastAsia="en-AU"/>
        </w:rPr>
        <w:t xml:space="preserve"> produced a report</w:t>
      </w:r>
      <w:r w:rsidR="001E68BF">
        <w:rPr>
          <w:rFonts w:cs="MyriadPro-Regular"/>
          <w:lang w:val="en-US" w:eastAsia="en-AU"/>
        </w:rPr>
        <w:t xml:space="preserve">, the </w:t>
      </w:r>
      <w:r w:rsidR="00717D29">
        <w:rPr>
          <w:rFonts w:cs="MyriadPro-Regular"/>
          <w:lang w:eastAsia="en-AU"/>
        </w:rPr>
        <w:t>‘</w:t>
      </w:r>
      <w:r w:rsidR="008C1C98" w:rsidRPr="009D0E10">
        <w:rPr>
          <w:rFonts w:cs="MyriadPro-Regular"/>
          <w:i/>
          <w:lang w:eastAsia="en-AU"/>
        </w:rPr>
        <w:t>Australian Burden of Disease Study 2011</w:t>
      </w:r>
      <w:r w:rsidR="00717D29">
        <w:rPr>
          <w:rFonts w:cs="MyriadPro-Regular"/>
          <w:i/>
          <w:lang w:eastAsia="en-AU"/>
        </w:rPr>
        <w:t xml:space="preserve">’ </w:t>
      </w:r>
      <w:sdt>
        <w:sdtPr>
          <w:rPr>
            <w:rFonts w:cs="MyriadPro-Regular"/>
            <w:i/>
            <w:lang w:eastAsia="en-AU"/>
          </w:rPr>
          <w:id w:val="878668727"/>
          <w:citation/>
        </w:sdtPr>
        <w:sdtEndPr/>
        <w:sdtContent>
          <w:r w:rsidR="001C5A25">
            <w:rPr>
              <w:rFonts w:cs="MyriadPro-Regular"/>
              <w:i/>
              <w:lang w:eastAsia="en-AU"/>
            </w:rPr>
            <w:fldChar w:fldCharType="begin"/>
          </w:r>
          <w:r w:rsidR="001C5A25">
            <w:rPr>
              <w:rFonts w:cs="MyriadPro-Regular"/>
              <w:i/>
              <w:lang w:eastAsia="en-AU"/>
            </w:rPr>
            <w:instrText xml:space="preserve"> CITATION AIH11 \l 3081 </w:instrText>
          </w:r>
          <w:r w:rsidR="001C5A25">
            <w:rPr>
              <w:rFonts w:cs="MyriadPro-Regular"/>
              <w:i/>
              <w:lang w:eastAsia="en-AU"/>
            </w:rPr>
            <w:fldChar w:fldCharType="separate"/>
          </w:r>
          <w:r w:rsidR="00355CA9" w:rsidRPr="00355CA9">
            <w:rPr>
              <w:rFonts w:cs="MyriadPro-Regular"/>
              <w:noProof/>
              <w:lang w:eastAsia="en-AU"/>
            </w:rPr>
            <w:t>(AIHW, 2011)</w:t>
          </w:r>
          <w:r w:rsidR="001C5A25">
            <w:rPr>
              <w:rFonts w:cs="MyriadPro-Regular"/>
              <w:i/>
              <w:lang w:eastAsia="en-AU"/>
            </w:rPr>
            <w:fldChar w:fldCharType="end"/>
          </w:r>
        </w:sdtContent>
      </w:sdt>
      <w:r w:rsidR="001C5A25">
        <w:rPr>
          <w:rFonts w:cs="MyriadPro-Regular"/>
          <w:i/>
          <w:lang w:eastAsia="en-AU"/>
        </w:rPr>
        <w:t xml:space="preserve"> </w:t>
      </w:r>
      <w:r w:rsidR="00717D29" w:rsidRPr="00717D29">
        <w:rPr>
          <w:rFonts w:cs="MyriadPro-Regular"/>
          <w:lang w:eastAsia="en-AU"/>
        </w:rPr>
        <w:t>which</w:t>
      </w:r>
      <w:r w:rsidR="008C1C98" w:rsidRPr="00BF5B43">
        <w:rPr>
          <w:rFonts w:cs="MyriadPro-Regular"/>
          <w:lang w:eastAsia="en-AU"/>
        </w:rPr>
        <w:t xml:space="preserve"> </w:t>
      </w:r>
      <w:r w:rsidR="006C4C18">
        <w:rPr>
          <w:rFonts w:cs="MyriadPro-Regular"/>
          <w:lang w:val="en-US" w:eastAsia="en-AU"/>
        </w:rPr>
        <w:t>provides</w:t>
      </w:r>
      <w:r w:rsidR="00507DF5">
        <w:rPr>
          <w:rFonts w:cs="MyriadPro-Regular"/>
          <w:lang w:eastAsia="en-AU"/>
        </w:rPr>
        <w:t xml:space="preserve"> </w:t>
      </w:r>
      <w:r w:rsidR="008C1C98" w:rsidRPr="00BF5B43">
        <w:rPr>
          <w:rFonts w:cs="MyriadPro-Regular"/>
          <w:lang w:eastAsia="en-AU"/>
        </w:rPr>
        <w:t xml:space="preserve">updated, comparable evidence </w:t>
      </w:r>
      <w:r w:rsidR="00321E8D">
        <w:rPr>
          <w:rFonts w:cs="MyriadPro-Regular"/>
          <w:lang w:eastAsia="en-AU"/>
        </w:rPr>
        <w:t xml:space="preserve">on </w:t>
      </w:r>
      <w:r w:rsidR="00321E8D" w:rsidRPr="00BF5B43">
        <w:rPr>
          <w:rFonts w:cs="MyriadPro-Regular"/>
          <w:lang w:eastAsia="en-AU"/>
        </w:rPr>
        <w:t>the</w:t>
      </w:r>
      <w:r w:rsidR="00321E8D">
        <w:rPr>
          <w:rFonts w:cs="MyriadPro-Regular"/>
          <w:lang w:eastAsia="en-AU"/>
        </w:rPr>
        <w:t xml:space="preserve"> </w:t>
      </w:r>
      <w:r w:rsidR="00321E8D" w:rsidRPr="00BF5B43">
        <w:rPr>
          <w:rFonts w:cs="MyriadPro-Regular"/>
          <w:lang w:eastAsia="en-AU"/>
        </w:rPr>
        <w:t>health of the Australian population</w:t>
      </w:r>
      <w:r w:rsidR="00321E8D">
        <w:rPr>
          <w:rFonts w:cs="MyriadPro-Regular"/>
          <w:lang w:eastAsia="en-AU"/>
        </w:rPr>
        <w:t xml:space="preserve"> and </w:t>
      </w:r>
      <w:r w:rsidR="00321E8D" w:rsidRPr="00BF5B43">
        <w:rPr>
          <w:rFonts w:cs="MyriadPro-Regular"/>
          <w:lang w:eastAsia="en-AU"/>
        </w:rPr>
        <w:t xml:space="preserve">provides estimates of the total, fatal and </w:t>
      </w:r>
      <w:r w:rsidR="006C4C18">
        <w:rPr>
          <w:rFonts w:cs="MyriadPro-Regular"/>
          <w:lang w:val="en-US" w:eastAsia="en-AU"/>
        </w:rPr>
        <w:t>non-</w:t>
      </w:r>
      <w:r w:rsidR="00321E8D" w:rsidRPr="00BF5B43">
        <w:rPr>
          <w:rFonts w:cs="MyriadPro-Regular"/>
          <w:lang w:eastAsia="en-AU"/>
        </w:rPr>
        <w:t xml:space="preserve">fatal </w:t>
      </w:r>
      <w:r w:rsidR="006C4C18">
        <w:rPr>
          <w:rFonts w:cs="MyriadPro-Regular"/>
          <w:lang w:val="en-US" w:eastAsia="en-AU"/>
        </w:rPr>
        <w:t xml:space="preserve">disease </w:t>
      </w:r>
      <w:r w:rsidR="00321E8D" w:rsidRPr="00BF5B43">
        <w:rPr>
          <w:rFonts w:cs="MyriadPro-Regular"/>
          <w:lang w:eastAsia="en-AU"/>
        </w:rPr>
        <w:t>burden</w:t>
      </w:r>
      <w:r w:rsidR="006C4C18">
        <w:rPr>
          <w:rFonts w:cs="MyriadPro-Regular"/>
          <w:lang w:val="en-US" w:eastAsia="en-AU"/>
        </w:rPr>
        <w:t>s</w:t>
      </w:r>
      <w:r w:rsidR="00321E8D">
        <w:rPr>
          <w:rFonts w:cs="MyriadPro-Regular"/>
          <w:lang w:eastAsia="en-AU"/>
        </w:rPr>
        <w:t xml:space="preserve"> </w:t>
      </w:r>
      <w:r w:rsidR="00321E8D" w:rsidRPr="00BF5B43">
        <w:rPr>
          <w:rFonts w:cs="MyriadPro-Regular"/>
          <w:lang w:eastAsia="en-AU"/>
        </w:rPr>
        <w:t>for</w:t>
      </w:r>
      <w:r w:rsidR="00321E8D">
        <w:rPr>
          <w:rFonts w:cs="MyriadPro-Regular"/>
          <w:lang w:eastAsia="en-AU"/>
        </w:rPr>
        <w:t xml:space="preserve"> </w:t>
      </w:r>
      <w:r w:rsidR="008C1C98" w:rsidRPr="00BF5B43">
        <w:rPr>
          <w:rFonts w:cs="MyriadPro-Regular"/>
          <w:lang w:eastAsia="en-AU"/>
        </w:rPr>
        <w:t>the Australian population</w:t>
      </w:r>
      <w:r>
        <w:rPr>
          <w:rFonts w:cs="MyriadPro-Regular"/>
          <w:lang w:eastAsia="en-AU"/>
        </w:rPr>
        <w:t xml:space="preserve">, </w:t>
      </w:r>
      <w:r w:rsidR="006C4C18">
        <w:rPr>
          <w:rFonts w:cs="MyriadPro-Regular"/>
          <w:lang w:val="en-US" w:eastAsia="en-AU"/>
        </w:rPr>
        <w:t>including by</w:t>
      </w:r>
      <w:r>
        <w:rPr>
          <w:rFonts w:cs="MyriadPro-Regular"/>
          <w:lang w:eastAsia="en-AU"/>
        </w:rPr>
        <w:t xml:space="preserve"> state and territory</w:t>
      </w:r>
      <w:r w:rsidR="008C1C98" w:rsidRPr="00BF5B43">
        <w:rPr>
          <w:rFonts w:cs="MyriadPro-Regular"/>
          <w:lang w:eastAsia="en-AU"/>
        </w:rPr>
        <w:t>.</w:t>
      </w:r>
    </w:p>
    <w:p w:rsidR="000F0E15" w:rsidRPr="000F0E15" w:rsidRDefault="000F0E15" w:rsidP="004F114D">
      <w:pPr>
        <w:tabs>
          <w:tab w:val="clear" w:pos="567"/>
        </w:tabs>
        <w:autoSpaceDE w:val="0"/>
        <w:autoSpaceDN w:val="0"/>
        <w:adjustRightInd w:val="0"/>
        <w:rPr>
          <w:rFonts w:cs="MyriadPro-Regular"/>
          <w:lang w:eastAsia="en-AU"/>
        </w:rPr>
      </w:pPr>
      <w:r>
        <w:rPr>
          <w:rFonts w:cs="MyriadPro-Regular"/>
          <w:lang w:eastAsia="en-AU"/>
        </w:rPr>
        <w:t>The D</w:t>
      </w:r>
      <w:r w:rsidR="009A1B4A">
        <w:rPr>
          <w:rFonts w:cs="MyriadPro-Regular"/>
          <w:lang w:val="en-US" w:eastAsia="en-AU"/>
        </w:rPr>
        <w:t>HHS’</w:t>
      </w:r>
      <w:r>
        <w:rPr>
          <w:rFonts w:cs="MyriadPro-Regular"/>
          <w:lang w:eastAsia="en-AU"/>
        </w:rPr>
        <w:t xml:space="preserve"> ‘</w:t>
      </w:r>
      <w:r w:rsidRPr="000F0E15">
        <w:rPr>
          <w:rFonts w:cs="MyriadPro-Regular"/>
          <w:i/>
          <w:lang w:eastAsia="en-AU"/>
        </w:rPr>
        <w:t>Health Indicators Tasmania 2013</w:t>
      </w:r>
      <w:r>
        <w:rPr>
          <w:rFonts w:cs="MyriadPro-Regular"/>
          <w:i/>
          <w:lang w:eastAsia="en-AU"/>
        </w:rPr>
        <w:t xml:space="preserve">’ </w:t>
      </w:r>
      <w:sdt>
        <w:sdtPr>
          <w:rPr>
            <w:rFonts w:cs="MyriadPro-Regular"/>
            <w:i/>
            <w:lang w:eastAsia="en-AU"/>
          </w:rPr>
          <w:id w:val="-1885560359"/>
          <w:citation/>
        </w:sdtPr>
        <w:sdtEndPr/>
        <w:sdtContent>
          <w:r w:rsidR="001C5A25">
            <w:rPr>
              <w:rFonts w:cs="MyriadPro-Regular"/>
              <w:i/>
              <w:lang w:eastAsia="en-AU"/>
            </w:rPr>
            <w:fldChar w:fldCharType="begin"/>
          </w:r>
          <w:r w:rsidR="001C5A25">
            <w:rPr>
              <w:rFonts w:cs="MyriadPro-Regular"/>
              <w:i/>
              <w:lang w:eastAsia="en-AU"/>
            </w:rPr>
            <w:instrText xml:space="preserve"> CITATION DHH13 \l 3081 </w:instrText>
          </w:r>
          <w:r w:rsidR="001C5A25">
            <w:rPr>
              <w:rFonts w:cs="MyriadPro-Regular"/>
              <w:i/>
              <w:lang w:eastAsia="en-AU"/>
            </w:rPr>
            <w:fldChar w:fldCharType="separate"/>
          </w:r>
          <w:r w:rsidR="00355CA9" w:rsidRPr="00355CA9">
            <w:rPr>
              <w:rFonts w:cs="MyriadPro-Regular"/>
              <w:noProof/>
              <w:lang w:eastAsia="en-AU"/>
            </w:rPr>
            <w:t>(DHHS, 2013)</w:t>
          </w:r>
          <w:r w:rsidR="001C5A25">
            <w:rPr>
              <w:rFonts w:cs="MyriadPro-Regular"/>
              <w:i/>
              <w:lang w:eastAsia="en-AU"/>
            </w:rPr>
            <w:fldChar w:fldCharType="end"/>
          </w:r>
        </w:sdtContent>
      </w:sdt>
      <w:r w:rsidR="001C5A25">
        <w:rPr>
          <w:rFonts w:cs="MyriadPro-Regular"/>
          <w:i/>
          <w:lang w:eastAsia="en-AU"/>
        </w:rPr>
        <w:t xml:space="preserve"> </w:t>
      </w:r>
      <w:r w:rsidR="009A1B4A">
        <w:rPr>
          <w:lang w:val="en-US"/>
        </w:rPr>
        <w:t>compiles</w:t>
      </w:r>
      <w:r w:rsidR="001B1B17">
        <w:t xml:space="preserve"> the key markers of </w:t>
      </w:r>
      <w:r w:rsidR="009A1B4A">
        <w:rPr>
          <w:lang w:val="en-US"/>
        </w:rPr>
        <w:t xml:space="preserve">the health of </w:t>
      </w:r>
      <w:r w:rsidR="001B1B17">
        <w:t>Tasmania</w:t>
      </w:r>
      <w:r w:rsidR="00D641DE">
        <w:rPr>
          <w:lang w:val="en-US"/>
        </w:rPr>
        <w:t>ns</w:t>
      </w:r>
      <w:r w:rsidR="001B1B17">
        <w:t>, including the latest demographics, health equity, population ageing, lifestyle risk factors, major causes of morbidity and mortality, primary care issues and other issues of concern</w:t>
      </w:r>
      <w:r w:rsidR="008231EA">
        <w:t>.</w:t>
      </w:r>
      <w:r w:rsidR="001B1B17">
        <w:t xml:space="preserve"> Monitoring the health of Tasmanians is fundamental to </w:t>
      </w:r>
      <w:r w:rsidR="00D641DE">
        <w:rPr>
          <w:lang w:val="en-US"/>
        </w:rPr>
        <w:t>generating</w:t>
      </w:r>
      <w:r w:rsidR="00D641DE">
        <w:t xml:space="preserve"> </w:t>
      </w:r>
      <w:r w:rsidR="001B1B17">
        <w:t>evidence-based service</w:t>
      </w:r>
      <w:r w:rsidR="007C2771">
        <w:t xml:space="preserve"> planning</w:t>
      </w:r>
      <w:r w:rsidR="001B1B17">
        <w:t xml:space="preserve"> and health promotion strategies.</w:t>
      </w:r>
    </w:p>
    <w:p w:rsidR="00D96A2C" w:rsidRPr="00D96A2C" w:rsidRDefault="00D96A2C" w:rsidP="00CA1788">
      <w:pPr>
        <w:pStyle w:val="Heading2numbered"/>
      </w:pPr>
      <w:bookmarkStart w:id="11" w:name="_Toc463254927"/>
      <w:r w:rsidRPr="00D96A2C">
        <w:t>Tasmania</w:t>
      </w:r>
      <w:r w:rsidR="00D63187">
        <w:t>n</w:t>
      </w:r>
      <w:r w:rsidR="006578F3">
        <w:t xml:space="preserve"> Health Indicators</w:t>
      </w:r>
      <w:bookmarkEnd w:id="11"/>
      <w:r w:rsidR="006578F3">
        <w:t xml:space="preserve"> </w:t>
      </w:r>
    </w:p>
    <w:p w:rsidR="00D96A2C" w:rsidRPr="00162AEE" w:rsidRDefault="00E861B8" w:rsidP="00DD01EB">
      <w:pPr>
        <w:pStyle w:val="Heading7"/>
        <w:ind w:left="851"/>
        <w:rPr>
          <w:rStyle w:val="IntenseEmphasis"/>
        </w:rPr>
      </w:pPr>
      <w:r w:rsidRPr="009A4CC4">
        <w:t>Population d</w:t>
      </w:r>
      <w:r w:rsidR="00D96A2C" w:rsidRPr="009A4CC4">
        <w:t>istribution</w:t>
      </w:r>
      <w:sdt>
        <w:sdtPr>
          <w:rPr>
            <w:rStyle w:val="IntenseEmphasis"/>
          </w:rPr>
          <w:id w:val="-779036815"/>
          <w:citation/>
        </w:sdtPr>
        <w:sdtEndPr>
          <w:rPr>
            <w:rStyle w:val="DefaultParagraphFont"/>
            <w:sz w:val="22"/>
            <w:szCs w:val="22"/>
          </w:rPr>
        </w:sdtEndPr>
        <w:sdtContent>
          <w:r w:rsidR="002F67C5" w:rsidRPr="00DD01EB">
            <w:rPr>
              <w:sz w:val="22"/>
              <w:szCs w:val="22"/>
            </w:rPr>
            <w:fldChar w:fldCharType="begin"/>
          </w:r>
          <w:r w:rsidR="002F67C5" w:rsidRPr="00DD01EB">
            <w:rPr>
              <w:sz w:val="22"/>
              <w:szCs w:val="22"/>
            </w:rPr>
            <w:instrText xml:space="preserve"> CITATION DHH13 \l 3081 </w:instrText>
          </w:r>
          <w:r w:rsidR="002F67C5" w:rsidRPr="00DD01EB">
            <w:rPr>
              <w:sz w:val="22"/>
              <w:szCs w:val="22"/>
            </w:rPr>
            <w:fldChar w:fldCharType="separate"/>
          </w:r>
          <w:r w:rsidR="00355CA9">
            <w:rPr>
              <w:noProof/>
              <w:sz w:val="22"/>
              <w:szCs w:val="22"/>
            </w:rPr>
            <w:t xml:space="preserve"> </w:t>
          </w:r>
          <w:r w:rsidR="00355CA9" w:rsidRPr="00355CA9">
            <w:rPr>
              <w:noProof/>
              <w:sz w:val="22"/>
              <w:szCs w:val="22"/>
            </w:rPr>
            <w:t>(DHHS, 2013)</w:t>
          </w:r>
          <w:r w:rsidR="002F67C5" w:rsidRPr="00DD01EB">
            <w:rPr>
              <w:sz w:val="22"/>
              <w:szCs w:val="22"/>
            </w:rPr>
            <w:fldChar w:fldCharType="end"/>
          </w:r>
        </w:sdtContent>
      </w:sdt>
    </w:p>
    <w:p w:rsidR="00A9671D" w:rsidRDefault="003573C3" w:rsidP="005D57A4">
      <w:pPr>
        <w:jc w:val="both"/>
      </w:pPr>
      <w:r>
        <w:t>A</w:t>
      </w:r>
      <w:r w:rsidR="00D641DE">
        <w:rPr>
          <w:lang w:val="en-US"/>
        </w:rPr>
        <w:t xml:space="preserve">t </w:t>
      </w:r>
      <w:r>
        <w:t>the 2011 ABS Census, t</w:t>
      </w:r>
      <w:r w:rsidR="00142DF0">
        <w:t>he net population of Tasmania</w:t>
      </w:r>
      <w:r w:rsidR="00A9671D">
        <w:t xml:space="preserve"> </w:t>
      </w:r>
      <w:r w:rsidR="00D641DE">
        <w:rPr>
          <w:lang w:val="en-US"/>
        </w:rPr>
        <w:t>was</w:t>
      </w:r>
      <w:r w:rsidR="00A9671D">
        <w:t xml:space="preserve"> approximately </w:t>
      </w:r>
      <w:r>
        <w:t>495</w:t>
      </w:r>
      <w:r w:rsidR="009C4A28">
        <w:t xml:space="preserve"> 3</w:t>
      </w:r>
      <w:r>
        <w:t>54</w:t>
      </w:r>
      <w:r w:rsidR="00D641DE">
        <w:rPr>
          <w:lang w:val="en-US"/>
        </w:rPr>
        <w:t>,</w:t>
      </w:r>
      <w:r w:rsidR="00A9671D">
        <w:t xml:space="preserve"> and ha</w:t>
      </w:r>
      <w:r w:rsidR="00D641DE">
        <w:rPr>
          <w:lang w:val="en-US"/>
        </w:rPr>
        <w:t>d</w:t>
      </w:r>
      <w:r w:rsidR="00A9671D">
        <w:t xml:space="preserve"> been steadily growing</w:t>
      </w:r>
      <w:r w:rsidR="007E245A">
        <w:t>,</w:t>
      </w:r>
      <w:r w:rsidR="00A9671D">
        <w:t xml:space="preserve"> at a variable rate</w:t>
      </w:r>
      <w:r w:rsidR="00142DF0">
        <w:t xml:space="preserve">. </w:t>
      </w:r>
      <w:r w:rsidR="006F13C6">
        <w:t xml:space="preserve">State Treasury projections </w:t>
      </w:r>
      <w:sdt>
        <w:sdtPr>
          <w:id w:val="-1854104163"/>
          <w:citation/>
        </w:sdtPr>
        <w:sdtEndPr/>
        <w:sdtContent>
          <w:r w:rsidR="006F13C6">
            <w:fldChar w:fldCharType="begin"/>
          </w:r>
          <w:r w:rsidR="006F13C6">
            <w:instrText xml:space="preserve"> CITATION Tas14 \l 3081 </w:instrText>
          </w:r>
          <w:r w:rsidR="006F13C6">
            <w:fldChar w:fldCharType="separate"/>
          </w:r>
          <w:r w:rsidR="00355CA9">
            <w:rPr>
              <w:noProof/>
            </w:rPr>
            <w:t>(Treasury, 2014)</w:t>
          </w:r>
          <w:r w:rsidR="006F13C6">
            <w:fldChar w:fldCharType="end"/>
          </w:r>
        </w:sdtContent>
      </w:sdt>
      <w:r w:rsidR="006F13C6">
        <w:t xml:space="preserve"> </w:t>
      </w:r>
      <w:r w:rsidR="0001053E">
        <w:t>anticipate</w:t>
      </w:r>
      <w:r w:rsidR="006F13C6">
        <w:t xml:space="preserve"> the Tasmanian population will begin to plateau at around 2045</w:t>
      </w:r>
      <w:r w:rsidR="0095137C">
        <w:rPr>
          <w:lang w:val="en-US"/>
        </w:rPr>
        <w:t>, reaching</w:t>
      </w:r>
      <w:r w:rsidR="006F13C6">
        <w:t xml:space="preserve"> a population of approximately </w:t>
      </w:r>
      <w:r w:rsidR="006F13C6" w:rsidRPr="006F13C6">
        <w:t>589</w:t>
      </w:r>
      <w:r w:rsidR="006F13C6">
        <w:t> </w:t>
      </w:r>
      <w:r w:rsidR="006F13C6" w:rsidRPr="006F13C6">
        <w:t>000</w:t>
      </w:r>
      <w:r w:rsidR="006F13C6">
        <w:t xml:space="preserve"> by 2062</w:t>
      </w:r>
      <w:r w:rsidR="00A9671D">
        <w:t xml:space="preserve">. </w:t>
      </w:r>
    </w:p>
    <w:p w:rsidR="00186274" w:rsidRDefault="00707806" w:rsidP="005D57A4">
      <w:pPr>
        <w:jc w:val="both"/>
      </w:pPr>
      <w:r>
        <w:t>Tasmania has a geographical</w:t>
      </w:r>
      <w:r w:rsidR="00142DF0">
        <w:t>ly</w:t>
      </w:r>
      <w:r>
        <w:t xml:space="preserve"> </w:t>
      </w:r>
      <w:r w:rsidR="00580029">
        <w:rPr>
          <w:lang w:val="en-US"/>
        </w:rPr>
        <w:t>dispersed</w:t>
      </w:r>
      <w:r w:rsidR="00A9671D">
        <w:t xml:space="preserve"> population</w:t>
      </w:r>
      <w:r w:rsidR="00580029">
        <w:rPr>
          <w:lang w:val="en-US"/>
        </w:rPr>
        <w:t>,</w:t>
      </w:r>
      <w:r w:rsidR="00A9671D">
        <w:t xml:space="preserve"> with</w:t>
      </w:r>
      <w:r>
        <w:t xml:space="preserve"> 98% of the Tasmanian population spread between the “inner regional” and “outer regional” national population categories. The </w:t>
      </w:r>
      <w:r w:rsidR="007927CB">
        <w:t>remaining</w:t>
      </w:r>
      <w:r>
        <w:t xml:space="preserve"> 2% falls into either “remote” or “very remote”</w:t>
      </w:r>
      <w:r w:rsidR="00186274">
        <w:t xml:space="preserve">. Distribution of the population </w:t>
      </w:r>
      <w:r w:rsidR="005E6F3A">
        <w:t>for each of the reg</w:t>
      </w:r>
      <w:r w:rsidR="00186274">
        <w:t xml:space="preserve">ions within </w:t>
      </w:r>
      <w:r w:rsidR="008647C7">
        <w:t>Tasmania</w:t>
      </w:r>
      <w:r w:rsidR="00186274">
        <w:t xml:space="preserve"> </w:t>
      </w:r>
      <w:r w:rsidR="002F67C5">
        <w:t xml:space="preserve">is shown in the table </w:t>
      </w:r>
      <w:r w:rsidR="005E643B">
        <w:t>below</w:t>
      </w:r>
      <w:r w:rsidR="002F67C5">
        <w:t>.</w:t>
      </w:r>
    </w:p>
    <w:p w:rsidR="0093509E" w:rsidRDefault="00CF6D43" w:rsidP="0093509E">
      <w:pPr>
        <w:pStyle w:val="Heading7"/>
        <w:numPr>
          <w:ilvl w:val="0"/>
          <w:numId w:val="0"/>
        </w:numPr>
        <w:ind w:left="3686"/>
      </w:pPr>
      <w:r>
        <w:rPr>
          <w:noProof/>
          <w:lang w:eastAsia="en-AU"/>
        </w:rPr>
        <w:drawing>
          <wp:anchor distT="0" distB="0" distL="114300" distR="114300" simplePos="0" relativeHeight="251667456" behindDoc="1" locked="0" layoutInCell="1" allowOverlap="1" wp14:anchorId="125236E3" wp14:editId="5A127D20">
            <wp:simplePos x="0" y="0"/>
            <wp:positionH relativeFrom="column">
              <wp:posOffset>321945</wp:posOffset>
            </wp:positionH>
            <wp:positionV relativeFrom="paragraph">
              <wp:posOffset>141605</wp:posOffset>
            </wp:positionV>
            <wp:extent cx="5294630" cy="1735455"/>
            <wp:effectExtent l="0" t="0" r="1270" b="0"/>
            <wp:wrapTight wrapText="bothSides">
              <wp:wrapPolygon edited="0">
                <wp:start x="0" y="0"/>
                <wp:lineTo x="0" y="21339"/>
                <wp:lineTo x="21527" y="21339"/>
                <wp:lineTo x="21527" y="0"/>
                <wp:lineTo x="0" y="0"/>
              </wp:wrapPolygon>
            </wp:wrapTight>
            <wp:docPr id="6" name="Picture 6" descr="Distribution of the population for each of the regions within Tasmania is shown in the table below.&#10;&#10;South - 247,461 50%&#10;North - 137,561 27.8%&#10;North West - 109,147 22%&#10;No usual address - 1,185 0.2%&#10;Tasmania 495,354 100%&#10;ABS Censu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4630" cy="1735455"/>
                    </a:xfrm>
                    <a:prstGeom prst="rect">
                      <a:avLst/>
                    </a:prstGeom>
                    <a:noFill/>
                  </pic:spPr>
                </pic:pic>
              </a:graphicData>
            </a:graphic>
            <wp14:sizeRelH relativeFrom="page">
              <wp14:pctWidth>0</wp14:pctWidth>
            </wp14:sizeRelH>
            <wp14:sizeRelV relativeFrom="page">
              <wp14:pctHeight>0</wp14:pctHeight>
            </wp14:sizeRelV>
          </wp:anchor>
        </w:drawing>
      </w:r>
    </w:p>
    <w:p w:rsidR="0093509E" w:rsidRDefault="0093509E" w:rsidP="0093509E">
      <w:pPr>
        <w:pStyle w:val="Heading7"/>
        <w:numPr>
          <w:ilvl w:val="0"/>
          <w:numId w:val="0"/>
        </w:numPr>
        <w:ind w:left="3686"/>
      </w:pPr>
    </w:p>
    <w:p w:rsidR="0093509E" w:rsidRDefault="0093509E" w:rsidP="0093509E">
      <w:pPr>
        <w:pStyle w:val="Heading7"/>
        <w:numPr>
          <w:ilvl w:val="0"/>
          <w:numId w:val="0"/>
        </w:numPr>
        <w:ind w:left="3686"/>
      </w:pPr>
    </w:p>
    <w:p w:rsidR="0093509E" w:rsidRDefault="0093509E" w:rsidP="0093509E">
      <w:pPr>
        <w:pStyle w:val="Heading7"/>
        <w:numPr>
          <w:ilvl w:val="0"/>
          <w:numId w:val="0"/>
        </w:numPr>
        <w:ind w:left="3686"/>
      </w:pPr>
    </w:p>
    <w:p w:rsidR="0093509E" w:rsidRDefault="0093509E" w:rsidP="0093509E">
      <w:pPr>
        <w:pStyle w:val="Heading7"/>
        <w:numPr>
          <w:ilvl w:val="0"/>
          <w:numId w:val="0"/>
        </w:numPr>
        <w:ind w:left="3686"/>
      </w:pPr>
    </w:p>
    <w:p w:rsidR="00CF6D43" w:rsidRPr="00CF6D43" w:rsidRDefault="00CF6D43" w:rsidP="00CF6D43">
      <w:pPr>
        <w:pStyle w:val="Heading7"/>
        <w:numPr>
          <w:ilvl w:val="0"/>
          <w:numId w:val="0"/>
        </w:numPr>
        <w:ind w:left="4537" w:hanging="851"/>
        <w:rPr>
          <w:b w:val="0"/>
          <w:bCs w:val="0"/>
          <w:i/>
          <w:iCs w:val="0"/>
          <w:color w:val="4F81BD" w:themeColor="accent1"/>
        </w:rPr>
      </w:pPr>
    </w:p>
    <w:p w:rsidR="00522DE3" w:rsidRPr="00861BAD" w:rsidRDefault="00522DE3" w:rsidP="0093509E">
      <w:pPr>
        <w:pStyle w:val="Heading7"/>
        <w:ind w:left="851"/>
      </w:pPr>
      <w:r w:rsidRPr="009A4CC4">
        <w:rPr>
          <w:rStyle w:val="IntenseEmphasis"/>
        </w:rPr>
        <w:t>Life</w:t>
      </w:r>
      <w:r w:rsidRPr="009A4CC4">
        <w:t xml:space="preserve"> Expectancy</w:t>
      </w:r>
      <w:sdt>
        <w:sdtPr>
          <w:id w:val="672070876"/>
          <w:citation/>
        </w:sdtPr>
        <w:sdtEndPr>
          <w:rPr>
            <w:sz w:val="22"/>
            <w:szCs w:val="22"/>
          </w:rPr>
        </w:sdtEndPr>
        <w:sdtContent>
          <w:r w:rsidR="002F67C5" w:rsidRPr="0049678A">
            <w:rPr>
              <w:sz w:val="22"/>
              <w:szCs w:val="22"/>
            </w:rPr>
            <w:fldChar w:fldCharType="begin"/>
          </w:r>
          <w:r w:rsidR="002F67C5" w:rsidRPr="0049678A">
            <w:rPr>
              <w:sz w:val="22"/>
              <w:szCs w:val="22"/>
            </w:rPr>
            <w:instrText xml:space="preserve"> CITATION DHH13 \l 3081 </w:instrText>
          </w:r>
          <w:r w:rsidR="002F67C5" w:rsidRPr="0049678A">
            <w:rPr>
              <w:sz w:val="22"/>
              <w:szCs w:val="22"/>
            </w:rPr>
            <w:fldChar w:fldCharType="separate"/>
          </w:r>
          <w:r w:rsidR="00355CA9">
            <w:rPr>
              <w:noProof/>
              <w:sz w:val="22"/>
              <w:szCs w:val="22"/>
            </w:rPr>
            <w:t xml:space="preserve"> </w:t>
          </w:r>
          <w:r w:rsidR="00355CA9" w:rsidRPr="00355CA9">
            <w:rPr>
              <w:noProof/>
              <w:sz w:val="22"/>
              <w:szCs w:val="22"/>
            </w:rPr>
            <w:t>(DHHS, 2013)</w:t>
          </w:r>
          <w:r w:rsidR="002F67C5" w:rsidRPr="0049678A">
            <w:rPr>
              <w:sz w:val="22"/>
              <w:szCs w:val="22"/>
            </w:rPr>
            <w:fldChar w:fldCharType="end"/>
          </w:r>
        </w:sdtContent>
      </w:sdt>
    </w:p>
    <w:p w:rsidR="00522DE3" w:rsidRDefault="003F65CC" w:rsidP="005D57A4">
      <w:pPr>
        <w:jc w:val="both"/>
        <w:rPr>
          <w:rStyle w:val="IntenseEmphasis"/>
          <w:b/>
        </w:rPr>
      </w:pPr>
      <w:r w:rsidRPr="003F65CC">
        <w:rPr>
          <w:rStyle w:val="IntenseEmphasis"/>
        </w:rPr>
        <w:t>Life expectancy</w:t>
      </w:r>
      <w:r>
        <w:rPr>
          <w:rStyle w:val="IntenseEmphasis"/>
        </w:rPr>
        <w:t xml:space="preserve"> in Tasmania, </w:t>
      </w:r>
      <w:proofErr w:type="spellStart"/>
      <w:r>
        <w:rPr>
          <w:rStyle w:val="IntenseEmphasis"/>
        </w:rPr>
        <w:t>whil</w:t>
      </w:r>
      <w:proofErr w:type="spellEnd"/>
      <w:r w:rsidR="00580029">
        <w:rPr>
          <w:rStyle w:val="IntenseEmphasis"/>
          <w:lang w:val="en-US"/>
        </w:rPr>
        <w:t>e</w:t>
      </w:r>
      <w:r>
        <w:rPr>
          <w:rStyle w:val="IntenseEmphasis"/>
        </w:rPr>
        <w:t xml:space="preserve"> increasing</w:t>
      </w:r>
      <w:r w:rsidR="00580029">
        <w:rPr>
          <w:rStyle w:val="IntenseEmphasis"/>
          <w:lang w:val="en-US"/>
        </w:rPr>
        <w:t>,</w:t>
      </w:r>
      <w:r>
        <w:rPr>
          <w:rStyle w:val="IntenseEmphasis"/>
        </w:rPr>
        <w:t xml:space="preserve"> is still somewhat lower than the national average.</w:t>
      </w:r>
      <w:r w:rsidR="00062C1D">
        <w:rPr>
          <w:rStyle w:val="IntenseEmphasis"/>
        </w:rPr>
        <w:t xml:space="preserve"> Between 1985 and 2000, Tasmania was catching up to the </w:t>
      </w:r>
      <w:r w:rsidR="00336B25">
        <w:rPr>
          <w:rStyle w:val="IntenseEmphasis"/>
        </w:rPr>
        <w:t xml:space="preserve">National average </w:t>
      </w:r>
      <w:r w:rsidR="00062C1D">
        <w:rPr>
          <w:rStyle w:val="IntenseEmphasis"/>
        </w:rPr>
        <w:t xml:space="preserve">life expectancy levels (see figure </w:t>
      </w:r>
      <w:r w:rsidR="005E643B">
        <w:rPr>
          <w:rStyle w:val="IntenseEmphasis"/>
        </w:rPr>
        <w:t>below</w:t>
      </w:r>
      <w:r w:rsidR="00062C1D">
        <w:rPr>
          <w:rStyle w:val="IntenseEmphasis"/>
        </w:rPr>
        <w:t>)</w:t>
      </w:r>
      <w:r w:rsidR="00D53C7C">
        <w:rPr>
          <w:rStyle w:val="IntenseEmphasis"/>
        </w:rPr>
        <w:t>.</w:t>
      </w:r>
      <w:r w:rsidR="00062C1D">
        <w:rPr>
          <w:rStyle w:val="IntenseEmphasis"/>
        </w:rPr>
        <w:t xml:space="preserve"> </w:t>
      </w:r>
      <w:r w:rsidR="00D53C7C">
        <w:rPr>
          <w:rStyle w:val="IntenseEmphasis"/>
        </w:rPr>
        <w:t>Between 200</w:t>
      </w:r>
      <w:r w:rsidR="0049678A">
        <w:rPr>
          <w:rStyle w:val="IntenseEmphasis"/>
        </w:rPr>
        <w:t>0</w:t>
      </w:r>
      <w:r w:rsidR="00D53C7C">
        <w:rPr>
          <w:rStyle w:val="IntenseEmphasis"/>
        </w:rPr>
        <w:t xml:space="preserve"> and 2010 </w:t>
      </w:r>
      <w:r w:rsidR="002A1512">
        <w:rPr>
          <w:rStyle w:val="IntenseEmphasis"/>
          <w:lang w:val="en-US"/>
        </w:rPr>
        <w:t>life expectancy relative to the national average again</w:t>
      </w:r>
      <w:r w:rsidR="002A1512">
        <w:rPr>
          <w:rStyle w:val="IntenseEmphasis"/>
        </w:rPr>
        <w:t xml:space="preserve"> </w:t>
      </w:r>
      <w:r w:rsidR="00D53C7C">
        <w:rPr>
          <w:rStyle w:val="IntenseEmphasis"/>
        </w:rPr>
        <w:t xml:space="preserve">declined to levels last seen in the </w:t>
      </w:r>
      <w:proofErr w:type="spellStart"/>
      <w:r w:rsidR="00D53C7C">
        <w:rPr>
          <w:rStyle w:val="IntenseEmphasis"/>
        </w:rPr>
        <w:t>mid 1980s</w:t>
      </w:r>
      <w:proofErr w:type="spellEnd"/>
      <w:r w:rsidR="00D53C7C">
        <w:rPr>
          <w:rStyle w:val="IntenseEmphasis"/>
        </w:rPr>
        <w:t>. This trend slowed and showed early signs of revers</w:t>
      </w:r>
      <w:r w:rsidR="002A1512">
        <w:rPr>
          <w:rStyle w:val="IntenseEmphasis"/>
          <w:lang w:val="en-US"/>
        </w:rPr>
        <w:t>al</w:t>
      </w:r>
      <w:r w:rsidR="00D53C7C">
        <w:rPr>
          <w:rStyle w:val="IntenseEmphasis"/>
        </w:rPr>
        <w:t xml:space="preserve"> in 2011.</w:t>
      </w:r>
    </w:p>
    <w:p w:rsidR="00CF6D43" w:rsidRPr="00DA1B25" w:rsidRDefault="00CF6D43" w:rsidP="005D57A4">
      <w:pPr>
        <w:jc w:val="both"/>
        <w:rPr>
          <w:rStyle w:val="IntenseEmphasis"/>
          <w:b/>
        </w:rPr>
      </w:pPr>
    </w:p>
    <w:p w:rsidR="00100955" w:rsidRDefault="00953B67" w:rsidP="00D96A2C">
      <w:pPr>
        <w:rPr>
          <w:rStyle w:val="IntenseEmphasis"/>
        </w:rPr>
      </w:pPr>
      <w:r w:rsidRPr="009A4CC4">
        <w:rPr>
          <w:noProof/>
          <w:lang w:eastAsia="en-AU"/>
        </w:rPr>
        <w:drawing>
          <wp:anchor distT="0" distB="0" distL="114300" distR="114300" simplePos="0" relativeHeight="251659264" behindDoc="1" locked="0" layoutInCell="1" allowOverlap="1" wp14:anchorId="4A41DEC3" wp14:editId="362BB227">
            <wp:simplePos x="0" y="0"/>
            <wp:positionH relativeFrom="column">
              <wp:posOffset>840740</wp:posOffset>
            </wp:positionH>
            <wp:positionV relativeFrom="paragraph">
              <wp:posOffset>8255</wp:posOffset>
            </wp:positionV>
            <wp:extent cx="4697730" cy="1866900"/>
            <wp:effectExtent l="0" t="0" r="7620" b="0"/>
            <wp:wrapTight wrapText="bothSides">
              <wp:wrapPolygon edited="0">
                <wp:start x="0" y="0"/>
                <wp:lineTo x="0" y="21380"/>
                <wp:lineTo x="21547" y="21380"/>
                <wp:lineTo x="21547" y="0"/>
                <wp:lineTo x="0" y="0"/>
              </wp:wrapPolygon>
            </wp:wrapTight>
            <wp:docPr id="9" name="Picture 9" descr="Between 1985 and 2000, Tasmania was catching up to the National average life expectancy levels as derived from ABS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7730" cy="1866900"/>
                    </a:xfrm>
                    <a:prstGeom prst="rect">
                      <a:avLst/>
                    </a:prstGeom>
                    <a:noFill/>
                  </pic:spPr>
                </pic:pic>
              </a:graphicData>
            </a:graphic>
            <wp14:sizeRelH relativeFrom="page">
              <wp14:pctWidth>0</wp14:pctWidth>
            </wp14:sizeRelH>
            <wp14:sizeRelV relativeFrom="page">
              <wp14:pctHeight>0</wp14:pctHeight>
            </wp14:sizeRelV>
          </wp:anchor>
        </w:drawing>
      </w:r>
    </w:p>
    <w:p w:rsidR="00100955" w:rsidRDefault="00100955" w:rsidP="00D96A2C">
      <w:pPr>
        <w:rPr>
          <w:rStyle w:val="IntenseEmphasis"/>
        </w:rPr>
      </w:pPr>
    </w:p>
    <w:p w:rsidR="00CF6D43" w:rsidRPr="00CF6D43" w:rsidRDefault="00CF6D43" w:rsidP="00CF6D43">
      <w:pPr>
        <w:pStyle w:val="Heading7"/>
        <w:numPr>
          <w:ilvl w:val="0"/>
          <w:numId w:val="0"/>
        </w:numPr>
        <w:tabs>
          <w:tab w:val="num" w:pos="1702"/>
        </w:tabs>
        <w:ind w:left="4537"/>
        <w:rPr>
          <w:b w:val="0"/>
          <w:bCs w:val="0"/>
          <w:i/>
          <w:iCs w:val="0"/>
          <w:color w:val="4F81BD" w:themeColor="accent1"/>
        </w:rPr>
      </w:pPr>
    </w:p>
    <w:p w:rsidR="00CF6D43" w:rsidRPr="00CF6D43" w:rsidRDefault="00CF6D43" w:rsidP="00CF6D43">
      <w:pPr>
        <w:pStyle w:val="Heading7"/>
        <w:numPr>
          <w:ilvl w:val="0"/>
          <w:numId w:val="0"/>
        </w:numPr>
        <w:tabs>
          <w:tab w:val="num" w:pos="1702"/>
        </w:tabs>
        <w:ind w:left="4537"/>
        <w:rPr>
          <w:b w:val="0"/>
          <w:bCs w:val="0"/>
          <w:i/>
          <w:iCs w:val="0"/>
          <w:color w:val="4F81BD" w:themeColor="accent1"/>
        </w:rPr>
      </w:pPr>
    </w:p>
    <w:p w:rsidR="00CF6D43" w:rsidRPr="00CF6D43" w:rsidRDefault="00CF6D43" w:rsidP="00CF6D43">
      <w:pPr>
        <w:pStyle w:val="Heading7"/>
        <w:numPr>
          <w:ilvl w:val="0"/>
          <w:numId w:val="0"/>
        </w:numPr>
        <w:tabs>
          <w:tab w:val="num" w:pos="1702"/>
        </w:tabs>
        <w:ind w:left="4537"/>
        <w:rPr>
          <w:b w:val="0"/>
          <w:bCs w:val="0"/>
          <w:i/>
          <w:iCs w:val="0"/>
          <w:color w:val="4F81BD" w:themeColor="accent1"/>
        </w:rPr>
      </w:pPr>
    </w:p>
    <w:p w:rsidR="00CF6D43" w:rsidRPr="00CF6D43" w:rsidRDefault="00CF6D43" w:rsidP="00CF6D43">
      <w:pPr>
        <w:pStyle w:val="Heading7"/>
        <w:numPr>
          <w:ilvl w:val="0"/>
          <w:numId w:val="0"/>
        </w:numPr>
        <w:tabs>
          <w:tab w:val="num" w:pos="1702"/>
        </w:tabs>
        <w:ind w:left="4537"/>
        <w:rPr>
          <w:b w:val="0"/>
          <w:bCs w:val="0"/>
          <w:i/>
          <w:iCs w:val="0"/>
          <w:color w:val="4F81BD" w:themeColor="accent1"/>
        </w:rPr>
      </w:pPr>
    </w:p>
    <w:p w:rsidR="00E6482E" w:rsidRDefault="00E6482E" w:rsidP="00E6482E">
      <w:pPr>
        <w:jc w:val="both"/>
        <w:rPr>
          <w:rStyle w:val="IntenseEmphasis"/>
          <w:i/>
        </w:rPr>
      </w:pPr>
      <w:r>
        <w:rPr>
          <w:rStyle w:val="IntenseEmphasis"/>
        </w:rPr>
        <w:tab/>
      </w:r>
      <w:r>
        <w:rPr>
          <w:rStyle w:val="IntenseEmphasis"/>
        </w:rPr>
        <w:tab/>
      </w:r>
      <w:r>
        <w:rPr>
          <w:rStyle w:val="IntenseEmphasis"/>
        </w:rPr>
        <w:tab/>
      </w:r>
      <w:r w:rsidRPr="00302E21">
        <w:rPr>
          <w:rStyle w:val="IntenseEmphasis"/>
          <w:i/>
        </w:rPr>
        <w:t>Figure derived from ABS data.</w:t>
      </w:r>
    </w:p>
    <w:p w:rsidR="00302E21" w:rsidRPr="00302E21" w:rsidRDefault="00302E21" w:rsidP="00E6482E">
      <w:pPr>
        <w:jc w:val="both"/>
        <w:rPr>
          <w:rStyle w:val="IntenseEmphasis"/>
          <w:b/>
          <w:i/>
        </w:rPr>
      </w:pPr>
    </w:p>
    <w:p w:rsidR="00D96A2C" w:rsidRPr="00162AEE" w:rsidRDefault="00D96A2C" w:rsidP="006359E6">
      <w:pPr>
        <w:pStyle w:val="Heading7"/>
        <w:tabs>
          <w:tab w:val="clear" w:pos="1702"/>
          <w:tab w:val="num" w:pos="851"/>
        </w:tabs>
        <w:ind w:hanging="1702"/>
        <w:rPr>
          <w:rStyle w:val="IntenseEmphasis"/>
        </w:rPr>
      </w:pPr>
      <w:r w:rsidRPr="009A4CC4">
        <w:t>Ageing</w:t>
      </w:r>
      <w:r w:rsidR="00162AEE" w:rsidRPr="009A4CC4">
        <w:t xml:space="preserve"> Population</w:t>
      </w:r>
      <w:sdt>
        <w:sdtPr>
          <w:id w:val="1482120306"/>
          <w:citation/>
        </w:sdtPr>
        <w:sdtEndPr>
          <w:rPr>
            <w:sz w:val="22"/>
            <w:szCs w:val="22"/>
          </w:rPr>
        </w:sdtEndPr>
        <w:sdtContent>
          <w:r w:rsidR="002F67C5" w:rsidRPr="001E1B46">
            <w:rPr>
              <w:sz w:val="22"/>
              <w:szCs w:val="22"/>
            </w:rPr>
            <w:fldChar w:fldCharType="begin"/>
          </w:r>
          <w:r w:rsidR="002F67C5" w:rsidRPr="001E1B46">
            <w:rPr>
              <w:sz w:val="22"/>
              <w:szCs w:val="22"/>
            </w:rPr>
            <w:instrText xml:space="preserve"> CITATION DHH13 \l 3081 </w:instrText>
          </w:r>
          <w:r w:rsidR="002F67C5" w:rsidRPr="001E1B46">
            <w:rPr>
              <w:sz w:val="22"/>
              <w:szCs w:val="22"/>
            </w:rPr>
            <w:fldChar w:fldCharType="separate"/>
          </w:r>
          <w:r w:rsidR="00355CA9">
            <w:rPr>
              <w:noProof/>
              <w:sz w:val="22"/>
              <w:szCs w:val="22"/>
            </w:rPr>
            <w:t xml:space="preserve"> </w:t>
          </w:r>
          <w:r w:rsidR="00355CA9" w:rsidRPr="00355CA9">
            <w:rPr>
              <w:noProof/>
              <w:sz w:val="22"/>
              <w:szCs w:val="22"/>
            </w:rPr>
            <w:t>(DHHS, 2013)</w:t>
          </w:r>
          <w:r w:rsidR="002F67C5" w:rsidRPr="001E1B46">
            <w:rPr>
              <w:sz w:val="22"/>
              <w:szCs w:val="22"/>
            </w:rPr>
            <w:fldChar w:fldCharType="end"/>
          </w:r>
        </w:sdtContent>
      </w:sdt>
    </w:p>
    <w:p w:rsidR="00A9671D" w:rsidRDefault="00E861B8" w:rsidP="005D57A4">
      <w:pPr>
        <w:jc w:val="both"/>
      </w:pPr>
      <w:r>
        <w:t xml:space="preserve">Tasmania, like other </w:t>
      </w:r>
      <w:r w:rsidR="003C5278">
        <w:rPr>
          <w:lang w:val="en"/>
        </w:rPr>
        <w:t>OECD</w:t>
      </w:r>
      <w:r>
        <w:t xml:space="preserve"> countries, is experiencing an overall ageing of its population</w:t>
      </w:r>
      <w:r w:rsidR="00857B26">
        <w:t xml:space="preserve"> </w:t>
      </w:r>
      <w:r w:rsidR="00BC0CE8">
        <w:rPr>
          <w:lang w:val="en-US"/>
        </w:rPr>
        <w:t xml:space="preserve">by this, it is meant that the age profile </w:t>
      </w:r>
      <w:r w:rsidR="00C8714A">
        <w:rPr>
          <w:lang w:val="en-US"/>
        </w:rPr>
        <w:t>of the state’s population is moving to the right.</w:t>
      </w:r>
      <w:r w:rsidR="00A9671D">
        <w:t xml:space="preserve"> Tasmania has the oldest median </w:t>
      </w:r>
      <w:r w:rsidR="007E245A">
        <w:t>age</w:t>
      </w:r>
      <w:r w:rsidR="00C8714A">
        <w:rPr>
          <w:lang w:val="en-US"/>
        </w:rPr>
        <w:t xml:space="preserve"> of all Australian jurisdictions, at</w:t>
      </w:r>
      <w:r w:rsidR="00A9671D">
        <w:t xml:space="preserve"> 41.5 years </w:t>
      </w:r>
      <w:r w:rsidR="004A05F8">
        <w:rPr>
          <w:lang w:val="en-US"/>
        </w:rPr>
        <w:t xml:space="preserve">compared with </w:t>
      </w:r>
      <w:r w:rsidR="00A9671D">
        <w:t>37.3 years</w:t>
      </w:r>
      <w:r w:rsidR="00186274">
        <w:t xml:space="preserve"> </w:t>
      </w:r>
      <w:r w:rsidR="004A05F8">
        <w:rPr>
          <w:lang w:val="en-US"/>
        </w:rPr>
        <w:t>as the national average.</w:t>
      </w:r>
      <w:r w:rsidR="00A9671D">
        <w:t xml:space="preserve"> The Tasmanian population is also ageing faster than the</w:t>
      </w:r>
      <w:r w:rsidR="00162AEE">
        <w:t xml:space="preserve"> rest of the country</w:t>
      </w:r>
      <w:r w:rsidR="00A9671D">
        <w:t>.</w:t>
      </w:r>
      <w:r w:rsidR="00162AEE">
        <w:t xml:space="preserve"> The figure below shows the projected growth of the proportion of people in Ta</w:t>
      </w:r>
      <w:r w:rsidR="00284181">
        <w:t>smania over the age of 65 years</w:t>
      </w:r>
      <w:r w:rsidR="00192401">
        <w:t>. Between 2009</w:t>
      </w:r>
      <w:r w:rsidR="006B5385">
        <w:t>-</w:t>
      </w:r>
      <w:r w:rsidR="00192401">
        <w:t>10 and 2013</w:t>
      </w:r>
      <w:r w:rsidR="006B5385">
        <w:t>-</w:t>
      </w:r>
      <w:r w:rsidR="00192401">
        <w:t>14, there have been large increases in public hospital separations for people aged between 65 and 74 years and</w:t>
      </w:r>
      <w:r w:rsidR="00D938B8">
        <w:rPr>
          <w:lang w:val="en-US"/>
        </w:rPr>
        <w:t xml:space="preserve"> for</w:t>
      </w:r>
      <w:r w:rsidR="00192401">
        <w:t xml:space="preserve"> those over 85 years</w:t>
      </w:r>
      <w:sdt>
        <w:sdtPr>
          <w:id w:val="-1042825398"/>
          <w:citation/>
        </w:sdtPr>
        <w:sdtEndPr/>
        <w:sdtContent>
          <w:r w:rsidR="0014473C">
            <w:fldChar w:fldCharType="begin"/>
          </w:r>
          <w:r w:rsidR="0014473C">
            <w:instrText xml:space="preserve"> CITATION AIH16 \l 3081 </w:instrText>
          </w:r>
          <w:r w:rsidR="0014473C">
            <w:fldChar w:fldCharType="separate"/>
          </w:r>
          <w:r w:rsidR="00355CA9">
            <w:rPr>
              <w:noProof/>
            </w:rPr>
            <w:t xml:space="preserve"> (AIHW, 2016)</w:t>
          </w:r>
          <w:r w:rsidR="0014473C">
            <w:fldChar w:fldCharType="end"/>
          </w:r>
        </w:sdtContent>
      </w:sdt>
      <w:r w:rsidR="00192401">
        <w:t xml:space="preserve">. </w:t>
      </w:r>
    </w:p>
    <w:p w:rsidR="002B3A72" w:rsidRPr="002B3A72" w:rsidRDefault="004211BD" w:rsidP="00017857">
      <w:pPr>
        <w:pStyle w:val="Heading7"/>
        <w:numPr>
          <w:ilvl w:val="0"/>
          <w:numId w:val="0"/>
        </w:numPr>
        <w:ind w:left="1702" w:hanging="851"/>
        <w:rPr>
          <w:rStyle w:val="IntenseEmphasis"/>
        </w:rPr>
      </w:pPr>
      <w:r w:rsidRPr="004211BD">
        <w:rPr>
          <w:noProof/>
          <w:lang w:eastAsia="en-AU"/>
        </w:rPr>
        <w:drawing>
          <wp:inline distT="0" distB="0" distL="0" distR="0" wp14:anchorId="041ADCDD" wp14:editId="7584F939">
            <wp:extent cx="5437856" cy="2876550"/>
            <wp:effectExtent l="0" t="0" r="0" b="0"/>
            <wp:docPr id="1" name="Picture 1" descr="Refer Health Planning Unit for a detailed description" title="Figure Ageing Populati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158" cy="2882000"/>
                    </a:xfrm>
                    <a:prstGeom prst="rect">
                      <a:avLst/>
                    </a:prstGeom>
                    <a:noFill/>
                    <a:ln>
                      <a:noFill/>
                    </a:ln>
                  </pic:spPr>
                </pic:pic>
              </a:graphicData>
            </a:graphic>
          </wp:inline>
        </w:drawing>
      </w:r>
    </w:p>
    <w:p w:rsidR="00162AEE" w:rsidRPr="00170FD0" w:rsidRDefault="001A7269" w:rsidP="009F3CF6">
      <w:pPr>
        <w:pStyle w:val="Heading7"/>
        <w:ind w:left="851"/>
        <w:rPr>
          <w:rStyle w:val="IntenseEmphasis"/>
        </w:rPr>
      </w:pPr>
      <w:r w:rsidRPr="009A4CC4">
        <w:rPr>
          <w:rStyle w:val="IntenseEmphasis"/>
        </w:rPr>
        <w:t xml:space="preserve">Education, </w:t>
      </w:r>
      <w:r w:rsidR="00170FD0" w:rsidRPr="009A4CC4">
        <w:rPr>
          <w:rStyle w:val="IntenseEmphasis"/>
        </w:rPr>
        <w:t>Employment</w:t>
      </w:r>
      <w:r w:rsidRPr="009A4CC4">
        <w:rPr>
          <w:rStyle w:val="IntenseEmphasis"/>
        </w:rPr>
        <w:t xml:space="preserve"> and Socio Economics</w:t>
      </w:r>
      <w:sdt>
        <w:sdtPr>
          <w:rPr>
            <w:rStyle w:val="IntenseEmphasis"/>
          </w:rPr>
          <w:id w:val="2028605355"/>
          <w:citation/>
        </w:sdtPr>
        <w:sdtEndPr>
          <w:rPr>
            <w:rStyle w:val="IntenseEmphasis"/>
            <w:sz w:val="22"/>
            <w:szCs w:val="22"/>
          </w:rPr>
        </w:sdtEndPr>
        <w:sdtContent>
          <w:r w:rsidR="002F67C5" w:rsidRPr="009F3CF6">
            <w:rPr>
              <w:rStyle w:val="IntenseEmphasis"/>
              <w:sz w:val="22"/>
              <w:szCs w:val="22"/>
            </w:rPr>
            <w:fldChar w:fldCharType="begin"/>
          </w:r>
          <w:r w:rsidR="002F67C5" w:rsidRPr="009F3CF6">
            <w:rPr>
              <w:rStyle w:val="IntenseEmphasis"/>
              <w:sz w:val="22"/>
              <w:szCs w:val="22"/>
            </w:rPr>
            <w:instrText xml:space="preserve"> CITATION DHH13 \l 3081 </w:instrText>
          </w:r>
          <w:r w:rsidR="002F67C5" w:rsidRPr="009F3CF6">
            <w:rPr>
              <w:rStyle w:val="IntenseEmphasis"/>
              <w:sz w:val="22"/>
              <w:szCs w:val="22"/>
            </w:rPr>
            <w:fldChar w:fldCharType="separate"/>
          </w:r>
          <w:r w:rsidR="00355CA9">
            <w:rPr>
              <w:rStyle w:val="IntenseEmphasis"/>
              <w:noProof/>
              <w:sz w:val="22"/>
              <w:szCs w:val="22"/>
            </w:rPr>
            <w:t xml:space="preserve"> </w:t>
          </w:r>
          <w:r w:rsidR="00355CA9" w:rsidRPr="00355CA9">
            <w:rPr>
              <w:noProof/>
              <w:sz w:val="22"/>
              <w:szCs w:val="22"/>
            </w:rPr>
            <w:t>(DHHS, 2013)</w:t>
          </w:r>
          <w:r w:rsidR="002F67C5" w:rsidRPr="009F3CF6">
            <w:rPr>
              <w:rStyle w:val="IntenseEmphasis"/>
              <w:sz w:val="22"/>
              <w:szCs w:val="22"/>
            </w:rPr>
            <w:fldChar w:fldCharType="end"/>
          </w:r>
        </w:sdtContent>
      </w:sdt>
    </w:p>
    <w:p w:rsidR="00170FD0" w:rsidRDefault="001A7269" w:rsidP="005D57A4">
      <w:pPr>
        <w:jc w:val="both"/>
      </w:pPr>
      <w:r>
        <w:t>The association between education levels, socio</w:t>
      </w:r>
      <w:r w:rsidR="00D938B8">
        <w:rPr>
          <w:lang w:val="en-US"/>
        </w:rPr>
        <w:t>-</w:t>
      </w:r>
      <w:r>
        <w:t>economic</w:t>
      </w:r>
      <w:r w:rsidR="00D938B8">
        <w:rPr>
          <w:lang w:val="en-US"/>
        </w:rPr>
        <w:t xml:space="preserve"> status</w:t>
      </w:r>
      <w:r w:rsidR="005C79A7">
        <w:t>,</w:t>
      </w:r>
      <w:r>
        <w:t xml:space="preserve"> employment rates and health outcomes is well </w:t>
      </w:r>
      <w:proofErr w:type="spellStart"/>
      <w:r w:rsidR="009B4475">
        <w:rPr>
          <w:lang w:val="en-US"/>
        </w:rPr>
        <w:t>recognised</w:t>
      </w:r>
      <w:proofErr w:type="spellEnd"/>
      <w:r>
        <w:t>.</w:t>
      </w:r>
      <w:r w:rsidR="0051129F">
        <w:t xml:space="preserve"> </w:t>
      </w:r>
      <w:proofErr w:type="spellStart"/>
      <w:r w:rsidR="0051129F">
        <w:t>Whil</w:t>
      </w:r>
      <w:proofErr w:type="spellEnd"/>
      <w:r w:rsidR="009B4475">
        <w:rPr>
          <w:lang w:val="en-US"/>
        </w:rPr>
        <w:t>e</w:t>
      </w:r>
      <w:r w:rsidR="0051129F">
        <w:t xml:space="preserve"> socio</w:t>
      </w:r>
      <w:r w:rsidR="009B4475">
        <w:rPr>
          <w:lang w:val="en-US"/>
        </w:rPr>
        <w:t>-</w:t>
      </w:r>
      <w:r w:rsidR="0051129F">
        <w:t xml:space="preserve">economic, employment and education indicators vary from year to </w:t>
      </w:r>
      <w:r w:rsidR="006D27FF">
        <w:t>year</w:t>
      </w:r>
      <w:r w:rsidR="009B4475">
        <w:rPr>
          <w:lang w:val="en-US"/>
        </w:rPr>
        <w:t>,</w:t>
      </w:r>
      <w:r w:rsidR="0051129F">
        <w:t xml:space="preserve"> Tasmania consistently performs </w:t>
      </w:r>
      <w:r w:rsidR="006C1409">
        <w:t>at the lower end o</w:t>
      </w:r>
      <w:r w:rsidR="00824EE3">
        <w:t>f the scale for these outcomes n</w:t>
      </w:r>
      <w:r w:rsidR="006C1409">
        <w:t>ationally.</w:t>
      </w:r>
      <w:r w:rsidR="00BD3D98">
        <w:t xml:space="preserve"> </w:t>
      </w:r>
    </w:p>
    <w:p w:rsidR="00DE2895" w:rsidRDefault="00DE2895" w:rsidP="00DE2895">
      <w:pPr>
        <w:pStyle w:val="Heading8"/>
      </w:pPr>
      <w:r>
        <w:t>Education</w:t>
      </w:r>
    </w:p>
    <w:p w:rsidR="001A7269" w:rsidRPr="00DE2895" w:rsidRDefault="00C369ED" w:rsidP="00DE2895">
      <w:pPr>
        <w:pStyle w:val="Heading8"/>
        <w:numPr>
          <w:ilvl w:val="0"/>
          <w:numId w:val="0"/>
        </w:numPr>
        <w:rPr>
          <w:b w:val="0"/>
          <w:sz w:val="22"/>
        </w:rPr>
      </w:pPr>
      <w:r w:rsidRPr="00DE2895">
        <w:rPr>
          <w:b w:val="0"/>
          <w:sz w:val="22"/>
        </w:rPr>
        <w:t xml:space="preserve">As at 2011, </w:t>
      </w:r>
      <w:r w:rsidR="001A7269" w:rsidRPr="00DE2895">
        <w:rPr>
          <w:b w:val="0"/>
          <w:sz w:val="22"/>
        </w:rPr>
        <w:t xml:space="preserve">Tasmania has the lowest rates of all </w:t>
      </w:r>
      <w:r w:rsidR="00366EA5">
        <w:rPr>
          <w:b w:val="0"/>
          <w:sz w:val="22"/>
          <w:lang w:val="en-US"/>
        </w:rPr>
        <w:t>jurisdictions</w:t>
      </w:r>
      <w:r w:rsidR="002B17FE">
        <w:rPr>
          <w:b w:val="0"/>
          <w:sz w:val="22"/>
          <w:lang w:val="en-US"/>
        </w:rPr>
        <w:t xml:space="preserve"> </w:t>
      </w:r>
      <w:r w:rsidR="009B4475">
        <w:rPr>
          <w:b w:val="0"/>
          <w:sz w:val="22"/>
          <w:lang w:val="en-US"/>
        </w:rPr>
        <w:t>for</w:t>
      </w:r>
      <w:r w:rsidR="00824EE3">
        <w:rPr>
          <w:b w:val="0"/>
          <w:sz w:val="22"/>
        </w:rPr>
        <w:t xml:space="preserve"> Y</w:t>
      </w:r>
      <w:r w:rsidR="001A7269" w:rsidRPr="00DE2895">
        <w:rPr>
          <w:b w:val="0"/>
          <w:sz w:val="22"/>
        </w:rPr>
        <w:t>ear</w:t>
      </w:r>
      <w:r w:rsidRPr="00DE2895">
        <w:rPr>
          <w:b w:val="0"/>
          <w:sz w:val="22"/>
        </w:rPr>
        <w:t xml:space="preserve"> 12 completion rates</w:t>
      </w:r>
      <w:r w:rsidR="00653CF6">
        <w:rPr>
          <w:b w:val="0"/>
          <w:sz w:val="22"/>
        </w:rPr>
        <w:t>.</w:t>
      </w:r>
    </w:p>
    <w:p w:rsidR="00170FD0" w:rsidRDefault="001A7269" w:rsidP="001A7269">
      <w:pPr>
        <w:jc w:val="center"/>
      </w:pPr>
      <w:r w:rsidRPr="001A7269">
        <w:rPr>
          <w:noProof/>
          <w:lang w:eastAsia="en-AU"/>
        </w:rPr>
        <w:drawing>
          <wp:inline distT="0" distB="0" distL="0" distR="0" wp14:anchorId="62A019B0" wp14:editId="275C0E35">
            <wp:extent cx="3648074" cy="2733675"/>
            <wp:effectExtent l="0" t="0" r="0" b="0"/>
            <wp:docPr id="3075" name="Picture 3" descr="As at 2011, Tasmania has the lowest rates of all jurisdictions for Year 12 completion rates. Tasmania 36.5% compared to Australia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9524"/>
                    <a:stretch/>
                  </pic:blipFill>
                  <pic:spPr bwMode="auto">
                    <a:xfrm>
                      <a:off x="0" y="0"/>
                      <a:ext cx="3659472" cy="2742216"/>
                    </a:xfrm>
                    <a:prstGeom prst="rect">
                      <a:avLst/>
                    </a:prstGeom>
                    <a:noFill/>
                    <a:ln>
                      <a:noFill/>
                    </a:ln>
                    <a:extLst>
                      <a:ext uri="{53640926-AAD7-44D8-BBD7-CCE9431645EC}">
                        <a14:shadowObscured xmlns:a14="http://schemas.microsoft.com/office/drawing/2010/main"/>
                      </a:ext>
                    </a:extLst>
                  </pic:spPr>
                </pic:pic>
              </a:graphicData>
            </a:graphic>
          </wp:inline>
        </w:drawing>
      </w:r>
    </w:p>
    <w:p w:rsidR="00B32F25" w:rsidRDefault="00B32F25" w:rsidP="00B32F25">
      <w:pPr>
        <w:pStyle w:val="Heading8"/>
      </w:pPr>
      <w:r>
        <w:t>Employment</w:t>
      </w:r>
    </w:p>
    <w:p w:rsidR="001A7269" w:rsidRDefault="00B32F25" w:rsidP="001A7269">
      <w:r>
        <w:t>Tasmania also has</w:t>
      </w:r>
      <w:r w:rsidR="00C369ED">
        <w:t xml:space="preserve"> </w:t>
      </w:r>
      <w:r w:rsidR="00A80546">
        <w:t xml:space="preserve">some of the </w:t>
      </w:r>
      <w:r w:rsidR="00C369ED">
        <w:t>hi</w:t>
      </w:r>
      <w:r w:rsidR="00A73FBD">
        <w:t>ghest rates of under and un</w:t>
      </w:r>
      <w:r w:rsidR="00C369ED">
        <w:t xml:space="preserve">employment </w:t>
      </w:r>
      <w:r w:rsidR="00A73FBD">
        <w:t>across</w:t>
      </w:r>
      <w:r w:rsidR="00C369ED">
        <w:t xml:space="preserve"> all jurisdictions.</w:t>
      </w:r>
    </w:p>
    <w:p w:rsidR="00535146" w:rsidRPr="00535146" w:rsidRDefault="00535146" w:rsidP="00535146">
      <w:pPr>
        <w:jc w:val="center"/>
        <w:rPr>
          <w:i/>
          <w:sz w:val="20"/>
        </w:rPr>
      </w:pPr>
      <w:r w:rsidRPr="00535146">
        <w:rPr>
          <w:i/>
          <w:sz w:val="20"/>
        </w:rPr>
        <w:t>Unemployment by Jurisdiction, Dec 2012</w:t>
      </w:r>
      <w:r>
        <w:rPr>
          <w:i/>
          <w:sz w:val="20"/>
        </w:rPr>
        <w:t xml:space="preserve">                         </w:t>
      </w:r>
      <w:r w:rsidRPr="00535146">
        <w:rPr>
          <w:i/>
          <w:sz w:val="20"/>
        </w:rPr>
        <w:t xml:space="preserve">  </w:t>
      </w:r>
      <w:proofErr w:type="gramStart"/>
      <w:r w:rsidRPr="00535146">
        <w:rPr>
          <w:i/>
          <w:sz w:val="20"/>
        </w:rPr>
        <w:t>Under</w:t>
      </w:r>
      <w:proofErr w:type="gramEnd"/>
      <w:r w:rsidRPr="00535146">
        <w:rPr>
          <w:i/>
          <w:sz w:val="20"/>
        </w:rPr>
        <w:t xml:space="preserve"> employment rates by jurisdiction, 2011</w:t>
      </w:r>
    </w:p>
    <w:p w:rsidR="00C369ED" w:rsidRDefault="00C369ED" w:rsidP="00A80546">
      <w:pPr>
        <w:jc w:val="center"/>
      </w:pPr>
      <w:r w:rsidRPr="00C369ED">
        <w:rPr>
          <w:noProof/>
          <w:lang w:eastAsia="en-AU"/>
        </w:rPr>
        <w:drawing>
          <wp:inline distT="0" distB="0" distL="0" distR="0" wp14:anchorId="17F70CB4" wp14:editId="0164DECA">
            <wp:extent cx="2931942" cy="1657350"/>
            <wp:effectExtent l="0" t="0" r="1905" b="0"/>
            <wp:docPr id="3076" name="Picture 4" descr="Tasmania also has some of the highest rates of unemployment across all jurisdictions. Tasmania 7.3 compared to Australi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t="6250"/>
                    <a:stretch/>
                  </pic:blipFill>
                  <pic:spPr bwMode="auto">
                    <a:xfrm>
                      <a:off x="0" y="0"/>
                      <a:ext cx="2932133" cy="1657458"/>
                    </a:xfrm>
                    <a:prstGeom prst="rect">
                      <a:avLst/>
                    </a:prstGeom>
                    <a:noFill/>
                    <a:ln>
                      <a:noFill/>
                    </a:ln>
                    <a:extLst>
                      <a:ext uri="{53640926-AAD7-44D8-BBD7-CCE9431645EC}">
                        <a14:shadowObscured xmlns:a14="http://schemas.microsoft.com/office/drawing/2010/main"/>
                      </a:ext>
                    </a:extLst>
                  </pic:spPr>
                </pic:pic>
              </a:graphicData>
            </a:graphic>
          </wp:inline>
        </w:drawing>
      </w:r>
      <w:r w:rsidR="00A80546" w:rsidRPr="00A80546">
        <w:rPr>
          <w:noProof/>
          <w:lang w:eastAsia="en-AU"/>
        </w:rPr>
        <w:drawing>
          <wp:inline distT="0" distB="0" distL="0" distR="0" wp14:anchorId="0732E475" wp14:editId="1FF27D69">
            <wp:extent cx="2838450" cy="1752600"/>
            <wp:effectExtent l="0" t="0" r="0" b="0"/>
            <wp:docPr id="3077" name="Picture 5" descr="Tasmania also has some of the highest rates of under employment across all jurisdictions. Tasmania 9.3% compared to  N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6262"/>
                    <a:stretch/>
                  </pic:blipFill>
                  <pic:spPr bwMode="auto">
                    <a:xfrm>
                      <a:off x="0" y="0"/>
                      <a:ext cx="2847564" cy="1758227"/>
                    </a:xfrm>
                    <a:prstGeom prst="rect">
                      <a:avLst/>
                    </a:prstGeom>
                    <a:noFill/>
                    <a:ln>
                      <a:noFill/>
                    </a:ln>
                    <a:extLst>
                      <a:ext uri="{53640926-AAD7-44D8-BBD7-CCE9431645EC}">
                        <a14:shadowObscured xmlns:a14="http://schemas.microsoft.com/office/drawing/2010/main"/>
                      </a:ext>
                    </a:extLst>
                  </pic:spPr>
                </pic:pic>
              </a:graphicData>
            </a:graphic>
          </wp:inline>
        </w:drawing>
      </w:r>
    </w:p>
    <w:p w:rsidR="00B32F25" w:rsidRDefault="00B32F25" w:rsidP="00B32F25">
      <w:pPr>
        <w:pStyle w:val="Heading8"/>
      </w:pPr>
      <w:r>
        <w:t>Socio Economics</w:t>
      </w:r>
    </w:p>
    <w:p w:rsidR="001A7269" w:rsidRDefault="00120FE7" w:rsidP="00D96A2C">
      <w:r>
        <w:t>Tasmania</w:t>
      </w:r>
      <w:r w:rsidR="00660596">
        <w:rPr>
          <w:lang w:val="en-US"/>
        </w:rPr>
        <w:t xml:space="preserve"> has</w:t>
      </w:r>
      <w:r>
        <w:t xml:space="preserve"> the lowest median household income </w:t>
      </w:r>
      <w:r w:rsidR="00A562CC">
        <w:t xml:space="preserve">in the country, </w:t>
      </w:r>
      <w:r>
        <w:t xml:space="preserve">with the greatest proportion of household income being derived from income support payments. </w:t>
      </w:r>
    </w:p>
    <w:p w:rsidR="0060344C" w:rsidRPr="0060344C" w:rsidRDefault="0060344C" w:rsidP="0060344C">
      <w:pPr>
        <w:jc w:val="center"/>
        <w:rPr>
          <w:i/>
          <w:sz w:val="18"/>
        </w:rPr>
      </w:pPr>
      <w:r w:rsidRPr="00A562CC">
        <w:rPr>
          <w:noProof/>
          <w:lang w:eastAsia="en-AU"/>
        </w:rPr>
        <w:drawing>
          <wp:anchor distT="0" distB="0" distL="114300" distR="114300" simplePos="0" relativeHeight="251662336" behindDoc="1" locked="0" layoutInCell="1" allowOverlap="1" wp14:anchorId="4A24403B" wp14:editId="0BB06487">
            <wp:simplePos x="0" y="0"/>
            <wp:positionH relativeFrom="column">
              <wp:posOffset>-159385</wp:posOffset>
            </wp:positionH>
            <wp:positionV relativeFrom="paragraph">
              <wp:posOffset>525145</wp:posOffset>
            </wp:positionV>
            <wp:extent cx="3086100" cy="1750695"/>
            <wp:effectExtent l="0" t="0" r="0" b="1905"/>
            <wp:wrapTight wrapText="bothSides">
              <wp:wrapPolygon edited="0">
                <wp:start x="0" y="0"/>
                <wp:lineTo x="0" y="21388"/>
                <wp:lineTo x="21467" y="21388"/>
                <wp:lineTo x="21467" y="0"/>
                <wp:lineTo x="0" y="0"/>
              </wp:wrapPolygon>
            </wp:wrapTight>
            <wp:docPr id="4100" name="Picture 4" descr="Tasmania has the lowest median household income in the country, with $948 median weekly gross household income compared to Australia $1,234 (ABS Censu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15126"/>
                    <a:stretch/>
                  </pic:blipFill>
                  <pic:spPr bwMode="auto">
                    <a:xfrm>
                      <a:off x="0" y="0"/>
                      <a:ext cx="3086100"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44C">
        <w:rPr>
          <w:i/>
          <w:sz w:val="18"/>
        </w:rPr>
        <w:t>Median weekly gross household income</w:t>
      </w:r>
      <w:r w:rsidR="00CF1ACE">
        <w:rPr>
          <w:i/>
          <w:sz w:val="18"/>
        </w:rPr>
        <w:t>*</w:t>
      </w:r>
      <w:r w:rsidRPr="0060344C">
        <w:rPr>
          <w:i/>
          <w:sz w:val="18"/>
        </w:rPr>
        <w:t xml:space="preserve"> by jurisdiction, 20</w:t>
      </w:r>
      <w:r w:rsidR="00D1569E">
        <w:rPr>
          <w:i/>
          <w:sz w:val="18"/>
        </w:rPr>
        <w:t>1</w:t>
      </w:r>
      <w:r w:rsidRPr="0060344C">
        <w:rPr>
          <w:i/>
          <w:sz w:val="18"/>
        </w:rPr>
        <w:t xml:space="preserve">1 </w:t>
      </w:r>
      <w:r w:rsidR="00CF1ACE">
        <w:rPr>
          <w:i/>
          <w:sz w:val="18"/>
        </w:rPr>
        <w:t xml:space="preserve">     </w:t>
      </w:r>
      <w:r w:rsidRPr="0060344C">
        <w:rPr>
          <w:i/>
          <w:sz w:val="18"/>
        </w:rPr>
        <w:t>Income support payments as a proportion of all households by jurisdiction, 2011</w:t>
      </w:r>
    </w:p>
    <w:p w:rsidR="00A562CC" w:rsidRDefault="0060344C" w:rsidP="00D96A2C">
      <w:r w:rsidRPr="00A562CC">
        <w:rPr>
          <w:noProof/>
          <w:lang w:eastAsia="en-AU"/>
        </w:rPr>
        <w:drawing>
          <wp:anchor distT="0" distB="0" distL="114300" distR="114300" simplePos="0" relativeHeight="251663360" behindDoc="1" locked="0" layoutInCell="1" allowOverlap="1" wp14:anchorId="644B1838" wp14:editId="7BD23B4E">
            <wp:simplePos x="0" y="0"/>
            <wp:positionH relativeFrom="column">
              <wp:posOffset>3317240</wp:posOffset>
            </wp:positionH>
            <wp:positionV relativeFrom="paragraph">
              <wp:posOffset>208280</wp:posOffset>
            </wp:positionV>
            <wp:extent cx="3133725" cy="1788160"/>
            <wp:effectExtent l="0" t="0" r="9525" b="2540"/>
            <wp:wrapTight wrapText="bothSides">
              <wp:wrapPolygon edited="0">
                <wp:start x="0" y="0"/>
                <wp:lineTo x="0" y="21401"/>
                <wp:lineTo x="21534" y="21401"/>
                <wp:lineTo x="21534" y="0"/>
                <wp:lineTo x="0" y="0"/>
              </wp:wrapPolygon>
            </wp:wrapTight>
            <wp:docPr id="4101" name="Picture 5" descr="Tasmania has the greatest proportion of household income being derived from income support payments at 31% compared to Australia with 2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0823" r="17391"/>
                    <a:stretch/>
                  </pic:blipFill>
                  <pic:spPr bwMode="auto">
                    <a:xfrm>
                      <a:off x="0" y="0"/>
                      <a:ext cx="3133725" cy="178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7269" w:rsidRDefault="001A7269" w:rsidP="00D96A2C"/>
    <w:p w:rsidR="001A7269" w:rsidRDefault="001A7269" w:rsidP="00D96A2C"/>
    <w:p w:rsidR="001A7269" w:rsidRDefault="001A7269" w:rsidP="00D96A2C"/>
    <w:p w:rsidR="00D1569E" w:rsidRDefault="00D1569E" w:rsidP="00D96A2C"/>
    <w:p w:rsidR="00D1569E" w:rsidRDefault="00D1569E" w:rsidP="00D96A2C"/>
    <w:p w:rsidR="00D1569E" w:rsidRDefault="00D1569E" w:rsidP="00D96A2C"/>
    <w:p w:rsidR="00D1569E" w:rsidRDefault="00D1569E" w:rsidP="00D96A2C"/>
    <w:p w:rsidR="00B510B4" w:rsidRDefault="003E4EE6" w:rsidP="003E4EE6">
      <w:pPr>
        <w:jc w:val="both"/>
      </w:pPr>
      <w:r>
        <w:t xml:space="preserve">As at 2011, </w:t>
      </w:r>
      <w:r w:rsidR="00593EC0">
        <w:t>Tasmania ha</w:t>
      </w:r>
      <w:r w:rsidR="00D75E2D">
        <w:rPr>
          <w:lang w:val="en-US"/>
        </w:rPr>
        <w:t>d</w:t>
      </w:r>
      <w:r w:rsidR="00593EC0">
        <w:t xml:space="preserve"> the highest poverty rates in the country</w:t>
      </w:r>
      <w:r w:rsidR="00D75E2D">
        <w:rPr>
          <w:lang w:val="en-US"/>
        </w:rPr>
        <w:t>,</w:t>
      </w:r>
      <w:r w:rsidR="00593EC0">
        <w:t xml:space="preserve"> and</w:t>
      </w:r>
      <w:r w:rsidR="00D75E2D">
        <w:rPr>
          <w:lang w:val="en-US"/>
        </w:rPr>
        <w:t xml:space="preserve"> in 2007-8 we had</w:t>
      </w:r>
      <w:r w:rsidR="00593EC0">
        <w:t xml:space="preserve"> the highest proportion of its population in the lowest quintile of the </w:t>
      </w:r>
      <w:r w:rsidR="00593EC0" w:rsidRPr="00593EC0">
        <w:t>Socio-Economic Indexes for Areas</w:t>
      </w:r>
      <w:r w:rsidR="00593EC0">
        <w:t xml:space="preserve"> (SEIFA) of relative dis</w:t>
      </w:r>
      <w:r w:rsidR="00911899">
        <w:t>advantage by jurisdiction</w:t>
      </w:r>
      <w:r w:rsidR="007D5C75">
        <w:t xml:space="preserve">. People in the lowest socio economic groups </w:t>
      </w:r>
      <w:r w:rsidR="00192401">
        <w:t>make</w:t>
      </w:r>
      <w:r w:rsidR="007D5C75">
        <w:t xml:space="preserve"> the high</w:t>
      </w:r>
      <w:r w:rsidR="0014473C">
        <w:t xml:space="preserve">est use of our public hospitals </w:t>
      </w:r>
      <w:sdt>
        <w:sdtPr>
          <w:id w:val="-600410735"/>
          <w:citation/>
        </w:sdtPr>
        <w:sdtEndPr/>
        <w:sdtContent>
          <w:r w:rsidR="0014473C">
            <w:fldChar w:fldCharType="begin"/>
          </w:r>
          <w:r w:rsidR="0014473C">
            <w:instrText xml:space="preserve"> CITATION AIH16 \l 3081 </w:instrText>
          </w:r>
          <w:r w:rsidR="0014473C">
            <w:fldChar w:fldCharType="separate"/>
          </w:r>
          <w:r w:rsidR="00355CA9">
            <w:rPr>
              <w:noProof/>
            </w:rPr>
            <w:t>(AIHW, 2016)</w:t>
          </w:r>
          <w:r w:rsidR="0014473C">
            <w:fldChar w:fldCharType="end"/>
          </w:r>
        </w:sdtContent>
      </w:sdt>
    </w:p>
    <w:p w:rsidR="00EA587D" w:rsidRDefault="005A2D94" w:rsidP="00EA587D">
      <w:pPr>
        <w:jc w:val="center"/>
      </w:pPr>
      <w:r w:rsidRPr="00EA587D">
        <w:rPr>
          <w:noProof/>
          <w:lang w:eastAsia="en-AU"/>
        </w:rPr>
        <w:drawing>
          <wp:anchor distT="0" distB="0" distL="114300" distR="114300" simplePos="0" relativeHeight="251664384" behindDoc="1" locked="0" layoutInCell="1" allowOverlap="1" wp14:anchorId="3514080D" wp14:editId="2A808B5D">
            <wp:simplePos x="0" y="0"/>
            <wp:positionH relativeFrom="column">
              <wp:posOffset>2540</wp:posOffset>
            </wp:positionH>
            <wp:positionV relativeFrom="paragraph">
              <wp:posOffset>279400</wp:posOffset>
            </wp:positionV>
            <wp:extent cx="3048000" cy="1762125"/>
            <wp:effectExtent l="0" t="0" r="0" b="9525"/>
            <wp:wrapTight wrapText="bothSides">
              <wp:wrapPolygon edited="0">
                <wp:start x="0" y="0"/>
                <wp:lineTo x="0" y="21483"/>
                <wp:lineTo x="21465" y="21483"/>
                <wp:lineTo x="21465" y="0"/>
                <wp:lineTo x="0" y="0"/>
              </wp:wrapPolygon>
            </wp:wrapTight>
            <wp:docPr id="4102" name="Picture 6" descr="As at 2011, Tasmania had the highest poverty rates in the country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10300"/>
                    <a:stretch/>
                  </pic:blipFill>
                  <pic:spPr bwMode="auto">
                    <a:xfrm>
                      <a:off x="0" y="0"/>
                      <a:ext cx="304800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87D">
        <w:rPr>
          <w:i/>
          <w:sz w:val="18"/>
        </w:rPr>
        <w:t>Estimated poverty rates for States and Territories</w:t>
      </w:r>
      <w:r w:rsidR="00A22B56">
        <w:rPr>
          <w:i/>
          <w:sz w:val="18"/>
        </w:rPr>
        <w:t xml:space="preserve">        </w:t>
      </w:r>
      <w:r w:rsidR="00EA587D" w:rsidRPr="0060344C">
        <w:rPr>
          <w:i/>
          <w:sz w:val="18"/>
        </w:rPr>
        <w:t xml:space="preserve"> </w:t>
      </w:r>
      <w:r w:rsidR="00EA587D">
        <w:rPr>
          <w:i/>
          <w:sz w:val="18"/>
        </w:rPr>
        <w:t xml:space="preserve">                             Proportion of population in lowest SEIFA quintile</w:t>
      </w:r>
      <w:r w:rsidR="00EA587D" w:rsidRPr="00EA587D">
        <w:rPr>
          <w:noProof/>
          <w:lang w:eastAsia="en-AU"/>
        </w:rPr>
        <w:drawing>
          <wp:anchor distT="0" distB="0" distL="114300" distR="114300" simplePos="0" relativeHeight="251665408" behindDoc="1" locked="0" layoutInCell="1" allowOverlap="1" wp14:anchorId="0FBA9201" wp14:editId="44EA2EFE">
            <wp:simplePos x="0" y="0"/>
            <wp:positionH relativeFrom="column">
              <wp:posOffset>3273425</wp:posOffset>
            </wp:positionH>
            <wp:positionV relativeFrom="paragraph">
              <wp:posOffset>276225</wp:posOffset>
            </wp:positionV>
            <wp:extent cx="2847975" cy="1764665"/>
            <wp:effectExtent l="0" t="0" r="9525" b="6985"/>
            <wp:wrapTight wrapText="bothSides">
              <wp:wrapPolygon edited="0">
                <wp:start x="0" y="0"/>
                <wp:lineTo x="0" y="21452"/>
                <wp:lineTo x="21528" y="21452"/>
                <wp:lineTo x="21528" y="0"/>
                <wp:lineTo x="0" y="0"/>
              </wp:wrapPolygon>
            </wp:wrapTight>
            <wp:docPr id="4103" name="Picture 7" descr="In 2007-8 Tasmania had the highest proportion of its population in the lowest quintile of the Socio-Economic Indexes for Areas (SEIFA) of relative disadvantage by jurisdiction at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13043" r="28571"/>
                    <a:stretch/>
                  </pic:blipFill>
                  <pic:spPr bwMode="auto">
                    <a:xfrm>
                      <a:off x="0" y="0"/>
                      <a:ext cx="2847975" cy="176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10B4" w:rsidRDefault="00B510B4">
      <w:pPr>
        <w:tabs>
          <w:tab w:val="clear" w:pos="567"/>
        </w:tabs>
        <w:spacing w:after="0" w:line="240" w:lineRule="auto"/>
        <w:rPr>
          <w:rFonts w:cs="Arial"/>
          <w:i/>
          <w:color w:val="4F81BD" w:themeColor="accent1"/>
          <w:sz w:val="28"/>
          <w:szCs w:val="28"/>
        </w:rPr>
      </w:pPr>
    </w:p>
    <w:p w:rsidR="001F632E" w:rsidRPr="00F6619A" w:rsidRDefault="001F632E" w:rsidP="005A2D94">
      <w:pPr>
        <w:pStyle w:val="Heading7"/>
        <w:tabs>
          <w:tab w:val="clear" w:pos="1702"/>
        </w:tabs>
        <w:ind w:left="851"/>
        <w:rPr>
          <w:rStyle w:val="IntenseEmphasis"/>
        </w:rPr>
      </w:pPr>
      <w:r w:rsidRPr="009A4CC4">
        <w:rPr>
          <w:rStyle w:val="IntenseEmphasis"/>
        </w:rPr>
        <w:t>Potentially Preventable Hospitalisations (PPH</w:t>
      </w:r>
      <w:r w:rsidR="007F2932">
        <w:rPr>
          <w:rStyle w:val="IntenseEmphasis"/>
        </w:rPr>
        <w:t>s</w:t>
      </w:r>
      <w:r w:rsidRPr="009A4CC4">
        <w:rPr>
          <w:rStyle w:val="IntenseEmphasis"/>
        </w:rPr>
        <w:t>)</w:t>
      </w:r>
      <w:sdt>
        <w:sdtPr>
          <w:rPr>
            <w:rStyle w:val="IntenseEmphasis"/>
          </w:rPr>
          <w:id w:val="-1743630446"/>
          <w:citation/>
        </w:sdtPr>
        <w:sdtEndPr>
          <w:rPr>
            <w:rStyle w:val="IntenseEmphasis"/>
          </w:rPr>
        </w:sdtEndPr>
        <w:sdtContent>
          <w:r w:rsidR="0014473C">
            <w:rPr>
              <w:rStyle w:val="IntenseEmphasis"/>
            </w:rPr>
            <w:fldChar w:fldCharType="begin"/>
          </w:r>
          <w:r w:rsidR="0014473C">
            <w:rPr>
              <w:rStyle w:val="IntenseEmphasis"/>
            </w:rPr>
            <w:instrText xml:space="preserve"> CITATION DHH13 \l 3081 </w:instrText>
          </w:r>
          <w:r w:rsidR="0014473C">
            <w:rPr>
              <w:rStyle w:val="IntenseEmphasis"/>
            </w:rPr>
            <w:fldChar w:fldCharType="separate"/>
          </w:r>
          <w:r w:rsidR="00355CA9">
            <w:rPr>
              <w:rStyle w:val="IntenseEmphasis"/>
              <w:noProof/>
            </w:rPr>
            <w:t xml:space="preserve"> </w:t>
          </w:r>
          <w:r w:rsidR="00355CA9">
            <w:rPr>
              <w:noProof/>
            </w:rPr>
            <w:t>(DHHS, 2013)</w:t>
          </w:r>
          <w:r w:rsidR="0014473C">
            <w:rPr>
              <w:rStyle w:val="IntenseEmphasis"/>
            </w:rPr>
            <w:fldChar w:fldCharType="end"/>
          </w:r>
        </w:sdtContent>
      </w:sdt>
    </w:p>
    <w:p w:rsidR="00590C45" w:rsidRDefault="001F632E" w:rsidP="009416CE">
      <w:pPr>
        <w:jc w:val="both"/>
        <w:rPr>
          <w:lang w:val="en-US"/>
        </w:rPr>
      </w:pPr>
      <w:r>
        <w:t>Broadly, the rates of PPH</w:t>
      </w:r>
      <w:r w:rsidR="007F2932">
        <w:t>s</w:t>
      </w:r>
      <w:r>
        <w:t xml:space="preserve"> are inversely related to SEIFA index and directly related to remoteness</w:t>
      </w:r>
      <w:sdt>
        <w:sdtPr>
          <w:id w:val="-718970097"/>
          <w:citation/>
        </w:sdtPr>
        <w:sdtEndPr/>
        <w:sdtContent>
          <w:r w:rsidR="0014473C">
            <w:fldChar w:fldCharType="begin"/>
          </w:r>
          <w:r w:rsidR="0014473C">
            <w:instrText xml:space="preserve"> CITATION AIH16 \l 3081 </w:instrText>
          </w:r>
          <w:r w:rsidR="0014473C">
            <w:fldChar w:fldCharType="separate"/>
          </w:r>
          <w:r w:rsidR="00355CA9">
            <w:rPr>
              <w:noProof/>
            </w:rPr>
            <w:t xml:space="preserve"> (AIHW, 2016)</w:t>
          </w:r>
          <w:r w:rsidR="0014473C">
            <w:fldChar w:fldCharType="end"/>
          </w:r>
        </w:sdtContent>
      </w:sdt>
      <w:r>
        <w:t xml:space="preserve">. </w:t>
      </w:r>
      <w:r w:rsidR="00406C17">
        <w:t>Tasmania’s proportion of PPHs is 6.2%, equivalent to the national average</w:t>
      </w:r>
      <w:r w:rsidR="00406C17" w:rsidRPr="00A646D1">
        <w:t xml:space="preserve"> </w:t>
      </w:r>
      <w:r w:rsidR="00406C17">
        <w:t xml:space="preserve">of public and private hospital separations </w:t>
      </w:r>
      <w:sdt>
        <w:sdtPr>
          <w:id w:val="-2134713172"/>
          <w:citation/>
        </w:sdtPr>
        <w:sdtEndPr/>
        <w:sdtContent>
          <w:r w:rsidR="00406C17">
            <w:fldChar w:fldCharType="begin"/>
          </w:r>
          <w:r w:rsidR="00406C17">
            <w:instrText xml:space="preserve"> CITATION AIH16 \l 3081 </w:instrText>
          </w:r>
          <w:r w:rsidR="00406C17">
            <w:fldChar w:fldCharType="separate"/>
          </w:r>
          <w:r w:rsidR="00355CA9">
            <w:rPr>
              <w:noProof/>
            </w:rPr>
            <w:t>(AIHW, 2016)</w:t>
          </w:r>
          <w:r w:rsidR="00406C17">
            <w:fldChar w:fldCharType="end"/>
          </w:r>
        </w:sdtContent>
      </w:sdt>
      <w:r w:rsidR="00590C45">
        <w:rPr>
          <w:lang w:val="en-US"/>
        </w:rPr>
        <w:t>.</w:t>
      </w:r>
      <w:r w:rsidR="00406C17">
        <w:t xml:space="preserve"> </w:t>
      </w:r>
    </w:p>
    <w:p w:rsidR="008B3160" w:rsidRPr="009416CE" w:rsidRDefault="001F632E" w:rsidP="009416CE">
      <w:pPr>
        <w:jc w:val="both"/>
      </w:pPr>
      <w:r>
        <w:t xml:space="preserve">In Tasmania, of all PPHs, 50.9% are </w:t>
      </w:r>
      <w:r w:rsidR="00406C17">
        <w:rPr>
          <w:lang w:val="en-US"/>
        </w:rPr>
        <w:t xml:space="preserve">related to </w:t>
      </w:r>
      <w:r>
        <w:t>chronic condition</w:t>
      </w:r>
      <w:r w:rsidR="00406C17">
        <w:rPr>
          <w:lang w:val="en-US"/>
        </w:rPr>
        <w:t>s, with</w:t>
      </w:r>
      <w:r w:rsidR="00406C17">
        <w:t xml:space="preserve"> </w:t>
      </w:r>
      <w:r>
        <w:t xml:space="preserve">47.6% are </w:t>
      </w:r>
      <w:r w:rsidR="00406C17">
        <w:rPr>
          <w:lang w:val="en-US"/>
        </w:rPr>
        <w:t xml:space="preserve">related to </w:t>
      </w:r>
      <w:r>
        <w:t>acute condition</w:t>
      </w:r>
      <w:r w:rsidR="00406C17">
        <w:rPr>
          <w:lang w:val="en-US"/>
        </w:rPr>
        <w:t>s</w:t>
      </w:r>
      <w:sdt>
        <w:sdtPr>
          <w:id w:val="456612094"/>
          <w:citation/>
        </w:sdtPr>
        <w:sdtEndPr/>
        <w:sdtContent>
          <w:r w:rsidR="0014473C">
            <w:fldChar w:fldCharType="begin"/>
          </w:r>
          <w:r w:rsidR="0014473C">
            <w:instrText xml:space="preserve"> CITATION DHH13 \l 3081 </w:instrText>
          </w:r>
          <w:r w:rsidR="0014473C">
            <w:fldChar w:fldCharType="separate"/>
          </w:r>
          <w:r w:rsidR="00355CA9">
            <w:rPr>
              <w:noProof/>
            </w:rPr>
            <w:t xml:space="preserve"> (DHHS, 2013)</w:t>
          </w:r>
          <w:r w:rsidR="0014473C">
            <w:fldChar w:fldCharType="end"/>
          </w:r>
        </w:sdtContent>
      </w:sdt>
      <w:r>
        <w:t>.</w:t>
      </w:r>
      <w:r w:rsidR="009416CE">
        <w:t xml:space="preserve"> The conditions that contribute to our PPHs are ranked below:</w:t>
      </w:r>
    </w:p>
    <w:p w:rsidR="007122FD" w:rsidRPr="009416CE" w:rsidRDefault="001F632E" w:rsidP="009416CE">
      <w:pPr>
        <w:jc w:val="center"/>
        <w:rPr>
          <w:i/>
          <w:sz w:val="18"/>
        </w:rPr>
      </w:pPr>
      <w:r>
        <w:rPr>
          <w:i/>
          <w:sz w:val="18"/>
        </w:rPr>
        <w:t>PPH by type of condition, Tasmania 2010_11</w:t>
      </w:r>
      <w:r w:rsidR="009416CE" w:rsidRPr="001324C5">
        <w:rPr>
          <w:noProof/>
          <w:lang w:eastAsia="en-AU"/>
        </w:rPr>
        <w:drawing>
          <wp:anchor distT="0" distB="0" distL="114300" distR="114300" simplePos="0" relativeHeight="251668480" behindDoc="1" locked="0" layoutInCell="1" allowOverlap="1" wp14:anchorId="433E80ED" wp14:editId="639DC996">
            <wp:simplePos x="0" y="0"/>
            <wp:positionH relativeFrom="column">
              <wp:posOffset>728980</wp:posOffset>
            </wp:positionH>
            <wp:positionV relativeFrom="paragraph">
              <wp:posOffset>389255</wp:posOffset>
            </wp:positionV>
            <wp:extent cx="4833620" cy="3680460"/>
            <wp:effectExtent l="0" t="0" r="5080" b="0"/>
            <wp:wrapTight wrapText="bothSides">
              <wp:wrapPolygon edited="0">
                <wp:start x="0" y="0"/>
                <wp:lineTo x="0" y="21466"/>
                <wp:lineTo x="21538" y="21466"/>
                <wp:lineTo x="21538" y="0"/>
                <wp:lineTo x="0" y="0"/>
              </wp:wrapPolygon>
            </wp:wrapTight>
            <wp:docPr id="5125" name="Picture 5" descr="Potentially Preventable Hospitalisations by condition in Tasmania 2010-11 starting with Chronic Obstructive at 1575 down to Nutritional deficiencies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4494"/>
                    <a:stretch/>
                  </pic:blipFill>
                  <pic:spPr bwMode="auto">
                    <a:xfrm>
                      <a:off x="0" y="0"/>
                      <a:ext cx="4833620" cy="368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61E1" w:rsidRDefault="002E61E1">
      <w:pPr>
        <w:tabs>
          <w:tab w:val="clear" w:pos="567"/>
        </w:tabs>
        <w:spacing w:after="0" w:line="240" w:lineRule="auto"/>
        <w:rPr>
          <w:rStyle w:val="IntenseEmphasis"/>
        </w:rPr>
      </w:pPr>
      <w:r>
        <w:rPr>
          <w:rStyle w:val="IntenseEmphasis"/>
        </w:rPr>
        <w:br w:type="page"/>
      </w:r>
    </w:p>
    <w:p w:rsidR="00C5378F" w:rsidRDefault="00C5378F" w:rsidP="00C5378F">
      <w:pPr>
        <w:pStyle w:val="Heading2numbered"/>
      </w:pPr>
      <w:bookmarkStart w:id="12" w:name="_Toc463254928"/>
      <w:r>
        <w:t>Burden of Disease</w:t>
      </w:r>
      <w:bookmarkEnd w:id="12"/>
    </w:p>
    <w:p w:rsidR="005316D2" w:rsidRPr="00B1151E" w:rsidRDefault="00C5378F" w:rsidP="00BA4FD0">
      <w:pPr>
        <w:tabs>
          <w:tab w:val="clear" w:pos="567"/>
        </w:tabs>
        <w:autoSpaceDE w:val="0"/>
        <w:autoSpaceDN w:val="0"/>
        <w:adjustRightInd w:val="0"/>
        <w:rPr>
          <w:rFonts w:cs="MyriadPro-Regular"/>
          <w:lang w:val="en-US" w:eastAsia="en-AU"/>
        </w:rPr>
      </w:pPr>
      <w:r>
        <w:rPr>
          <w:rStyle w:val="IntenseEmphasis"/>
        </w:rPr>
        <w:t xml:space="preserve">Burden of disease analysis </w:t>
      </w:r>
      <w:r w:rsidR="00A018A8">
        <w:rPr>
          <w:rStyle w:val="IntenseEmphasis"/>
          <w:lang w:val="en-US"/>
        </w:rPr>
        <w:t>enables</w:t>
      </w:r>
      <w:r>
        <w:rPr>
          <w:rStyle w:val="IntenseEmphasis"/>
        </w:rPr>
        <w:t xml:space="preserve"> </w:t>
      </w:r>
      <w:r w:rsidR="00A018A8">
        <w:rPr>
          <w:rStyle w:val="IntenseEmphasis"/>
          <w:lang w:val="en-US"/>
        </w:rPr>
        <w:t xml:space="preserve">comparison of </w:t>
      </w:r>
      <w:r>
        <w:rPr>
          <w:rStyle w:val="IntenseEmphasis"/>
        </w:rPr>
        <w:t xml:space="preserve">the impact of different diseases, conditions or injuries </w:t>
      </w:r>
      <w:r w:rsidR="00344418">
        <w:rPr>
          <w:rStyle w:val="IntenseEmphasis"/>
          <w:lang w:val="en-US"/>
        </w:rPr>
        <w:t>at</w:t>
      </w:r>
      <w:r>
        <w:rPr>
          <w:rStyle w:val="IntenseEmphasis"/>
        </w:rPr>
        <w:t xml:space="preserve"> a population</w:t>
      </w:r>
      <w:r w:rsidR="00E86918">
        <w:rPr>
          <w:rStyle w:val="IntenseEmphasis"/>
          <w:lang w:val="en-US"/>
        </w:rPr>
        <w:t xml:space="preserve"> level</w:t>
      </w:r>
      <w:r>
        <w:rPr>
          <w:rStyle w:val="IntenseEmphasis"/>
        </w:rPr>
        <w:t xml:space="preserve">. </w:t>
      </w:r>
      <w:r w:rsidR="00BA4FD0" w:rsidRPr="00BA4FD0">
        <w:rPr>
          <w:rFonts w:cs="MyriadPro-Regular"/>
          <w:lang w:eastAsia="en-AU"/>
        </w:rPr>
        <w:t>Information on the impact of various risk factors (such as smoking, physical inactivity</w:t>
      </w:r>
      <w:r w:rsidR="00E86918">
        <w:rPr>
          <w:rFonts w:cs="MyriadPro-Regular"/>
          <w:lang w:val="en-US" w:eastAsia="en-AU"/>
        </w:rPr>
        <w:t xml:space="preserve"> or</w:t>
      </w:r>
      <w:r w:rsidR="00BA4FD0" w:rsidRPr="00BA4FD0">
        <w:rPr>
          <w:rFonts w:cs="MyriadPro-Regular"/>
          <w:lang w:eastAsia="en-AU"/>
        </w:rPr>
        <w:t xml:space="preserve"> high blood pressure) on the health of the population can be used to measure the proportion of the burden of disease due to these risk factors.</w:t>
      </w:r>
      <w:r w:rsidR="00F94313">
        <w:rPr>
          <w:rFonts w:cs="MyriadPro-Regular"/>
          <w:lang w:val="en-US" w:eastAsia="en-AU"/>
        </w:rPr>
        <w:t xml:space="preserve"> </w:t>
      </w:r>
      <w:r w:rsidR="00F94313">
        <w:rPr>
          <w:rStyle w:val="IntenseEmphasis"/>
        </w:rPr>
        <w:t>Burden of disease studies are useful for informing health policy and service planning</w:t>
      </w:r>
      <w:sdt>
        <w:sdtPr>
          <w:rPr>
            <w:rStyle w:val="IntenseEmphasis"/>
          </w:rPr>
          <w:id w:val="2121412409"/>
          <w:citation/>
        </w:sdtPr>
        <w:sdtEndPr>
          <w:rPr>
            <w:rStyle w:val="IntenseEmphasis"/>
          </w:rPr>
        </w:sdtEndPr>
        <w:sdtContent>
          <w:r w:rsidR="00F94313">
            <w:rPr>
              <w:rStyle w:val="IntenseEmphasis"/>
            </w:rPr>
            <w:fldChar w:fldCharType="begin"/>
          </w:r>
          <w:r w:rsidR="00F94313">
            <w:rPr>
              <w:rStyle w:val="IntenseEmphasis"/>
            </w:rPr>
            <w:instrText xml:space="preserve"> CITATION AIH11 \l 3081 </w:instrText>
          </w:r>
          <w:r w:rsidR="00F94313">
            <w:rPr>
              <w:rStyle w:val="IntenseEmphasis"/>
            </w:rPr>
            <w:fldChar w:fldCharType="separate"/>
          </w:r>
          <w:r w:rsidR="00355CA9">
            <w:rPr>
              <w:rStyle w:val="IntenseEmphasis"/>
              <w:noProof/>
            </w:rPr>
            <w:t xml:space="preserve"> </w:t>
          </w:r>
          <w:r w:rsidR="00355CA9">
            <w:rPr>
              <w:noProof/>
            </w:rPr>
            <w:t>(AIHW, 2011)</w:t>
          </w:r>
          <w:r w:rsidR="00F94313">
            <w:rPr>
              <w:rStyle w:val="IntenseEmphasis"/>
            </w:rPr>
            <w:fldChar w:fldCharType="end"/>
          </w:r>
        </w:sdtContent>
      </w:sdt>
      <w:r w:rsidR="00F94313">
        <w:rPr>
          <w:rStyle w:val="IntenseEmphasis"/>
        </w:rPr>
        <w:t>.</w:t>
      </w:r>
    </w:p>
    <w:p w:rsidR="00C5378F" w:rsidRDefault="00C5378F" w:rsidP="00C5378F">
      <w:pPr>
        <w:jc w:val="both"/>
        <w:rPr>
          <w:rStyle w:val="IntenseEmphasis"/>
        </w:rPr>
      </w:pPr>
      <w:r>
        <w:rPr>
          <w:rStyle w:val="IntenseEmphasis"/>
        </w:rPr>
        <w:t xml:space="preserve">This impact can be broadly divided into non-fatal (living with disease) </w:t>
      </w:r>
      <w:r w:rsidR="00584818">
        <w:rPr>
          <w:rStyle w:val="IntenseEmphasis"/>
        </w:rPr>
        <w:t>and fatal (dying from a disease</w:t>
      </w:r>
      <w:r w:rsidR="00937615">
        <w:rPr>
          <w:rStyle w:val="IntenseEmphasis"/>
        </w:rPr>
        <w:t>)</w:t>
      </w:r>
      <w:r>
        <w:rPr>
          <w:rStyle w:val="IntenseEmphasis"/>
        </w:rPr>
        <w:t xml:space="preserve">. The data presented below also has a proportion of the burden attributed to risk factors. </w:t>
      </w:r>
    </w:p>
    <w:p w:rsidR="00C5378F" w:rsidRDefault="00C5378F" w:rsidP="00C5378F">
      <w:pPr>
        <w:jc w:val="both"/>
        <w:rPr>
          <w:rStyle w:val="IntenseEmphasis"/>
        </w:rPr>
      </w:pPr>
      <w:r>
        <w:rPr>
          <w:rStyle w:val="IntenseEmphasis"/>
        </w:rPr>
        <w:t xml:space="preserve">The data presented below provides estimates of the total, fatal and non-fatal burdens for the Australian and Tasmanian populations for 2011. The </w:t>
      </w:r>
      <w:r w:rsidR="00F94313">
        <w:rPr>
          <w:rStyle w:val="IntenseEmphasis"/>
          <w:lang w:val="en-US"/>
        </w:rPr>
        <w:t>previous</w:t>
      </w:r>
      <w:r w:rsidR="00F94313">
        <w:rPr>
          <w:rStyle w:val="IntenseEmphasis"/>
        </w:rPr>
        <w:t xml:space="preserve"> </w:t>
      </w:r>
      <w:r>
        <w:rPr>
          <w:rStyle w:val="IntenseEmphasis"/>
        </w:rPr>
        <w:t xml:space="preserve">study published in 2007 used </w:t>
      </w:r>
      <w:r w:rsidR="00635B40">
        <w:rPr>
          <w:rStyle w:val="IntenseEmphasis"/>
        </w:rPr>
        <w:t xml:space="preserve">data from </w:t>
      </w:r>
      <w:r>
        <w:rPr>
          <w:rStyle w:val="IntenseEmphasis"/>
        </w:rPr>
        <w:t xml:space="preserve">2003. </w:t>
      </w:r>
    </w:p>
    <w:p w:rsidR="00C5378F" w:rsidRPr="00172DCB" w:rsidRDefault="00C5378F" w:rsidP="00C5378F">
      <w:pPr>
        <w:jc w:val="both"/>
        <w:rPr>
          <w:rStyle w:val="IntenseEmphasis"/>
          <w:b/>
          <w:i/>
        </w:rPr>
      </w:pPr>
      <w:r>
        <w:rPr>
          <w:rStyle w:val="IntenseEmphasis"/>
        </w:rPr>
        <w:t xml:space="preserve">The primary </w:t>
      </w:r>
      <w:r w:rsidR="00B1151E">
        <w:rPr>
          <w:rStyle w:val="IntenseEmphasis"/>
        </w:rPr>
        <w:t>utility</w:t>
      </w:r>
      <w:r>
        <w:rPr>
          <w:rStyle w:val="IntenseEmphasis"/>
        </w:rPr>
        <w:t xml:space="preserve"> of</w:t>
      </w:r>
      <w:r w:rsidR="00F537F9">
        <w:rPr>
          <w:rStyle w:val="IntenseEmphasis"/>
        </w:rPr>
        <w:t xml:space="preserve"> burden of disease </w:t>
      </w:r>
      <w:r>
        <w:rPr>
          <w:rStyle w:val="IntenseEmphasis"/>
        </w:rPr>
        <w:t>data is to provide a</w:t>
      </w:r>
      <w:r w:rsidR="00424EFA">
        <w:rPr>
          <w:rStyle w:val="IntenseEmphasis"/>
        </w:rPr>
        <w:t>n</w:t>
      </w:r>
      <w:r>
        <w:rPr>
          <w:rStyle w:val="IntenseEmphasis"/>
        </w:rPr>
        <w:t xml:space="preserve"> independent and holistic view of the total burden of disease for Tasmania, as opposed to </w:t>
      </w:r>
      <w:r w:rsidR="007F2B48">
        <w:rPr>
          <w:rStyle w:val="IntenseEmphasis"/>
          <w:lang w:val="en-US"/>
        </w:rPr>
        <w:t>r</w:t>
      </w:r>
      <w:r w:rsidR="00DD7118">
        <w:rPr>
          <w:rStyle w:val="IntenseEmphasis"/>
          <w:lang w:val="en-US"/>
        </w:rPr>
        <w:t>e</w:t>
      </w:r>
      <w:r w:rsidR="007F2B48">
        <w:rPr>
          <w:rStyle w:val="IntenseEmphasis"/>
          <w:lang w:val="en-US"/>
        </w:rPr>
        <w:t xml:space="preserve">lying </w:t>
      </w:r>
      <w:r w:rsidR="00DD7118">
        <w:rPr>
          <w:rStyle w:val="IntenseEmphasis"/>
          <w:lang w:val="en-US"/>
        </w:rPr>
        <w:t xml:space="preserve">purely </w:t>
      </w:r>
      <w:r w:rsidR="007F2B48">
        <w:rPr>
          <w:rStyle w:val="IntenseEmphasis"/>
          <w:lang w:val="en-US"/>
        </w:rPr>
        <w:t>on</w:t>
      </w:r>
      <w:r w:rsidR="00DD7118">
        <w:rPr>
          <w:rStyle w:val="IntenseEmphasis"/>
          <w:lang w:val="en-US"/>
        </w:rPr>
        <w:t xml:space="preserve"> </w:t>
      </w:r>
      <w:r>
        <w:rPr>
          <w:rStyle w:val="IntenseEmphasis"/>
        </w:rPr>
        <w:t xml:space="preserve">hospital coded data. </w:t>
      </w:r>
      <w:r w:rsidRPr="00172DCB">
        <w:rPr>
          <w:rStyle w:val="IntenseEmphasis"/>
        </w:rPr>
        <w:t xml:space="preserve">For the purposes of this document, we will focus on </w:t>
      </w:r>
      <w:r w:rsidR="003974A6">
        <w:rPr>
          <w:rStyle w:val="IntenseEmphasis"/>
          <w:lang w:val="en-US"/>
        </w:rPr>
        <w:t xml:space="preserve">the </w:t>
      </w:r>
      <w:proofErr w:type="gramStart"/>
      <w:r w:rsidRPr="00172DCB">
        <w:rPr>
          <w:rStyle w:val="IntenseEmphasis"/>
        </w:rPr>
        <w:t>Overall</w:t>
      </w:r>
      <w:proofErr w:type="gramEnd"/>
      <w:r w:rsidRPr="00172DCB">
        <w:rPr>
          <w:rStyle w:val="IntenseEmphasis"/>
        </w:rPr>
        <w:t xml:space="preserve"> and Non-fatal burden</w:t>
      </w:r>
      <w:r w:rsidR="003974A6">
        <w:rPr>
          <w:rStyle w:val="IntenseEmphasis"/>
          <w:lang w:val="en-US"/>
        </w:rPr>
        <w:t>s</w:t>
      </w:r>
      <w:r w:rsidRPr="00172DCB">
        <w:rPr>
          <w:rStyle w:val="IntenseEmphasis"/>
        </w:rPr>
        <w:t xml:space="preserve">. </w:t>
      </w:r>
      <w:r w:rsidR="003974A6" w:rsidRPr="00975A35">
        <w:rPr>
          <w:rStyle w:val="IntenseEmphasis"/>
          <w:i/>
        </w:rPr>
        <w:t>Appendix A: Disease and Injury list</w:t>
      </w:r>
      <w:r w:rsidR="00876998">
        <w:rPr>
          <w:rStyle w:val="IntenseEmphasis"/>
        </w:rPr>
        <w:t xml:space="preserve"> p</w:t>
      </w:r>
      <w:proofErr w:type="spellStart"/>
      <w:r w:rsidR="003974A6">
        <w:rPr>
          <w:rStyle w:val="IntenseEmphasis"/>
          <w:lang w:val="en-US"/>
        </w:rPr>
        <w:t>rovides</w:t>
      </w:r>
      <w:proofErr w:type="spellEnd"/>
      <w:r w:rsidRPr="00172DCB">
        <w:rPr>
          <w:rStyle w:val="IntenseEmphasis"/>
        </w:rPr>
        <w:t xml:space="preserve"> a detailed breakdown of specific diseases within each of the disease groups</w:t>
      </w:r>
      <w:r w:rsidR="00876998">
        <w:rPr>
          <w:rStyle w:val="IntenseEmphasis"/>
          <w:lang w:val="en-US"/>
        </w:rPr>
        <w:t>.</w:t>
      </w:r>
    </w:p>
    <w:p w:rsidR="00C5378F" w:rsidRDefault="00C5378F" w:rsidP="00C5378F">
      <w:pPr>
        <w:jc w:val="both"/>
        <w:rPr>
          <w:rStyle w:val="IntenseEmphasis"/>
        </w:rPr>
      </w:pPr>
      <w:r>
        <w:rPr>
          <w:rStyle w:val="IntenseEmphasis"/>
        </w:rPr>
        <w:t>The Total Burden of Disease for Australia</w:t>
      </w:r>
      <w:r w:rsidR="001D5DB6">
        <w:rPr>
          <w:rStyle w:val="IntenseEmphasis"/>
          <w:lang w:val="en-US"/>
        </w:rPr>
        <w:t xml:space="preserve">, </w:t>
      </w:r>
      <w:r w:rsidR="001D5DB6">
        <w:rPr>
          <w:rStyle w:val="IntenseEmphasis"/>
        </w:rPr>
        <w:t>showing</w:t>
      </w:r>
      <w:r w:rsidR="001D5DB6" w:rsidRPr="00172DCB">
        <w:rPr>
          <w:rStyle w:val="IntenseEmphasis"/>
        </w:rPr>
        <w:t xml:space="preserve"> the relative contribution to the overall burden of disease nationally through the lifespan with specific diseases highlighted</w:t>
      </w:r>
      <w:r w:rsidR="001D5DB6">
        <w:rPr>
          <w:rStyle w:val="IntenseEmphasis"/>
          <w:lang w:val="en-US"/>
        </w:rPr>
        <w:t>,</w:t>
      </w:r>
      <w:r>
        <w:rPr>
          <w:rStyle w:val="IntenseEmphasis"/>
        </w:rPr>
        <w:t xml:space="preserve"> </w:t>
      </w:r>
      <w:r w:rsidR="001D5DB6">
        <w:rPr>
          <w:rStyle w:val="IntenseEmphasis"/>
          <w:lang w:val="en-US"/>
        </w:rPr>
        <w:t>appears</w:t>
      </w:r>
      <w:r>
        <w:rPr>
          <w:rStyle w:val="IntenseEmphasis"/>
        </w:rPr>
        <w:t xml:space="preserve"> below:</w:t>
      </w:r>
    </w:p>
    <w:p w:rsidR="00C5378F" w:rsidRDefault="00C5378F" w:rsidP="00C5378F">
      <w:pPr>
        <w:jc w:val="both"/>
        <w:rPr>
          <w:rStyle w:val="IntenseEmphasis"/>
        </w:rPr>
      </w:pPr>
      <w:r>
        <w:rPr>
          <w:noProof/>
          <w:lang w:eastAsia="en-AU"/>
        </w:rPr>
        <w:drawing>
          <wp:anchor distT="0" distB="0" distL="114300" distR="114300" simplePos="0" relativeHeight="251670528" behindDoc="1" locked="0" layoutInCell="1" allowOverlap="1" wp14:anchorId="7C786B9F" wp14:editId="054E8FAE">
            <wp:simplePos x="0" y="0"/>
            <wp:positionH relativeFrom="column">
              <wp:posOffset>-95250</wp:posOffset>
            </wp:positionH>
            <wp:positionV relativeFrom="paragraph">
              <wp:posOffset>66040</wp:posOffset>
            </wp:positionV>
            <wp:extent cx="6107430" cy="3800475"/>
            <wp:effectExtent l="0" t="0" r="7620" b="9525"/>
            <wp:wrapTight wrapText="bothSides">
              <wp:wrapPolygon edited="0">
                <wp:start x="0" y="0"/>
                <wp:lineTo x="0" y="21546"/>
                <wp:lineTo x="21560" y="21546"/>
                <wp:lineTo x="21560" y="0"/>
                <wp:lineTo x="0" y="0"/>
              </wp:wrapPolygon>
            </wp:wrapTight>
            <wp:docPr id="11" name="Picture 11" descr="The Total Burden of Disease for Australia, showing the relative contribution to the overall burden of disease nationally through the lifespan with specific diseases highlighted">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b="11368"/>
                    <a:stretch/>
                  </pic:blipFill>
                  <pic:spPr bwMode="auto">
                    <a:xfrm>
                      <a:off x="0" y="0"/>
                      <a:ext cx="6107430" cy="3800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C5378F" w:rsidRDefault="00C5378F" w:rsidP="00C5378F">
      <w:pPr>
        <w:jc w:val="both"/>
        <w:rPr>
          <w:rStyle w:val="IntenseEmphasis"/>
        </w:rPr>
      </w:pPr>
    </w:p>
    <w:p w:rsidR="00BC68E7" w:rsidRDefault="00BC68E7" w:rsidP="00C5378F">
      <w:pPr>
        <w:jc w:val="both"/>
        <w:rPr>
          <w:rStyle w:val="IntenseEmphasis"/>
        </w:rPr>
      </w:pPr>
    </w:p>
    <w:p w:rsidR="002A7A43" w:rsidRDefault="002A7A43" w:rsidP="00C5378F">
      <w:pPr>
        <w:jc w:val="both"/>
        <w:rPr>
          <w:rStyle w:val="IntenseEmphasis"/>
        </w:rPr>
      </w:pPr>
    </w:p>
    <w:p w:rsidR="00C5378F" w:rsidRPr="00172DCB" w:rsidRDefault="00C5378F" w:rsidP="00C5378F">
      <w:pPr>
        <w:jc w:val="both"/>
        <w:rPr>
          <w:rStyle w:val="IntenseEmphasis"/>
          <w:b/>
          <w:i/>
        </w:rPr>
      </w:pPr>
      <w:r w:rsidRPr="00172DCB">
        <w:rPr>
          <w:rStyle w:val="IntenseEmphasis"/>
        </w:rPr>
        <w:t xml:space="preserve">At least 31% of the </w:t>
      </w:r>
      <w:r>
        <w:rPr>
          <w:rStyle w:val="IntenseEmphasis"/>
        </w:rPr>
        <w:t xml:space="preserve">total </w:t>
      </w:r>
      <w:r w:rsidRPr="00172DCB">
        <w:rPr>
          <w:rStyle w:val="IntenseEmphasis"/>
        </w:rPr>
        <w:t>burden of disease is due to modifiable risk factors</w:t>
      </w:r>
      <w:r w:rsidR="004F7893">
        <w:rPr>
          <w:rStyle w:val="IntenseEmphasis"/>
          <w:lang w:val="en-US"/>
        </w:rPr>
        <w:t>, and therefore potentially preventable</w:t>
      </w:r>
      <w:r w:rsidRPr="00172DCB">
        <w:rPr>
          <w:rStyle w:val="IntenseEmphasis"/>
        </w:rPr>
        <w:t xml:space="preserve">. The risk factors contributing to the highest burden are: </w:t>
      </w:r>
    </w:p>
    <w:p w:rsidR="00C5378F" w:rsidRPr="00172DCB" w:rsidRDefault="00C5378F" w:rsidP="00A33018">
      <w:pPr>
        <w:pStyle w:val="ListParagraph"/>
        <w:numPr>
          <w:ilvl w:val="0"/>
          <w:numId w:val="25"/>
        </w:numPr>
        <w:spacing w:after="140" w:line="300" w:lineRule="atLeast"/>
        <w:ind w:left="426" w:hanging="426"/>
        <w:rPr>
          <w:rStyle w:val="IntenseEmphasis"/>
          <w:b/>
          <w:i/>
          <w:sz w:val="22"/>
          <w:szCs w:val="22"/>
        </w:rPr>
      </w:pPr>
      <w:r w:rsidRPr="00172DCB">
        <w:rPr>
          <w:rStyle w:val="IntenseEmphasis"/>
          <w:sz w:val="22"/>
          <w:szCs w:val="22"/>
        </w:rPr>
        <w:t xml:space="preserve">High body mass </w:t>
      </w:r>
      <w:r w:rsidR="004F7893">
        <w:rPr>
          <w:rStyle w:val="IntenseEmphasis"/>
          <w:sz w:val="22"/>
          <w:szCs w:val="22"/>
          <w:lang w:val="en-US"/>
        </w:rPr>
        <w:t>index (overweight and obesity)</w:t>
      </w:r>
    </w:p>
    <w:p w:rsidR="00C5378F" w:rsidRDefault="00C5378F" w:rsidP="00A33018">
      <w:pPr>
        <w:pStyle w:val="ListParagraph"/>
        <w:numPr>
          <w:ilvl w:val="0"/>
          <w:numId w:val="25"/>
        </w:numPr>
        <w:spacing w:after="140" w:line="300" w:lineRule="atLeast"/>
        <w:ind w:left="426" w:hanging="426"/>
        <w:rPr>
          <w:rStyle w:val="IntenseEmphasis"/>
          <w:b/>
          <w:i/>
          <w:sz w:val="22"/>
          <w:szCs w:val="22"/>
        </w:rPr>
      </w:pPr>
      <w:r>
        <w:rPr>
          <w:rStyle w:val="IntenseEmphasis"/>
          <w:sz w:val="22"/>
          <w:szCs w:val="22"/>
        </w:rPr>
        <w:t>T</w:t>
      </w:r>
      <w:r w:rsidRPr="00172DCB">
        <w:rPr>
          <w:rStyle w:val="IntenseEmphasis"/>
          <w:sz w:val="22"/>
          <w:szCs w:val="22"/>
        </w:rPr>
        <w:t>obacco use</w:t>
      </w:r>
    </w:p>
    <w:p w:rsidR="00C5378F" w:rsidRPr="00172DCB" w:rsidRDefault="00C5378F" w:rsidP="00A33018">
      <w:pPr>
        <w:pStyle w:val="ListParagraph"/>
        <w:numPr>
          <w:ilvl w:val="0"/>
          <w:numId w:val="25"/>
        </w:numPr>
        <w:spacing w:after="140" w:line="300" w:lineRule="atLeast"/>
        <w:ind w:left="426" w:hanging="426"/>
        <w:rPr>
          <w:rStyle w:val="IntenseEmphasis"/>
          <w:b/>
          <w:i/>
          <w:sz w:val="22"/>
          <w:szCs w:val="22"/>
        </w:rPr>
      </w:pPr>
      <w:r w:rsidRPr="00172DCB">
        <w:rPr>
          <w:rStyle w:val="IntenseEmphasis"/>
          <w:sz w:val="22"/>
          <w:szCs w:val="22"/>
        </w:rPr>
        <w:t xml:space="preserve">Alcohol use </w:t>
      </w:r>
    </w:p>
    <w:p w:rsidR="00682013" w:rsidRPr="00682013" w:rsidRDefault="00C5378F" w:rsidP="00A33018">
      <w:pPr>
        <w:pStyle w:val="ListParagraph"/>
        <w:numPr>
          <w:ilvl w:val="0"/>
          <w:numId w:val="25"/>
        </w:numPr>
        <w:spacing w:after="140" w:line="300" w:lineRule="atLeast"/>
        <w:ind w:left="426" w:hanging="426"/>
        <w:rPr>
          <w:rStyle w:val="IntenseEmphasis"/>
          <w:b/>
          <w:i/>
          <w:sz w:val="22"/>
          <w:szCs w:val="22"/>
        </w:rPr>
      </w:pPr>
      <w:r w:rsidRPr="00682013">
        <w:rPr>
          <w:rStyle w:val="IntenseEmphasis"/>
          <w:sz w:val="22"/>
          <w:szCs w:val="22"/>
        </w:rPr>
        <w:t>Physical inactivity</w:t>
      </w:r>
      <w:r w:rsidR="00D27225" w:rsidRPr="00682013">
        <w:rPr>
          <w:rStyle w:val="IntenseEmphasis"/>
          <w:sz w:val="22"/>
          <w:szCs w:val="22"/>
        </w:rPr>
        <w:t>,</w:t>
      </w:r>
      <w:r w:rsidRPr="00682013">
        <w:rPr>
          <w:rStyle w:val="IntenseEmphasis"/>
          <w:sz w:val="22"/>
          <w:szCs w:val="22"/>
        </w:rPr>
        <w:t xml:space="preserve"> and </w:t>
      </w:r>
    </w:p>
    <w:p w:rsidR="00C5378F" w:rsidRPr="00682013" w:rsidRDefault="00C5378F" w:rsidP="00A33018">
      <w:pPr>
        <w:pStyle w:val="ListParagraph"/>
        <w:numPr>
          <w:ilvl w:val="0"/>
          <w:numId w:val="25"/>
        </w:numPr>
        <w:spacing w:after="140" w:line="300" w:lineRule="atLeast"/>
        <w:ind w:left="426" w:hanging="426"/>
        <w:rPr>
          <w:rStyle w:val="IntenseEmphasis"/>
          <w:b/>
          <w:i/>
          <w:sz w:val="22"/>
          <w:szCs w:val="22"/>
        </w:rPr>
      </w:pPr>
      <w:r w:rsidRPr="00682013">
        <w:rPr>
          <w:rStyle w:val="IntenseEmphasis"/>
          <w:sz w:val="22"/>
          <w:szCs w:val="22"/>
        </w:rPr>
        <w:t xml:space="preserve">High blood pressure. </w:t>
      </w:r>
    </w:p>
    <w:p w:rsidR="00C5378F" w:rsidRPr="00172DCB" w:rsidRDefault="00C5378F" w:rsidP="00C5378F">
      <w:pPr>
        <w:rPr>
          <w:rStyle w:val="IntenseEmphasis"/>
          <w:b/>
          <w:i/>
        </w:rPr>
      </w:pPr>
      <w:r w:rsidRPr="00172DCB">
        <w:rPr>
          <w:rStyle w:val="IntenseEmphasis"/>
        </w:rPr>
        <w:t>Socio</w:t>
      </w:r>
      <w:r w:rsidR="00315E71">
        <w:rPr>
          <w:rStyle w:val="IntenseEmphasis"/>
          <w:lang w:val="en-US"/>
        </w:rPr>
        <w:t>-</w:t>
      </w:r>
      <w:r w:rsidRPr="00172DCB">
        <w:rPr>
          <w:rStyle w:val="IntenseEmphasis"/>
        </w:rPr>
        <w:t>economic</w:t>
      </w:r>
      <w:r w:rsidR="00315E71">
        <w:rPr>
          <w:rStyle w:val="IntenseEmphasis"/>
          <w:lang w:val="en-US"/>
        </w:rPr>
        <w:t xml:space="preserve"> variability</w:t>
      </w:r>
      <w:r w:rsidRPr="00172DCB">
        <w:rPr>
          <w:rStyle w:val="IntenseEmphasis"/>
        </w:rPr>
        <w:t xml:space="preserve"> accounts for 21% of the differences in burden.</w:t>
      </w:r>
      <w:r w:rsidR="00315E71">
        <w:rPr>
          <w:rStyle w:val="IntenseEmphasis"/>
          <w:lang w:val="en-US"/>
        </w:rPr>
        <w:t xml:space="preserve"> In lower socio-economic groups</w:t>
      </w:r>
      <w:proofErr w:type="gramStart"/>
      <w:r w:rsidR="00315E71">
        <w:rPr>
          <w:rStyle w:val="IntenseEmphasis"/>
          <w:lang w:val="en-US"/>
        </w:rPr>
        <w:t xml:space="preserve">, </w:t>
      </w:r>
      <w:r w:rsidRPr="00172DCB">
        <w:rPr>
          <w:rStyle w:val="IntenseEmphasis"/>
        </w:rPr>
        <w:t xml:space="preserve"> </w:t>
      </w:r>
      <w:r w:rsidR="00811B72">
        <w:rPr>
          <w:rStyle w:val="IntenseEmphasis"/>
          <w:lang w:val="en-US"/>
        </w:rPr>
        <w:t>c</w:t>
      </w:r>
      <w:proofErr w:type="spellStart"/>
      <w:r w:rsidRPr="00172DCB">
        <w:rPr>
          <w:rStyle w:val="IntenseEmphasis"/>
        </w:rPr>
        <w:t>hronic</w:t>
      </w:r>
      <w:proofErr w:type="spellEnd"/>
      <w:proofErr w:type="gramEnd"/>
      <w:r w:rsidRPr="00172DCB">
        <w:rPr>
          <w:rStyle w:val="IntenseEmphasis"/>
        </w:rPr>
        <w:t xml:space="preserve"> disease and injuries dominate</w:t>
      </w:r>
      <w:r w:rsidR="006477DE">
        <w:rPr>
          <w:rStyle w:val="IntenseEmphasis"/>
          <w:lang w:val="en-US"/>
        </w:rPr>
        <w:t>,</w:t>
      </w:r>
      <w:r w:rsidRPr="00172DCB">
        <w:rPr>
          <w:rStyle w:val="IntenseEmphasis"/>
        </w:rPr>
        <w:t xml:space="preserve"> with</w:t>
      </w:r>
      <w:r w:rsidR="006477DE">
        <w:rPr>
          <w:rStyle w:val="IntenseEmphasis"/>
          <w:lang w:val="en-US"/>
        </w:rPr>
        <w:t xml:space="preserve"> 80% of the national burden attributable to</w:t>
      </w:r>
      <w:r>
        <w:rPr>
          <w:rStyle w:val="IntenseEmphasis"/>
        </w:rPr>
        <w:t>:</w:t>
      </w:r>
      <w:r w:rsidRPr="00172DCB">
        <w:rPr>
          <w:rStyle w:val="IntenseEmphasis"/>
        </w:rPr>
        <w:t xml:space="preserve"> </w:t>
      </w:r>
    </w:p>
    <w:p w:rsidR="00C5378F" w:rsidRPr="00172DCB" w:rsidRDefault="00C5378F" w:rsidP="006D236D">
      <w:pPr>
        <w:pStyle w:val="ListBullet"/>
        <w:tabs>
          <w:tab w:val="clear" w:pos="567"/>
        </w:tabs>
        <w:ind w:left="426" w:hanging="426"/>
        <w:rPr>
          <w:rStyle w:val="IntenseEmphasis"/>
          <w:b/>
          <w:i/>
        </w:rPr>
      </w:pPr>
      <w:r w:rsidRPr="00172DCB">
        <w:rPr>
          <w:rStyle w:val="IntenseEmphasis"/>
        </w:rPr>
        <w:t xml:space="preserve">Cancer </w:t>
      </w:r>
    </w:p>
    <w:p w:rsidR="00C5378F" w:rsidRPr="00172DCB" w:rsidRDefault="006D236D" w:rsidP="006D236D">
      <w:pPr>
        <w:pStyle w:val="ListBullet"/>
        <w:tabs>
          <w:tab w:val="clear" w:pos="567"/>
          <w:tab w:val="left" w:pos="142"/>
        </w:tabs>
        <w:ind w:left="426" w:hanging="426"/>
        <w:rPr>
          <w:rStyle w:val="IntenseEmphasis"/>
          <w:b/>
          <w:i/>
        </w:rPr>
      </w:pPr>
      <w:r>
        <w:rPr>
          <w:rStyle w:val="IntenseEmphasis"/>
        </w:rPr>
        <w:tab/>
      </w:r>
      <w:r w:rsidR="00C5378F" w:rsidRPr="00172DCB">
        <w:rPr>
          <w:rStyle w:val="IntenseEmphasis"/>
        </w:rPr>
        <w:t xml:space="preserve">Cardiovascular disease (CVD) </w:t>
      </w:r>
    </w:p>
    <w:p w:rsidR="00C5378F" w:rsidRPr="00172DCB" w:rsidRDefault="006D236D" w:rsidP="006D236D">
      <w:pPr>
        <w:pStyle w:val="ListBullet"/>
        <w:tabs>
          <w:tab w:val="clear" w:pos="567"/>
          <w:tab w:val="left" w:pos="142"/>
        </w:tabs>
        <w:ind w:left="426" w:hanging="426"/>
        <w:rPr>
          <w:rStyle w:val="IntenseEmphasis"/>
          <w:b/>
          <w:i/>
        </w:rPr>
      </w:pPr>
      <w:r>
        <w:rPr>
          <w:rStyle w:val="IntenseEmphasis"/>
        </w:rPr>
        <w:tab/>
      </w:r>
      <w:r w:rsidR="00C5378F" w:rsidRPr="00172DCB">
        <w:rPr>
          <w:rStyle w:val="IntenseEmphasis"/>
        </w:rPr>
        <w:t xml:space="preserve">Mental </w:t>
      </w:r>
      <w:r w:rsidR="00170A3C">
        <w:rPr>
          <w:rStyle w:val="IntenseEmphasis"/>
        </w:rPr>
        <w:t xml:space="preserve">Health </w:t>
      </w:r>
    </w:p>
    <w:p w:rsidR="00C5378F" w:rsidRPr="00172DCB" w:rsidRDefault="006D236D" w:rsidP="006D236D">
      <w:pPr>
        <w:pStyle w:val="ListBullet"/>
        <w:tabs>
          <w:tab w:val="clear" w:pos="567"/>
          <w:tab w:val="left" w:pos="142"/>
        </w:tabs>
        <w:ind w:left="426" w:hanging="426"/>
        <w:rPr>
          <w:rStyle w:val="IntenseEmphasis"/>
          <w:b/>
          <w:i/>
        </w:rPr>
      </w:pPr>
      <w:r>
        <w:rPr>
          <w:rStyle w:val="IntenseEmphasis"/>
        </w:rPr>
        <w:tab/>
      </w:r>
      <w:r w:rsidR="00C5378F" w:rsidRPr="00172DCB">
        <w:rPr>
          <w:rStyle w:val="IntenseEmphasis"/>
        </w:rPr>
        <w:t>Musculoskeletal conditions</w:t>
      </w:r>
    </w:p>
    <w:p w:rsidR="00C5378F" w:rsidRPr="00172DCB" w:rsidRDefault="006D236D" w:rsidP="006D236D">
      <w:pPr>
        <w:pStyle w:val="ListBullet"/>
        <w:tabs>
          <w:tab w:val="clear" w:pos="567"/>
          <w:tab w:val="left" w:pos="142"/>
        </w:tabs>
        <w:ind w:left="426" w:hanging="426"/>
        <w:rPr>
          <w:rStyle w:val="IntenseEmphasis"/>
          <w:b/>
          <w:i/>
        </w:rPr>
      </w:pPr>
      <w:r>
        <w:rPr>
          <w:rStyle w:val="IntenseEmphasis"/>
        </w:rPr>
        <w:tab/>
      </w:r>
      <w:r w:rsidR="00C5378F" w:rsidRPr="00172DCB">
        <w:rPr>
          <w:rStyle w:val="IntenseEmphasis"/>
        </w:rPr>
        <w:t>Injuries</w:t>
      </w:r>
    </w:p>
    <w:p w:rsidR="00C5378F" w:rsidRPr="00172DCB" w:rsidRDefault="006D236D" w:rsidP="006D236D">
      <w:pPr>
        <w:pStyle w:val="ListBullet"/>
        <w:tabs>
          <w:tab w:val="clear" w:pos="567"/>
          <w:tab w:val="left" w:pos="142"/>
        </w:tabs>
        <w:ind w:left="426" w:hanging="426"/>
        <w:rPr>
          <w:rStyle w:val="IntenseEmphasis"/>
          <w:b/>
          <w:i/>
        </w:rPr>
      </w:pPr>
      <w:r>
        <w:rPr>
          <w:rStyle w:val="IntenseEmphasis"/>
        </w:rPr>
        <w:tab/>
      </w:r>
      <w:r w:rsidR="00C5378F" w:rsidRPr="00172DCB">
        <w:rPr>
          <w:rStyle w:val="IntenseEmphasis"/>
        </w:rPr>
        <w:t>Respiratory</w:t>
      </w:r>
      <w:r w:rsidR="00D27225">
        <w:rPr>
          <w:rStyle w:val="IntenseEmphasis"/>
        </w:rPr>
        <w:t>,</w:t>
      </w:r>
      <w:r w:rsidR="00C5378F" w:rsidRPr="00172DCB">
        <w:rPr>
          <w:rStyle w:val="IntenseEmphasis"/>
        </w:rPr>
        <w:t xml:space="preserve"> and </w:t>
      </w:r>
    </w:p>
    <w:p w:rsidR="00C5378F" w:rsidRPr="00172DCB" w:rsidRDefault="006D236D" w:rsidP="006D236D">
      <w:pPr>
        <w:pStyle w:val="ListBullet"/>
        <w:tabs>
          <w:tab w:val="clear" w:pos="567"/>
          <w:tab w:val="left" w:pos="142"/>
        </w:tabs>
        <w:ind w:left="426" w:hanging="426"/>
        <w:rPr>
          <w:rStyle w:val="IntenseEmphasis"/>
          <w:b/>
          <w:i/>
        </w:rPr>
      </w:pPr>
      <w:r>
        <w:rPr>
          <w:rStyle w:val="IntenseEmphasis"/>
        </w:rPr>
        <w:tab/>
      </w:r>
      <w:r w:rsidR="00C5378F" w:rsidRPr="00172DCB">
        <w:rPr>
          <w:rStyle w:val="IntenseEmphasis"/>
        </w:rPr>
        <w:t>Neurological conditions</w:t>
      </w:r>
      <w:r w:rsidR="00D27225">
        <w:rPr>
          <w:rStyle w:val="IntenseEmphasis"/>
        </w:rPr>
        <w:t>.</w:t>
      </w:r>
      <w:r w:rsidR="00C5378F" w:rsidRPr="00172DCB">
        <w:rPr>
          <w:rStyle w:val="IntenseEmphasis"/>
        </w:rPr>
        <w:t xml:space="preserve"> </w:t>
      </w:r>
    </w:p>
    <w:p w:rsidR="00C5378F" w:rsidRDefault="00C5378F" w:rsidP="006D236D">
      <w:pPr>
        <w:jc w:val="both"/>
      </w:pPr>
      <w:r>
        <w:t xml:space="preserve">In Tasmania, the rate of disease burden across the lifespan in Tasmania </w:t>
      </w:r>
      <w:r w:rsidR="006477DE">
        <w:rPr>
          <w:lang w:val="en-US"/>
        </w:rPr>
        <w:t>does not differ materially from</w:t>
      </w:r>
      <w:r>
        <w:t xml:space="preserve"> the rest of the country, with the exception of the Northern Territory:</w:t>
      </w:r>
    </w:p>
    <w:p w:rsidR="00C5378F" w:rsidRDefault="00C5378F" w:rsidP="00C5378F">
      <w:pPr>
        <w:jc w:val="center"/>
      </w:pPr>
      <w:r w:rsidRPr="00B41F5F">
        <w:rPr>
          <w:noProof/>
          <w:lang w:eastAsia="en-AU"/>
        </w:rPr>
        <w:drawing>
          <wp:inline distT="0" distB="0" distL="0" distR="0" wp14:anchorId="65B75C2B" wp14:editId="713B928C">
            <wp:extent cx="4414345" cy="2538760"/>
            <wp:effectExtent l="0" t="0" r="5715" b="0"/>
            <wp:docPr id="3" name="Picture 3" descr="By state and territory and across the lifespan does not differ sinigificantly." title="Graph on rate of disease burde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8767" cy="2541303"/>
                    </a:xfrm>
                    <a:prstGeom prst="rect">
                      <a:avLst/>
                    </a:prstGeom>
                    <a:noFill/>
                    <a:ln>
                      <a:noFill/>
                    </a:ln>
                    <a:extLst/>
                  </pic:spPr>
                </pic:pic>
              </a:graphicData>
            </a:graphic>
          </wp:inline>
        </w:drawing>
      </w:r>
    </w:p>
    <w:p w:rsidR="00C5378F" w:rsidRDefault="00C5378F" w:rsidP="006D236D">
      <w:pPr>
        <w:jc w:val="both"/>
      </w:pPr>
      <w:r>
        <w:t>The total burden for Tasmania across the life span</w:t>
      </w:r>
      <w:r w:rsidR="008717CA">
        <w:rPr>
          <w:lang w:val="en-US"/>
        </w:rPr>
        <w:t>,</w:t>
      </w:r>
      <w:r>
        <w:t xml:space="preserve"> with the </w:t>
      </w:r>
      <w:proofErr w:type="gramStart"/>
      <w:r>
        <w:t>Fatal</w:t>
      </w:r>
      <w:proofErr w:type="gramEnd"/>
      <w:r>
        <w:t xml:space="preserve"> / Non-Fatal disease burden </w:t>
      </w:r>
      <w:r w:rsidR="008717CA">
        <w:rPr>
          <w:lang w:val="en-US"/>
        </w:rPr>
        <w:t>separated</w:t>
      </w:r>
      <w:r>
        <w:t>, is shown below:</w:t>
      </w:r>
    </w:p>
    <w:p w:rsidR="00C5378F" w:rsidRDefault="00C5378F" w:rsidP="00C5378F">
      <w:pPr>
        <w:jc w:val="center"/>
      </w:pPr>
      <w:r w:rsidRPr="004D13E6">
        <w:rPr>
          <w:noProof/>
          <w:lang w:eastAsia="en-AU"/>
        </w:rPr>
        <w:drawing>
          <wp:inline distT="0" distB="0" distL="0" distR="0" wp14:anchorId="2FE3877F" wp14:editId="16CB75F5">
            <wp:extent cx="4314825" cy="2719179"/>
            <wp:effectExtent l="0" t="0" r="0" b="5080"/>
            <wp:docPr id="14" name="Picture 3" descr="Refer Health Planing Unit for more information" title="Graph Fatal and Non Fatal Burden of disease in Tasmania">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5168" cy="2719395"/>
                    </a:xfrm>
                    <a:prstGeom prst="rect">
                      <a:avLst/>
                    </a:prstGeom>
                    <a:noFill/>
                    <a:ln>
                      <a:noFill/>
                    </a:ln>
                  </pic:spPr>
                </pic:pic>
              </a:graphicData>
            </a:graphic>
          </wp:inline>
        </w:drawing>
      </w:r>
    </w:p>
    <w:p w:rsidR="00C5378F" w:rsidRDefault="00C5378F" w:rsidP="00C5378F">
      <w:r>
        <w:t>In Tasmania, the Non-Fatal burden increases significantly at the start of the working age and peaks at the end of this period when people are close to or at retirement age. The Fatal Burden peaks around retirement age.</w:t>
      </w:r>
    </w:p>
    <w:p w:rsidR="00682013" w:rsidRDefault="00682013" w:rsidP="00C5378F"/>
    <w:p w:rsidR="00C5378F" w:rsidRPr="008A674F" w:rsidRDefault="00C5378F" w:rsidP="00C5378F">
      <w:pPr>
        <w:pStyle w:val="Heading7"/>
        <w:ind w:left="993" w:hanging="993"/>
        <w:rPr>
          <w:rStyle w:val="IntenseEmphasis"/>
        </w:rPr>
      </w:pPr>
      <w:r w:rsidRPr="009A4CC4">
        <w:rPr>
          <w:rStyle w:val="IntenseEmphasis"/>
        </w:rPr>
        <w:t xml:space="preserve">Tasmanian </w:t>
      </w:r>
      <w:r>
        <w:rPr>
          <w:rStyle w:val="IntenseEmphasis"/>
        </w:rPr>
        <w:t xml:space="preserve">Fatal </w:t>
      </w:r>
      <w:r w:rsidRPr="009A4CC4">
        <w:rPr>
          <w:rStyle w:val="IntenseEmphasis"/>
        </w:rPr>
        <w:t xml:space="preserve">Burden of </w:t>
      </w:r>
      <w:r w:rsidRPr="00861BAD">
        <w:t>Disease</w:t>
      </w:r>
      <w:sdt>
        <w:sdtPr>
          <w:rPr>
            <w:sz w:val="22"/>
            <w:szCs w:val="22"/>
          </w:rPr>
          <w:id w:val="7641855"/>
          <w:citation/>
        </w:sdtPr>
        <w:sdtEndPr/>
        <w:sdtContent>
          <w:r w:rsidRPr="0063757B">
            <w:rPr>
              <w:sz w:val="22"/>
              <w:szCs w:val="22"/>
            </w:rPr>
            <w:fldChar w:fldCharType="begin"/>
          </w:r>
          <w:r w:rsidRPr="0063757B">
            <w:rPr>
              <w:sz w:val="22"/>
              <w:szCs w:val="22"/>
            </w:rPr>
            <w:instrText xml:space="preserve"> CITATION AIH11 \l 3081 </w:instrText>
          </w:r>
          <w:r w:rsidRPr="0063757B">
            <w:rPr>
              <w:sz w:val="22"/>
              <w:szCs w:val="22"/>
            </w:rPr>
            <w:fldChar w:fldCharType="separate"/>
          </w:r>
          <w:r w:rsidR="00355CA9">
            <w:rPr>
              <w:noProof/>
              <w:sz w:val="22"/>
              <w:szCs w:val="22"/>
            </w:rPr>
            <w:t xml:space="preserve"> </w:t>
          </w:r>
          <w:r w:rsidR="00355CA9" w:rsidRPr="00355CA9">
            <w:rPr>
              <w:noProof/>
              <w:sz w:val="22"/>
              <w:szCs w:val="22"/>
            </w:rPr>
            <w:t>(AIHW, 2011)</w:t>
          </w:r>
          <w:r w:rsidRPr="0063757B">
            <w:rPr>
              <w:sz w:val="22"/>
              <w:szCs w:val="22"/>
            </w:rPr>
            <w:fldChar w:fldCharType="end"/>
          </w:r>
        </w:sdtContent>
      </w:sdt>
    </w:p>
    <w:p w:rsidR="00DD052C" w:rsidRDefault="00DD052C" w:rsidP="00DD052C">
      <w:r>
        <w:t xml:space="preserve">The graph below shows the cumulative contribution </w:t>
      </w:r>
      <w:r w:rsidR="00C31CDB">
        <w:t>for all</w:t>
      </w:r>
      <w:r>
        <w:t xml:space="preserve"> condition</w:t>
      </w:r>
      <w:r w:rsidR="00C31CDB">
        <w:t>s</w:t>
      </w:r>
      <w:r>
        <w:t xml:space="preserve"> to the Total Fatal burden of Disease for Tasmania. The conditions that contribute to 80% of the Fatal Burden are Cancer, Cardiovascular Disease, Injuries, Neurological conditions and </w:t>
      </w:r>
      <w:proofErr w:type="spellStart"/>
      <w:r>
        <w:t>Rerspiratory</w:t>
      </w:r>
      <w:proofErr w:type="spellEnd"/>
      <w:r>
        <w:t xml:space="preserve"> disease.</w:t>
      </w:r>
    </w:p>
    <w:p w:rsidR="00DD052C" w:rsidRDefault="00DD052C" w:rsidP="00DD052C">
      <w:pPr>
        <w:tabs>
          <w:tab w:val="clear" w:pos="567"/>
        </w:tabs>
        <w:spacing w:after="0" w:line="240" w:lineRule="auto"/>
        <w:jc w:val="center"/>
      </w:pPr>
      <w:r>
        <w:rPr>
          <w:noProof/>
          <w:lang w:eastAsia="en-AU"/>
        </w:rPr>
        <w:drawing>
          <wp:inline distT="0" distB="0" distL="0" distR="0" wp14:anchorId="64684613" wp14:editId="6FA5C155">
            <wp:extent cx="4413825" cy="2880000"/>
            <wp:effectExtent l="0" t="0" r="6350" b="0"/>
            <wp:docPr id="5" name="Picture 5" descr="The graph shows the cumulative contribution for all conditions to the Total Fatal burden of Disease for Tasmania. The conditions that contribute to 80% of the Fatal Burden are Cancer, Cardiovascular Disease, Injuries, Neurological conditions and Rerspiratory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1261" t="1379" r="1261" b="1270"/>
                    <a:stretch/>
                  </pic:blipFill>
                  <pic:spPr bwMode="auto">
                    <a:xfrm>
                      <a:off x="0" y="0"/>
                      <a:ext cx="4413825"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DD052C" w:rsidRDefault="00DD052C" w:rsidP="00C5378F">
      <w:pPr>
        <w:jc w:val="both"/>
      </w:pPr>
    </w:p>
    <w:p w:rsidR="00C5378F" w:rsidRDefault="00DD052C" w:rsidP="00C5378F">
      <w:pPr>
        <w:jc w:val="both"/>
      </w:pPr>
      <w:r>
        <w:t xml:space="preserve">The same data </w:t>
      </w:r>
      <w:r w:rsidR="007B1EB5">
        <w:t>illustrating</w:t>
      </w:r>
      <w:r>
        <w:t xml:space="preserve"> the spread of burden </w:t>
      </w:r>
      <w:r w:rsidR="001C5598">
        <w:t xml:space="preserve">and </w:t>
      </w:r>
      <w:r w:rsidR="00102BC7">
        <w:t>its</w:t>
      </w:r>
      <w:r w:rsidR="001C5598">
        <w:t xml:space="preserve"> impact at various stages </w:t>
      </w:r>
      <w:r>
        <w:t xml:space="preserve">across the lifespan for </w:t>
      </w:r>
      <w:r w:rsidR="00102BC7">
        <w:t>Tasmania</w:t>
      </w:r>
      <w:r w:rsidR="00C5378F">
        <w:t xml:space="preserve"> is shown below:</w:t>
      </w:r>
    </w:p>
    <w:p w:rsidR="00C5378F" w:rsidRPr="008E51CA" w:rsidRDefault="00C5378F" w:rsidP="00C5378F">
      <w:pPr>
        <w:jc w:val="center"/>
        <w:rPr>
          <w:color w:val="1F497D" w:themeColor="text2"/>
        </w:rPr>
      </w:pPr>
      <w:r w:rsidRPr="008E51CA">
        <w:rPr>
          <w:noProof/>
          <w:color w:val="1F497D" w:themeColor="text2"/>
          <w:lang w:eastAsia="en-AU"/>
        </w:rPr>
        <w:drawing>
          <wp:inline distT="0" distB="0" distL="0" distR="0" wp14:anchorId="7AAE9055" wp14:editId="2CA79567">
            <wp:extent cx="6311262" cy="4459959"/>
            <wp:effectExtent l="0" t="0" r="0" b="0"/>
            <wp:docPr id="20" name="Picture 20" descr="Refer Health Planning Unit for further information" title="Figure on Fatal burden of disease in Taamania">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5611" t="1396" r="6304" b="3394"/>
                    <a:stretch/>
                  </pic:blipFill>
                  <pic:spPr bwMode="auto">
                    <a:xfrm>
                      <a:off x="0" y="0"/>
                      <a:ext cx="6330099" cy="4473271"/>
                    </a:xfrm>
                    <a:prstGeom prst="rect">
                      <a:avLst/>
                    </a:prstGeom>
                    <a:noFill/>
                    <a:ln>
                      <a:noFill/>
                    </a:ln>
                    <a:extLst>
                      <a:ext uri="{53640926-AAD7-44D8-BBD7-CCE9431645EC}">
                        <a14:shadowObscured xmlns:a14="http://schemas.microsoft.com/office/drawing/2010/main"/>
                      </a:ext>
                    </a:extLst>
                  </pic:spPr>
                </pic:pic>
              </a:graphicData>
            </a:graphic>
          </wp:inline>
        </w:drawing>
      </w:r>
    </w:p>
    <w:p w:rsidR="00386C00" w:rsidRDefault="00386C00" w:rsidP="00C5378F">
      <w:pPr>
        <w:tabs>
          <w:tab w:val="clear" w:pos="567"/>
        </w:tabs>
        <w:spacing w:after="0" w:line="240" w:lineRule="auto"/>
      </w:pPr>
    </w:p>
    <w:p w:rsidR="00C5378F" w:rsidRDefault="00C5378F" w:rsidP="00C5378F">
      <w:pPr>
        <w:tabs>
          <w:tab w:val="clear" w:pos="567"/>
        </w:tabs>
        <w:spacing w:after="0" w:line="240" w:lineRule="auto"/>
        <w:rPr>
          <w:rStyle w:val="IntenseEmphasis"/>
          <w:rFonts w:cs="Arial"/>
          <w:b/>
          <w:bCs/>
          <w:iCs/>
          <w:sz w:val="28"/>
          <w:szCs w:val="28"/>
        </w:rPr>
      </w:pPr>
      <w:r>
        <w:rPr>
          <w:rStyle w:val="IntenseEmphasis"/>
        </w:rPr>
        <w:br w:type="page"/>
      </w:r>
    </w:p>
    <w:p w:rsidR="00C5378F" w:rsidRPr="008A674F" w:rsidRDefault="00C5378F" w:rsidP="00C5378F">
      <w:pPr>
        <w:pStyle w:val="Heading7"/>
        <w:ind w:left="993" w:hanging="993"/>
        <w:rPr>
          <w:rStyle w:val="IntenseEmphasis"/>
        </w:rPr>
      </w:pPr>
      <w:r w:rsidRPr="009A4CC4">
        <w:rPr>
          <w:rStyle w:val="IntenseEmphasis"/>
        </w:rPr>
        <w:t xml:space="preserve">Tasmanian </w:t>
      </w:r>
      <w:r>
        <w:rPr>
          <w:rStyle w:val="IntenseEmphasis"/>
        </w:rPr>
        <w:t>Non-Fatal</w:t>
      </w:r>
      <w:r w:rsidRPr="009A4CC4">
        <w:rPr>
          <w:rStyle w:val="IntenseEmphasis"/>
        </w:rPr>
        <w:t xml:space="preserve"> Burden of </w:t>
      </w:r>
      <w:r w:rsidRPr="00861BAD">
        <w:t>Disease</w:t>
      </w:r>
      <w:sdt>
        <w:sdtPr>
          <w:id w:val="1088274948"/>
          <w:citation/>
        </w:sdtPr>
        <w:sdtEndPr>
          <w:rPr>
            <w:sz w:val="22"/>
            <w:szCs w:val="22"/>
          </w:rPr>
        </w:sdtEndPr>
        <w:sdtContent>
          <w:r w:rsidRPr="0063757B">
            <w:rPr>
              <w:sz w:val="22"/>
              <w:szCs w:val="22"/>
            </w:rPr>
            <w:fldChar w:fldCharType="begin"/>
          </w:r>
          <w:r w:rsidRPr="0063757B">
            <w:rPr>
              <w:sz w:val="22"/>
              <w:szCs w:val="22"/>
            </w:rPr>
            <w:instrText xml:space="preserve"> CITATION AIH11 \l 3081 </w:instrText>
          </w:r>
          <w:r w:rsidRPr="0063757B">
            <w:rPr>
              <w:sz w:val="22"/>
              <w:szCs w:val="22"/>
            </w:rPr>
            <w:fldChar w:fldCharType="separate"/>
          </w:r>
          <w:r w:rsidR="00355CA9">
            <w:rPr>
              <w:noProof/>
              <w:sz w:val="22"/>
              <w:szCs w:val="22"/>
            </w:rPr>
            <w:t xml:space="preserve"> </w:t>
          </w:r>
          <w:r w:rsidR="00355CA9" w:rsidRPr="00355CA9">
            <w:rPr>
              <w:noProof/>
              <w:sz w:val="22"/>
              <w:szCs w:val="22"/>
            </w:rPr>
            <w:t>(AIHW, 2011)</w:t>
          </w:r>
          <w:r w:rsidRPr="0063757B">
            <w:rPr>
              <w:sz w:val="22"/>
              <w:szCs w:val="22"/>
            </w:rPr>
            <w:fldChar w:fldCharType="end"/>
          </w:r>
        </w:sdtContent>
      </w:sdt>
    </w:p>
    <w:p w:rsidR="000C44B0" w:rsidRDefault="000C44B0" w:rsidP="000C44B0">
      <w:r>
        <w:t xml:space="preserve">The graph below shows the cumulative contribution </w:t>
      </w:r>
      <w:r w:rsidR="00C31CDB">
        <w:t>for all</w:t>
      </w:r>
      <w:r>
        <w:t xml:space="preserve"> condition</w:t>
      </w:r>
      <w:r w:rsidR="00C31CDB">
        <w:t>s</w:t>
      </w:r>
      <w:r>
        <w:t xml:space="preserve"> to the Total </w:t>
      </w:r>
      <w:proofErr w:type="spellStart"/>
      <w:r>
        <w:t>Non Fatal</w:t>
      </w:r>
      <w:proofErr w:type="spellEnd"/>
      <w:r>
        <w:t xml:space="preserve"> burden of Disease for Tasmania. The conditions that contribute to 80% of the Fatal Burden are Musculoskeletal, Mental Health, Respiratory, Cardiovascular, Oral disorders and Hearing and Vision disorders.</w:t>
      </w:r>
    </w:p>
    <w:p w:rsidR="0096263B" w:rsidRDefault="0096263B" w:rsidP="00C5378F"/>
    <w:p w:rsidR="0096263B" w:rsidRDefault="000C44B0" w:rsidP="000C44B0">
      <w:pPr>
        <w:jc w:val="center"/>
      </w:pPr>
      <w:r>
        <w:rPr>
          <w:noProof/>
          <w:lang w:eastAsia="en-AU"/>
        </w:rPr>
        <w:drawing>
          <wp:inline distT="0" distB="0" distL="0" distR="0" wp14:anchorId="3B230AC9" wp14:editId="31718166">
            <wp:extent cx="4492689" cy="2933700"/>
            <wp:effectExtent l="0" t="0" r="3175" b="0"/>
            <wp:docPr id="12" name="Picture 12" descr="The graph shows the cumulative contribution for all conditions to the Total Non Fatal burden of Disease for Tasmania. The conditions that contribute to 80% of the Fatal Burden are Musculoskeletal, Mental Health, Respiratory, Cardiovascular, Oral disorders and Hearing and Vision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44">
                      <a:extLst>
                        <a:ext uri="{28A0092B-C50C-407E-A947-70E740481C1C}">
                          <a14:useLocalDpi xmlns:a14="http://schemas.microsoft.com/office/drawing/2010/main" val="0"/>
                        </a:ext>
                      </a:extLst>
                    </a:blip>
                    <a:srcRect l="715" t="1252" r="1631" b="1090"/>
                    <a:stretch/>
                  </pic:blipFill>
                  <pic:spPr bwMode="auto">
                    <a:xfrm>
                      <a:off x="0" y="0"/>
                      <a:ext cx="4490456" cy="2932242"/>
                    </a:xfrm>
                    <a:prstGeom prst="rect">
                      <a:avLst/>
                    </a:prstGeom>
                    <a:noFill/>
                    <a:ln>
                      <a:noFill/>
                    </a:ln>
                    <a:extLst>
                      <a:ext uri="{53640926-AAD7-44D8-BBD7-CCE9431645EC}">
                        <a14:shadowObscured xmlns:a14="http://schemas.microsoft.com/office/drawing/2010/main"/>
                      </a:ext>
                    </a:extLst>
                  </pic:spPr>
                </pic:pic>
              </a:graphicData>
            </a:graphic>
          </wp:inline>
        </w:drawing>
      </w:r>
    </w:p>
    <w:p w:rsidR="0096263B" w:rsidRDefault="0096263B" w:rsidP="00C5378F"/>
    <w:p w:rsidR="000C44B0" w:rsidRDefault="000C44B0" w:rsidP="000C44B0">
      <w:pPr>
        <w:jc w:val="both"/>
      </w:pPr>
      <w:r>
        <w:t xml:space="preserve">The same data </w:t>
      </w:r>
      <w:r w:rsidR="007B1EB5">
        <w:t>illustrating</w:t>
      </w:r>
      <w:r>
        <w:t xml:space="preserve"> the spread of burden and </w:t>
      </w:r>
      <w:r w:rsidR="00102BC7">
        <w:t>its</w:t>
      </w:r>
      <w:r>
        <w:t xml:space="preserve"> impact at various stages across the lifespan for </w:t>
      </w:r>
      <w:r w:rsidR="00102BC7">
        <w:t>Tasmania</w:t>
      </w:r>
      <w:r>
        <w:t xml:space="preserve"> is shown below:</w:t>
      </w:r>
    </w:p>
    <w:p w:rsidR="00C5378F" w:rsidRDefault="00C5378F" w:rsidP="00C5378F">
      <w:pPr>
        <w:jc w:val="center"/>
      </w:pPr>
      <w:r>
        <w:rPr>
          <w:noProof/>
          <w:lang w:eastAsia="en-AU"/>
        </w:rPr>
        <w:drawing>
          <wp:inline distT="0" distB="0" distL="0" distR="0" wp14:anchorId="6569F7E5" wp14:editId="793E5050">
            <wp:extent cx="5856889" cy="4236449"/>
            <wp:effectExtent l="0" t="0" r="0" b="0"/>
            <wp:docPr id="17" name="Picture 17" descr="Refer Health Planning Unit for further information" title="Figure Non Fatal Burden of Disease in Tasmania">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6122" t="1591" r="6372" b="1595"/>
                    <a:stretch/>
                  </pic:blipFill>
                  <pic:spPr bwMode="auto">
                    <a:xfrm>
                      <a:off x="0" y="0"/>
                      <a:ext cx="5880025" cy="4253184"/>
                    </a:xfrm>
                    <a:prstGeom prst="rect">
                      <a:avLst/>
                    </a:prstGeom>
                    <a:noFill/>
                    <a:ln>
                      <a:noFill/>
                    </a:ln>
                    <a:extLst>
                      <a:ext uri="{53640926-AAD7-44D8-BBD7-CCE9431645EC}">
                        <a14:shadowObscured xmlns:a14="http://schemas.microsoft.com/office/drawing/2010/main"/>
                      </a:ext>
                    </a:extLst>
                  </pic:spPr>
                </pic:pic>
              </a:graphicData>
            </a:graphic>
          </wp:inline>
        </w:drawing>
      </w:r>
    </w:p>
    <w:p w:rsidR="00C5378F" w:rsidRDefault="00C5378F" w:rsidP="00C5378F">
      <w:pPr>
        <w:tabs>
          <w:tab w:val="clear" w:pos="567"/>
        </w:tabs>
        <w:spacing w:after="0" w:line="240" w:lineRule="auto"/>
      </w:pPr>
      <w:r>
        <w:br w:type="page"/>
      </w:r>
    </w:p>
    <w:p w:rsidR="005D1398" w:rsidRDefault="00A20E2A" w:rsidP="005D1398">
      <w:pPr>
        <w:pStyle w:val="Heading2numbered"/>
      </w:pPr>
      <w:bookmarkStart w:id="13" w:name="_Toc463254929"/>
      <w:r>
        <w:t>Surg</w:t>
      </w:r>
      <w:r w:rsidR="00A71421">
        <w:t>e</w:t>
      </w:r>
      <w:r>
        <w:t>r</w:t>
      </w:r>
      <w:r w:rsidR="00A71421">
        <w:t>y</w:t>
      </w:r>
      <w:bookmarkEnd w:id="13"/>
    </w:p>
    <w:p w:rsidR="00E13902" w:rsidRDefault="00AF1133" w:rsidP="00AF1133">
      <w:pPr>
        <w:jc w:val="both"/>
        <w:rPr>
          <w:rFonts w:cstheme="minorHAnsi"/>
        </w:rPr>
      </w:pPr>
      <w:r>
        <w:rPr>
          <w:rFonts w:cstheme="minorHAnsi"/>
        </w:rPr>
        <w:t>Tasmania faces a number of challenges with</w:t>
      </w:r>
      <w:r w:rsidR="00590FFC">
        <w:rPr>
          <w:rFonts w:cstheme="minorHAnsi"/>
          <w:lang w:val="en-US"/>
        </w:rPr>
        <w:t xml:space="preserve"> respect to</w:t>
      </w:r>
      <w:r>
        <w:rPr>
          <w:rFonts w:cstheme="minorHAnsi"/>
        </w:rPr>
        <w:t xml:space="preserve"> elective and emergency surgery. For many years, Tasmanians have waited longer for surgery than residents of other states and territories, with many patients waiting significantly longer than </w:t>
      </w:r>
      <w:r w:rsidR="002B0A22">
        <w:rPr>
          <w:rFonts w:cstheme="minorHAnsi"/>
          <w:lang w:val="en-US"/>
        </w:rPr>
        <w:t xml:space="preserve">the </w:t>
      </w:r>
      <w:r>
        <w:rPr>
          <w:rFonts w:cstheme="minorHAnsi"/>
        </w:rPr>
        <w:t>clinically recommended</w:t>
      </w:r>
      <w:r w:rsidR="002B0A22">
        <w:rPr>
          <w:rFonts w:cstheme="minorHAnsi"/>
          <w:lang w:val="en-US"/>
        </w:rPr>
        <w:t xml:space="preserve"> times</w:t>
      </w:r>
      <w:r>
        <w:rPr>
          <w:rFonts w:cstheme="minorHAnsi"/>
        </w:rPr>
        <w:t>.  This has placed a great burden on the community</w:t>
      </w:r>
      <w:r w:rsidR="004A56DC">
        <w:rPr>
          <w:rFonts w:cstheme="minorHAnsi"/>
          <w:lang w:val="en-US"/>
        </w:rPr>
        <w:t xml:space="preserve"> and</w:t>
      </w:r>
      <w:r>
        <w:rPr>
          <w:rFonts w:cstheme="minorHAnsi"/>
        </w:rPr>
        <w:t xml:space="preserve"> operational stress on the delivery of surgical services</w:t>
      </w:r>
      <w:r w:rsidR="004A56DC">
        <w:rPr>
          <w:rFonts w:cstheme="minorHAnsi"/>
          <w:lang w:val="en-US"/>
        </w:rPr>
        <w:t>,</w:t>
      </w:r>
      <w:r>
        <w:rPr>
          <w:rFonts w:cstheme="minorHAnsi"/>
        </w:rPr>
        <w:t xml:space="preserve"> and makes prioritisation of surgical cases difficult as mean wait times </w:t>
      </w:r>
      <w:r w:rsidR="001013B0">
        <w:rPr>
          <w:rFonts w:cstheme="minorHAnsi"/>
          <w:lang w:val="en-US"/>
        </w:rPr>
        <w:t>lengthen</w:t>
      </w:r>
      <w:r>
        <w:rPr>
          <w:rFonts w:cstheme="minorHAnsi"/>
        </w:rPr>
        <w:t xml:space="preserve"> and pressure builds from the community.  </w:t>
      </w:r>
    </w:p>
    <w:p w:rsidR="00AF1133" w:rsidRDefault="00AF1133" w:rsidP="00AF1133">
      <w:pPr>
        <w:jc w:val="both"/>
        <w:rPr>
          <w:rFonts w:cstheme="minorHAnsi"/>
        </w:rPr>
      </w:pPr>
      <w:r>
        <w:rPr>
          <w:rFonts w:cstheme="minorHAnsi"/>
        </w:rPr>
        <w:t>While the elective surgery waiting list grew from 2014, over the last year targeted purchasing of elective surgery both from the THS and private providers has delivered not only record levels of activity, but also the lowest ever level of “over boundary” patients and the</w:t>
      </w:r>
      <w:r w:rsidR="005B729D">
        <w:rPr>
          <w:rFonts w:cstheme="minorHAnsi"/>
          <w:lang w:val="en-US"/>
        </w:rPr>
        <w:t xml:space="preserve"> fewest patients on the</w:t>
      </w:r>
      <w:r>
        <w:rPr>
          <w:rFonts w:cstheme="minorHAnsi"/>
        </w:rPr>
        <w:t xml:space="preserve"> Elective Surgery Waiting List (ESWL)</w:t>
      </w:r>
      <w:r w:rsidR="00583011">
        <w:rPr>
          <w:rFonts w:cstheme="minorHAnsi"/>
        </w:rPr>
        <w:t>,</w:t>
      </w:r>
      <w:r>
        <w:rPr>
          <w:rFonts w:cstheme="minorHAnsi"/>
        </w:rPr>
        <w:t xml:space="preserve"> since records have been available.  This has been achieved by purchasing to treat those patients who have waited longest as a priority – </w:t>
      </w:r>
      <w:r w:rsidR="005B729D">
        <w:rPr>
          <w:rFonts w:cstheme="minorHAnsi"/>
          <w:lang w:val="en-US"/>
        </w:rPr>
        <w:t xml:space="preserve">a </w:t>
      </w:r>
      <w:r>
        <w:rPr>
          <w:rFonts w:cstheme="minorHAnsi"/>
        </w:rPr>
        <w:t>“treat in turn”</w:t>
      </w:r>
      <w:r w:rsidR="005B729D">
        <w:rPr>
          <w:rFonts w:cstheme="minorHAnsi"/>
          <w:lang w:val="en-US"/>
        </w:rPr>
        <w:t xml:space="preserve"> approach</w:t>
      </w:r>
      <w:r>
        <w:rPr>
          <w:rFonts w:cstheme="minorHAnsi"/>
        </w:rPr>
        <w:t xml:space="preserve">.  Over time, purchasing of elective surgery </w:t>
      </w:r>
      <w:r w:rsidR="00477C05">
        <w:rPr>
          <w:rFonts w:cstheme="minorHAnsi"/>
          <w:lang w:val="en-US"/>
        </w:rPr>
        <w:t xml:space="preserve">must </w:t>
      </w:r>
      <w:r>
        <w:rPr>
          <w:rFonts w:cstheme="minorHAnsi"/>
        </w:rPr>
        <w:t>also account</w:t>
      </w:r>
      <w:r w:rsidR="00DC6E05">
        <w:rPr>
          <w:rFonts w:cstheme="minorHAnsi"/>
          <w:lang w:val="en-US"/>
        </w:rPr>
        <w:t xml:space="preserve"> for</w:t>
      </w:r>
      <w:r>
        <w:rPr>
          <w:rFonts w:cstheme="minorHAnsi"/>
        </w:rPr>
        <w:t xml:space="preserve"> the mix of complexity of cases within the ESWL in order to allow for greater sophistication in our purchasing actions</w:t>
      </w:r>
      <w:r w:rsidR="009E1941">
        <w:rPr>
          <w:rFonts w:cstheme="minorHAnsi"/>
          <w:lang w:val="en-US"/>
        </w:rPr>
        <w:t xml:space="preserve">. This will assist in aligning </w:t>
      </w:r>
      <w:r w:rsidR="00777D5E">
        <w:rPr>
          <w:rFonts w:cstheme="minorHAnsi"/>
          <w:lang w:val="en-US"/>
        </w:rPr>
        <w:t xml:space="preserve">with the provisions of the </w:t>
      </w:r>
      <w:r w:rsidR="00777D5E">
        <w:rPr>
          <w:rFonts w:cstheme="minorHAnsi"/>
        </w:rPr>
        <w:t>Tasmanian Role Delineation Framework (TRDF)</w:t>
      </w:r>
      <w:r w:rsidR="00777D5E">
        <w:rPr>
          <w:rFonts w:cstheme="minorHAnsi"/>
          <w:lang w:val="en-US"/>
        </w:rPr>
        <w:t xml:space="preserve"> and </w:t>
      </w:r>
      <w:r>
        <w:rPr>
          <w:rFonts w:cstheme="minorHAnsi"/>
        </w:rPr>
        <w:t xml:space="preserve">the Tasmanian Clinical Services </w:t>
      </w:r>
      <w:r w:rsidR="00777D5E">
        <w:rPr>
          <w:rFonts w:cstheme="minorHAnsi"/>
          <w:lang w:val="en-US"/>
        </w:rPr>
        <w:t>Profile</w:t>
      </w:r>
      <w:r w:rsidR="00777D5E">
        <w:rPr>
          <w:rFonts w:cstheme="minorHAnsi"/>
        </w:rPr>
        <w:t xml:space="preserve"> </w:t>
      </w:r>
      <w:r>
        <w:rPr>
          <w:rFonts w:cstheme="minorHAnsi"/>
        </w:rPr>
        <w:t xml:space="preserve">(TCSP). This work is planned for the 2018-19 </w:t>
      </w:r>
      <w:proofErr w:type="spellStart"/>
      <w:r>
        <w:rPr>
          <w:rFonts w:cstheme="minorHAnsi"/>
        </w:rPr>
        <w:t>SoPI</w:t>
      </w:r>
      <w:proofErr w:type="spellEnd"/>
      <w:r>
        <w:rPr>
          <w:rFonts w:cstheme="minorHAnsi"/>
        </w:rPr>
        <w:t xml:space="preserve">. </w:t>
      </w:r>
    </w:p>
    <w:p w:rsidR="00AF1133" w:rsidRDefault="00AF1133" w:rsidP="00AF1133">
      <w:pPr>
        <w:jc w:val="both"/>
        <w:rPr>
          <w:rFonts w:cstheme="minorHAnsi"/>
        </w:rPr>
      </w:pPr>
      <w:r>
        <w:rPr>
          <w:rFonts w:cstheme="minorHAnsi"/>
        </w:rPr>
        <w:t xml:space="preserve">Emergency surgery has not remained stable over time and a greater understanding of the drivers of emergency surgery is required. This work will be </w:t>
      </w:r>
      <w:r w:rsidR="00ED6FEC">
        <w:rPr>
          <w:rFonts w:cstheme="minorHAnsi"/>
          <w:lang w:val="en-US"/>
        </w:rPr>
        <w:t xml:space="preserve">incorporated into </w:t>
      </w:r>
      <w:r>
        <w:rPr>
          <w:rFonts w:cstheme="minorHAnsi"/>
        </w:rPr>
        <w:t xml:space="preserve">the 2018-19 </w:t>
      </w:r>
      <w:proofErr w:type="spellStart"/>
      <w:r>
        <w:rPr>
          <w:rFonts w:cstheme="minorHAnsi"/>
        </w:rPr>
        <w:t>SoPI</w:t>
      </w:r>
      <w:proofErr w:type="spellEnd"/>
      <w:r>
        <w:rPr>
          <w:rFonts w:cstheme="minorHAnsi"/>
        </w:rPr>
        <w:t>.</w:t>
      </w:r>
    </w:p>
    <w:p w:rsidR="00747D6C" w:rsidRDefault="00747D6C" w:rsidP="00747D6C">
      <w:pPr>
        <w:pStyle w:val="Heading3numbered"/>
        <w:tabs>
          <w:tab w:val="clear" w:pos="1702"/>
        </w:tabs>
        <w:ind w:left="851"/>
      </w:pPr>
      <w:r>
        <w:t>Elective Surgery</w:t>
      </w:r>
    </w:p>
    <w:p w:rsidR="00583011" w:rsidRPr="002921BA" w:rsidRDefault="00583011" w:rsidP="00583011">
      <w:pPr>
        <w:jc w:val="both"/>
        <w:rPr>
          <w:rFonts w:cstheme="minorHAnsi"/>
        </w:rPr>
      </w:pPr>
      <w:r>
        <w:rPr>
          <w:rFonts w:cstheme="minorHAnsi"/>
        </w:rPr>
        <w:t xml:space="preserve">The </w:t>
      </w:r>
      <w:r w:rsidR="00ED6FEC">
        <w:rPr>
          <w:rFonts w:cstheme="minorHAnsi"/>
          <w:lang w:val="en-US"/>
        </w:rPr>
        <w:t>demand</w:t>
      </w:r>
      <w:r w:rsidR="00ED6FEC">
        <w:rPr>
          <w:rFonts w:cstheme="minorHAnsi"/>
        </w:rPr>
        <w:t xml:space="preserve"> </w:t>
      </w:r>
      <w:r>
        <w:rPr>
          <w:rFonts w:cstheme="minorHAnsi"/>
        </w:rPr>
        <w:t>for elective surgery is articulated via the ESWL and</w:t>
      </w:r>
      <w:r w:rsidR="00ED6FEC">
        <w:rPr>
          <w:rFonts w:cstheme="minorHAnsi"/>
          <w:lang w:val="en-US"/>
        </w:rPr>
        <w:t xml:space="preserve"> patient</w:t>
      </w:r>
      <w:r w:rsidR="000D10FD">
        <w:rPr>
          <w:rFonts w:cstheme="minorHAnsi"/>
          <w:lang w:val="en-US"/>
        </w:rPr>
        <w:t xml:space="preserve"> and procedure s</w:t>
      </w:r>
      <w:r w:rsidR="00ED6FEC">
        <w:rPr>
          <w:rFonts w:cstheme="minorHAnsi"/>
          <w:lang w:val="en-US"/>
        </w:rPr>
        <w:t>pecific</w:t>
      </w:r>
      <w:r>
        <w:rPr>
          <w:rFonts w:cstheme="minorHAnsi"/>
        </w:rPr>
        <w:t xml:space="preserve"> </w:t>
      </w:r>
      <w:r w:rsidR="00C04AA2">
        <w:rPr>
          <w:rFonts w:cstheme="minorHAnsi"/>
          <w:lang w:val="en-US"/>
        </w:rPr>
        <w:t>clinically</w:t>
      </w:r>
      <w:r w:rsidR="004E01B0">
        <w:rPr>
          <w:rFonts w:cstheme="minorHAnsi"/>
          <w:lang w:val="en-US"/>
        </w:rPr>
        <w:t xml:space="preserve"> recommended </w:t>
      </w:r>
      <w:r>
        <w:rPr>
          <w:rFonts w:cstheme="minorHAnsi"/>
        </w:rPr>
        <w:t>waiting times. M</w:t>
      </w:r>
      <w:r w:rsidRPr="002921BA">
        <w:rPr>
          <w:rFonts w:cstheme="minorHAnsi"/>
        </w:rPr>
        <w:t>edian waiting time for elective surgery in Tasmania</w:t>
      </w:r>
      <w:r>
        <w:rPr>
          <w:rFonts w:cstheme="minorHAnsi"/>
        </w:rPr>
        <w:t xml:space="preserve"> was</w:t>
      </w:r>
      <w:r w:rsidRPr="002921BA">
        <w:rPr>
          <w:rFonts w:cstheme="minorHAnsi"/>
        </w:rPr>
        <w:t xml:space="preserve"> 55 days</w:t>
      </w:r>
      <w:r>
        <w:rPr>
          <w:rFonts w:cstheme="minorHAnsi"/>
        </w:rPr>
        <w:t xml:space="preserve"> compared to </w:t>
      </w:r>
      <w:r w:rsidRPr="002921BA">
        <w:rPr>
          <w:rFonts w:cstheme="minorHAnsi"/>
        </w:rPr>
        <w:t xml:space="preserve">the national average </w:t>
      </w:r>
      <w:r>
        <w:rPr>
          <w:rFonts w:cstheme="minorHAnsi"/>
        </w:rPr>
        <w:t>of</w:t>
      </w:r>
      <w:r w:rsidRPr="002921BA">
        <w:rPr>
          <w:rFonts w:cstheme="minorHAnsi"/>
        </w:rPr>
        <w:t xml:space="preserve"> 35 days </w:t>
      </w:r>
      <w:sdt>
        <w:sdtPr>
          <w:rPr>
            <w:rFonts w:cstheme="minorHAnsi"/>
          </w:rPr>
          <w:id w:val="364491913"/>
          <w:citation/>
        </w:sdtPr>
        <w:sdtEndPr/>
        <w:sdtContent>
          <w:r w:rsidRPr="002921BA">
            <w:rPr>
              <w:rFonts w:cstheme="minorHAnsi"/>
            </w:rPr>
            <w:fldChar w:fldCharType="begin"/>
          </w:r>
          <w:r w:rsidRPr="002921BA">
            <w:rPr>
              <w:rFonts w:cstheme="minorHAnsi"/>
            </w:rPr>
            <w:instrText xml:space="preserve"> CITATION AIH16 \l 3081 </w:instrText>
          </w:r>
          <w:r w:rsidRPr="002921BA">
            <w:rPr>
              <w:rFonts w:cstheme="minorHAnsi"/>
            </w:rPr>
            <w:fldChar w:fldCharType="separate"/>
          </w:r>
          <w:r w:rsidR="00355CA9" w:rsidRPr="00355CA9">
            <w:rPr>
              <w:rFonts w:cstheme="minorHAnsi"/>
              <w:noProof/>
            </w:rPr>
            <w:t>(AIHW, 2016)</w:t>
          </w:r>
          <w:r w:rsidRPr="002921BA">
            <w:rPr>
              <w:rFonts w:cstheme="minorHAnsi"/>
            </w:rPr>
            <w:fldChar w:fldCharType="end"/>
          </w:r>
        </w:sdtContent>
      </w:sdt>
      <w:r w:rsidRPr="002921BA">
        <w:rPr>
          <w:rFonts w:cstheme="minorHAnsi"/>
        </w:rPr>
        <w:t xml:space="preserve">. </w:t>
      </w:r>
      <w:r>
        <w:rPr>
          <w:rFonts w:cstheme="minorHAnsi"/>
        </w:rPr>
        <w:t>From peak of 9331</w:t>
      </w:r>
      <w:r w:rsidR="005D755C">
        <w:rPr>
          <w:rFonts w:cstheme="minorHAnsi"/>
          <w:lang w:val="en-US"/>
        </w:rPr>
        <w:t xml:space="preserve"> </w:t>
      </w:r>
      <w:r>
        <w:rPr>
          <w:rFonts w:cstheme="minorHAnsi"/>
        </w:rPr>
        <w:t>in April 2015 (see below), the ESWL has fallen to</w:t>
      </w:r>
      <w:r w:rsidR="00C77612">
        <w:rPr>
          <w:rFonts w:cstheme="minorHAnsi"/>
        </w:rPr>
        <w:t xml:space="preserve"> less than 60</w:t>
      </w:r>
      <w:r w:rsidR="00E44806">
        <w:rPr>
          <w:rFonts w:cstheme="minorHAnsi"/>
        </w:rPr>
        <w:t>00</w:t>
      </w:r>
      <w:r>
        <w:rPr>
          <w:rFonts w:cstheme="minorHAnsi"/>
        </w:rPr>
        <w:t xml:space="preserve"> in June 2016 – the lowest level recorded.  While </w:t>
      </w:r>
      <w:r w:rsidR="00EE02A6">
        <w:rPr>
          <w:rFonts w:cstheme="minorHAnsi"/>
          <w:lang w:val="en-US"/>
        </w:rPr>
        <w:t xml:space="preserve">demand pressures and increasing disease burden mean that </w:t>
      </w:r>
      <w:r>
        <w:rPr>
          <w:rFonts w:cstheme="minorHAnsi"/>
        </w:rPr>
        <w:t xml:space="preserve">the ESWL is unlikely to remain at this low level </w:t>
      </w:r>
      <w:r w:rsidR="001E431C">
        <w:rPr>
          <w:rFonts w:cstheme="minorHAnsi"/>
          <w:lang w:val="en-US"/>
        </w:rPr>
        <w:t xml:space="preserve">in the </w:t>
      </w:r>
      <w:r>
        <w:rPr>
          <w:rFonts w:cstheme="minorHAnsi"/>
        </w:rPr>
        <w:t>longer term, what is more important is that the number of over</w:t>
      </w:r>
      <w:r w:rsidR="00932E31">
        <w:rPr>
          <w:rFonts w:cstheme="minorHAnsi"/>
        </w:rPr>
        <w:t xml:space="preserve"> </w:t>
      </w:r>
      <w:r>
        <w:rPr>
          <w:rFonts w:cstheme="minorHAnsi"/>
        </w:rPr>
        <w:t xml:space="preserve">boundary patients is also at </w:t>
      </w:r>
      <w:r w:rsidR="00401FF4">
        <w:rPr>
          <w:rFonts w:cstheme="minorHAnsi"/>
        </w:rPr>
        <w:t>its</w:t>
      </w:r>
      <w:r>
        <w:rPr>
          <w:rFonts w:cstheme="minorHAnsi"/>
        </w:rPr>
        <w:t xml:space="preserve"> lowest ever level.</w:t>
      </w:r>
    </w:p>
    <w:p w:rsidR="000C36FD" w:rsidRDefault="00C77612" w:rsidP="002F69F6">
      <w:pPr>
        <w:jc w:val="both"/>
        <w:rPr>
          <w:rFonts w:cstheme="minorHAnsi"/>
        </w:rPr>
      </w:pPr>
      <w:r>
        <w:rPr>
          <w:noProof/>
          <w:lang w:eastAsia="en-AU"/>
        </w:rPr>
        <w:drawing>
          <wp:inline distT="0" distB="0" distL="0" distR="0" wp14:anchorId="7C803D06" wp14:editId="1F50C24B">
            <wp:extent cx="6296025" cy="2371725"/>
            <wp:effectExtent l="0" t="0" r="0" b="9525"/>
            <wp:docPr id="19" name="Picture 19" descr="cid:image003.png@01D217E3.1A02C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17E3.1A02C59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301562" cy="2373811"/>
                    </a:xfrm>
                    <a:prstGeom prst="rect">
                      <a:avLst/>
                    </a:prstGeom>
                    <a:noFill/>
                    <a:ln>
                      <a:noFill/>
                    </a:ln>
                  </pic:spPr>
                </pic:pic>
              </a:graphicData>
            </a:graphic>
          </wp:inline>
        </w:drawing>
      </w:r>
    </w:p>
    <w:p w:rsidR="00063E79" w:rsidRDefault="004E5EEE" w:rsidP="002F69F6">
      <w:pPr>
        <w:jc w:val="both"/>
        <w:rPr>
          <w:rFonts w:cstheme="minorHAnsi"/>
        </w:rPr>
      </w:pPr>
      <w:r>
        <w:rPr>
          <w:rFonts w:cstheme="minorHAnsi"/>
        </w:rPr>
        <w:t>The use of T</w:t>
      </w:r>
      <w:r w:rsidR="00FA28FF">
        <w:rPr>
          <w:rFonts w:cstheme="minorHAnsi"/>
        </w:rPr>
        <w:t xml:space="preserve">asmanian </w:t>
      </w:r>
      <w:r>
        <w:rPr>
          <w:rFonts w:cstheme="minorHAnsi"/>
        </w:rPr>
        <w:t>H</w:t>
      </w:r>
      <w:r w:rsidR="00FA28FF">
        <w:rPr>
          <w:rFonts w:cstheme="minorHAnsi"/>
        </w:rPr>
        <w:t xml:space="preserve">ealth </w:t>
      </w:r>
      <w:r>
        <w:rPr>
          <w:rFonts w:cstheme="minorHAnsi"/>
        </w:rPr>
        <w:t>A</w:t>
      </w:r>
      <w:r w:rsidR="00FA28FF">
        <w:rPr>
          <w:rFonts w:cstheme="minorHAnsi"/>
        </w:rPr>
        <w:t xml:space="preserve">ssistance </w:t>
      </w:r>
      <w:r>
        <w:rPr>
          <w:rFonts w:cstheme="minorHAnsi"/>
        </w:rPr>
        <w:t>P</w:t>
      </w:r>
      <w:r w:rsidR="00FA28FF">
        <w:rPr>
          <w:rFonts w:cstheme="minorHAnsi"/>
        </w:rPr>
        <w:t>ackage (THAP)</w:t>
      </w:r>
      <w:r>
        <w:rPr>
          <w:rFonts w:cstheme="minorHAnsi"/>
        </w:rPr>
        <w:t xml:space="preserve"> and R</w:t>
      </w:r>
      <w:r w:rsidR="00FA28FF">
        <w:rPr>
          <w:rFonts w:cstheme="minorHAnsi"/>
        </w:rPr>
        <w:t xml:space="preserve">ebuilding </w:t>
      </w:r>
      <w:r>
        <w:rPr>
          <w:rFonts w:cstheme="minorHAnsi"/>
        </w:rPr>
        <w:t>H</w:t>
      </w:r>
      <w:r w:rsidR="00FA28FF">
        <w:rPr>
          <w:rFonts w:cstheme="minorHAnsi"/>
        </w:rPr>
        <w:t xml:space="preserve">ealth </w:t>
      </w:r>
      <w:r>
        <w:rPr>
          <w:rFonts w:cstheme="minorHAnsi"/>
        </w:rPr>
        <w:t>S</w:t>
      </w:r>
      <w:r w:rsidR="00FA28FF">
        <w:rPr>
          <w:rFonts w:cstheme="minorHAnsi"/>
        </w:rPr>
        <w:t xml:space="preserve">ervices </w:t>
      </w:r>
      <w:r>
        <w:rPr>
          <w:rFonts w:cstheme="minorHAnsi"/>
        </w:rPr>
        <w:t>T</w:t>
      </w:r>
      <w:r w:rsidR="00FA28FF">
        <w:rPr>
          <w:rFonts w:cstheme="minorHAnsi"/>
        </w:rPr>
        <w:t>asmania</w:t>
      </w:r>
      <w:r>
        <w:rPr>
          <w:rFonts w:cstheme="minorHAnsi"/>
        </w:rPr>
        <w:t xml:space="preserve"> </w:t>
      </w:r>
      <w:r w:rsidR="00FA28FF">
        <w:rPr>
          <w:rFonts w:cstheme="minorHAnsi"/>
        </w:rPr>
        <w:t xml:space="preserve">(RHST) </w:t>
      </w:r>
      <w:r>
        <w:rPr>
          <w:rFonts w:cstheme="minorHAnsi"/>
        </w:rPr>
        <w:t xml:space="preserve">funding to target long waiting patients has resulted in the observed drop in the count of over boundary patients. </w:t>
      </w:r>
      <w:r w:rsidR="00AF30A9">
        <w:rPr>
          <w:rFonts w:cstheme="minorHAnsi"/>
        </w:rPr>
        <w:t>RHST funding will cease at the end of the 2017</w:t>
      </w:r>
      <w:r w:rsidR="00A15C6F">
        <w:rPr>
          <w:rFonts w:cstheme="minorHAnsi"/>
        </w:rPr>
        <w:t>-</w:t>
      </w:r>
      <w:r w:rsidR="00AF30A9">
        <w:rPr>
          <w:rFonts w:cstheme="minorHAnsi"/>
        </w:rPr>
        <w:t xml:space="preserve">18 financial year (30 June 2018). </w:t>
      </w:r>
      <w:r w:rsidR="00B47F88">
        <w:rPr>
          <w:rFonts w:cstheme="minorHAnsi"/>
        </w:rPr>
        <w:t xml:space="preserve">It </w:t>
      </w:r>
      <w:r w:rsidR="002C7E5F">
        <w:rPr>
          <w:rFonts w:cstheme="minorHAnsi"/>
          <w:lang w:val="en-US"/>
        </w:rPr>
        <w:t xml:space="preserve">would be unwise </w:t>
      </w:r>
      <w:r w:rsidR="00B47F88">
        <w:rPr>
          <w:rFonts w:cstheme="minorHAnsi"/>
        </w:rPr>
        <w:t xml:space="preserve">to assume that this type of funding </w:t>
      </w:r>
      <w:r w:rsidR="005C6AD8">
        <w:rPr>
          <w:rFonts w:cstheme="minorHAnsi"/>
          <w:lang w:val="en-US"/>
        </w:rPr>
        <w:t>would continue indefinitely, and</w:t>
      </w:r>
      <w:r w:rsidR="00B47F88">
        <w:rPr>
          <w:rFonts w:cstheme="minorHAnsi"/>
        </w:rPr>
        <w:t xml:space="preserve"> hence an appropriate baseline level of elective surgery activity is required to maintain the waiting list in a long term balance, to ensure that the problem of long waits does not recur</w:t>
      </w:r>
      <w:r w:rsidR="00AF30A9">
        <w:rPr>
          <w:rFonts w:cstheme="minorHAnsi"/>
        </w:rPr>
        <w:t xml:space="preserve">. </w:t>
      </w:r>
    </w:p>
    <w:p w:rsidR="004A2486" w:rsidRDefault="004A2486" w:rsidP="002F69F6">
      <w:pPr>
        <w:jc w:val="both"/>
        <w:rPr>
          <w:rFonts w:cstheme="minorHAnsi"/>
        </w:rPr>
      </w:pPr>
    </w:p>
    <w:p w:rsidR="00561E45" w:rsidRDefault="00063E79" w:rsidP="00561E45">
      <w:pPr>
        <w:pStyle w:val="Heading3numbered"/>
        <w:tabs>
          <w:tab w:val="clear" w:pos="1702"/>
        </w:tabs>
        <w:ind w:left="851"/>
      </w:pPr>
      <w:r>
        <w:t>Emergency Surgery</w:t>
      </w:r>
    </w:p>
    <w:p w:rsidR="0063240F" w:rsidRDefault="004A2486" w:rsidP="0063240F">
      <w:r>
        <w:rPr>
          <w:rFonts w:cstheme="minorHAnsi"/>
        </w:rPr>
        <w:t>Provision of Emergency Surgery services impact</w:t>
      </w:r>
      <w:r w:rsidR="00E27DB6">
        <w:rPr>
          <w:rFonts w:cstheme="minorHAnsi"/>
          <w:lang w:val="en-US"/>
        </w:rPr>
        <w:t>s</w:t>
      </w:r>
      <w:r>
        <w:rPr>
          <w:rFonts w:cstheme="minorHAnsi"/>
        </w:rPr>
        <w:t xml:space="preserve"> on a service’s capacity to provide Elective Surgery services to the community. </w:t>
      </w:r>
      <w:r w:rsidR="0063240F">
        <w:t>The rate of emergency surgery in Tasmania is 12.0 admissions per 1 000 population compared to the national average of 11.2 per 1 000 population. By comparison, the Northern Territory has the highest rate at 20.7 and Queensland has the lowest rate at 10.1 admissions per 1 000 population. Tasmania thus does not have significantly higher rates of emergency surgery compared to the rest of the country.</w:t>
      </w:r>
    </w:p>
    <w:p w:rsidR="0063240F" w:rsidRDefault="0063240F" w:rsidP="0063240F">
      <w:r>
        <w:t>Nationally, there is a direct positive relationship between the degree of remoteness and emergency surgery rates. The same trend is true for socio</w:t>
      </w:r>
      <w:r w:rsidR="00E27DB6">
        <w:rPr>
          <w:lang w:val="en-US"/>
        </w:rPr>
        <w:t>-</w:t>
      </w:r>
      <w:r>
        <w:t xml:space="preserve">economic disadvantage. Given the </w:t>
      </w:r>
      <w:proofErr w:type="spellStart"/>
      <w:r>
        <w:t>regionality</w:t>
      </w:r>
      <w:proofErr w:type="spellEnd"/>
      <w:r>
        <w:t xml:space="preserve"> and socioeconomic status of the broader Tasmanian population, emergency surgery rates in Tasmania on a population basis are probably low</w:t>
      </w:r>
      <w:r w:rsidR="004D7AF6">
        <w:rPr>
          <w:lang w:val="en-US"/>
        </w:rPr>
        <w:t xml:space="preserve"> given the context.</w:t>
      </w:r>
    </w:p>
    <w:p w:rsidR="00E12656" w:rsidRDefault="004A2486" w:rsidP="00E12656">
      <w:pPr>
        <w:rPr>
          <w:rFonts w:cstheme="minorHAnsi"/>
        </w:rPr>
      </w:pPr>
      <w:r>
        <w:rPr>
          <w:rFonts w:cstheme="minorHAnsi"/>
        </w:rPr>
        <w:t xml:space="preserve">Emergency Surgery </w:t>
      </w:r>
      <w:r w:rsidR="00670D47">
        <w:rPr>
          <w:rFonts w:cstheme="minorHAnsi"/>
          <w:lang w:val="en-US"/>
        </w:rPr>
        <w:t xml:space="preserve">provision </w:t>
      </w:r>
      <w:r>
        <w:rPr>
          <w:rFonts w:cstheme="minorHAnsi"/>
        </w:rPr>
        <w:t>has increased across the State</w:t>
      </w:r>
      <w:r w:rsidR="006E3364">
        <w:rPr>
          <w:rFonts w:cstheme="minorHAnsi"/>
          <w:lang w:val="en-US"/>
        </w:rPr>
        <w:t>,</w:t>
      </w:r>
      <w:r>
        <w:rPr>
          <w:rFonts w:cstheme="minorHAnsi"/>
        </w:rPr>
        <w:t xml:space="preserve"> especially during 2014. It has however started to plateau (see figure below with 12 month moving average). </w:t>
      </w:r>
    </w:p>
    <w:p w:rsidR="004A2486" w:rsidRDefault="00125889" w:rsidP="00125889">
      <w:pPr>
        <w:rPr>
          <w:rFonts w:cstheme="minorHAnsi"/>
        </w:rPr>
      </w:pPr>
      <w:r>
        <w:rPr>
          <w:rFonts w:cstheme="minorHAnsi"/>
        </w:rPr>
        <w:tab/>
      </w:r>
      <w:r>
        <w:rPr>
          <w:rFonts w:cstheme="minorHAnsi"/>
        </w:rPr>
        <w:tab/>
      </w:r>
      <w:r>
        <w:rPr>
          <w:rFonts w:cstheme="minorHAnsi"/>
        </w:rPr>
        <w:tab/>
      </w:r>
      <w:r w:rsidR="004A2486">
        <w:rPr>
          <w:rFonts w:cstheme="minorHAnsi"/>
          <w:noProof/>
          <w:lang w:eastAsia="en-AU"/>
        </w:rPr>
        <w:drawing>
          <wp:inline distT="0" distB="0" distL="0" distR="0" wp14:anchorId="2B94A1DF" wp14:editId="5BA62A76">
            <wp:extent cx="4373806" cy="2592198"/>
            <wp:effectExtent l="0" t="0" r="8255" b="0"/>
            <wp:docPr id="30" name="Picture 30" descr="Emergency Surgery provision has increased across the State, especially during 2014. It has however started to plateau with 12 month moving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6922" cy="2605898"/>
                    </a:xfrm>
                    <a:prstGeom prst="rect">
                      <a:avLst/>
                    </a:prstGeom>
                    <a:noFill/>
                  </pic:spPr>
                </pic:pic>
              </a:graphicData>
            </a:graphic>
          </wp:inline>
        </w:drawing>
      </w:r>
    </w:p>
    <w:p w:rsidR="00125889" w:rsidRPr="00125889" w:rsidRDefault="00125889" w:rsidP="00125889">
      <w:pPr>
        <w:rPr>
          <w:rFonts w:cstheme="minorHAnsi"/>
          <w:i/>
          <w:sz w:val="18"/>
          <w:szCs w:val="18"/>
        </w:rPr>
      </w:pPr>
      <w:r>
        <w:rPr>
          <w:rFonts w:cstheme="minorHAnsi"/>
          <w:i/>
          <w:sz w:val="18"/>
          <w:szCs w:val="18"/>
        </w:rPr>
        <w:tab/>
      </w:r>
      <w:r>
        <w:rPr>
          <w:rFonts w:cstheme="minorHAnsi"/>
          <w:i/>
          <w:sz w:val="18"/>
          <w:szCs w:val="18"/>
        </w:rPr>
        <w:tab/>
      </w:r>
      <w:r>
        <w:rPr>
          <w:rFonts w:cstheme="minorHAnsi"/>
          <w:i/>
          <w:sz w:val="18"/>
          <w:szCs w:val="18"/>
        </w:rPr>
        <w:tab/>
      </w:r>
      <w:r w:rsidRPr="00125889">
        <w:rPr>
          <w:rFonts w:cstheme="minorHAnsi"/>
          <w:i/>
          <w:sz w:val="18"/>
          <w:szCs w:val="18"/>
        </w:rPr>
        <w:t xml:space="preserve">Source: For Your Information (FYI), DHHS, August 2016 </w:t>
      </w:r>
    </w:p>
    <w:p w:rsidR="004A2486" w:rsidRDefault="004A2486" w:rsidP="004A2486">
      <w:pPr>
        <w:jc w:val="both"/>
        <w:rPr>
          <w:rFonts w:cstheme="minorHAnsi"/>
        </w:rPr>
      </w:pPr>
      <w:r>
        <w:rPr>
          <w:rFonts w:cstheme="minorHAnsi"/>
        </w:rPr>
        <w:t>Individual specialities that are driving Emergency Surgery and their trends are shown below (trend lines are 12 month moving averages</w:t>
      </w:r>
      <w:r w:rsidR="002045AF">
        <w:rPr>
          <w:rFonts w:cstheme="minorHAnsi"/>
        </w:rPr>
        <w:t>)</w:t>
      </w:r>
      <w:r>
        <w:rPr>
          <w:rFonts w:cstheme="minorHAnsi"/>
        </w:rPr>
        <w:t xml:space="preserve">. </w:t>
      </w:r>
    </w:p>
    <w:p w:rsidR="008317E3" w:rsidRDefault="00F02D8B" w:rsidP="00E12656">
      <w:pPr>
        <w:jc w:val="center"/>
        <w:rPr>
          <w:rFonts w:cstheme="minorHAnsi"/>
        </w:rPr>
      </w:pPr>
      <w:r>
        <w:rPr>
          <w:rFonts w:cstheme="minorHAnsi"/>
          <w:noProof/>
          <w:lang w:eastAsia="en-AU"/>
        </w:rPr>
        <w:drawing>
          <wp:inline distT="0" distB="0" distL="0" distR="0" wp14:anchorId="2D707E68" wp14:editId="4991936A">
            <wp:extent cx="4732338" cy="2722715"/>
            <wp:effectExtent l="0" t="0" r="0" b="1905"/>
            <wp:docPr id="18" name="Picture 18" descr="Refer Health Planning Unit for further information" title="Graph Emergency Surgery cases per month and trend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9239" cy="2720932"/>
                    </a:xfrm>
                    <a:prstGeom prst="rect">
                      <a:avLst/>
                    </a:prstGeom>
                    <a:noFill/>
                  </pic:spPr>
                </pic:pic>
              </a:graphicData>
            </a:graphic>
          </wp:inline>
        </w:drawing>
      </w:r>
    </w:p>
    <w:p w:rsidR="00125889" w:rsidRDefault="00125889" w:rsidP="00125889">
      <w:pPr>
        <w:rPr>
          <w:rFonts w:cstheme="minorHAnsi"/>
        </w:rPr>
      </w:pPr>
      <w:r>
        <w:rPr>
          <w:rFonts w:cstheme="minorHAnsi"/>
          <w:i/>
          <w:sz w:val="18"/>
          <w:szCs w:val="18"/>
        </w:rPr>
        <w:tab/>
      </w:r>
      <w:r>
        <w:rPr>
          <w:rFonts w:cstheme="minorHAnsi"/>
          <w:i/>
          <w:sz w:val="18"/>
          <w:szCs w:val="18"/>
        </w:rPr>
        <w:tab/>
      </w:r>
      <w:r>
        <w:rPr>
          <w:rFonts w:cstheme="minorHAnsi"/>
          <w:i/>
          <w:sz w:val="18"/>
          <w:szCs w:val="18"/>
        </w:rPr>
        <w:tab/>
      </w:r>
      <w:r w:rsidRPr="00125889">
        <w:rPr>
          <w:rFonts w:cstheme="minorHAnsi"/>
          <w:i/>
          <w:sz w:val="18"/>
          <w:szCs w:val="18"/>
        </w:rPr>
        <w:t>Source: For Your Information (FYI), DHHS, August 2016</w:t>
      </w:r>
    </w:p>
    <w:p w:rsidR="00063E79" w:rsidRDefault="00063E79" w:rsidP="00063E79">
      <w:pPr>
        <w:pStyle w:val="Heading3numbered"/>
        <w:tabs>
          <w:tab w:val="clear" w:pos="1702"/>
        </w:tabs>
        <w:ind w:left="851"/>
      </w:pPr>
      <w:r>
        <w:t>Treat</w:t>
      </w:r>
      <w:r w:rsidR="00ED0EF6">
        <w:rPr>
          <w:lang w:val="en-US"/>
        </w:rPr>
        <w:t>-</w:t>
      </w:r>
      <w:r w:rsidR="002045AF">
        <w:t>in</w:t>
      </w:r>
      <w:r w:rsidR="00ED0EF6">
        <w:rPr>
          <w:lang w:val="en-US"/>
        </w:rPr>
        <w:t>-</w:t>
      </w:r>
      <w:r w:rsidR="002045AF">
        <w:t>Turn and Categorisation of u</w:t>
      </w:r>
      <w:r>
        <w:t>rgency of procedures</w:t>
      </w:r>
    </w:p>
    <w:p w:rsidR="00063E79" w:rsidRDefault="00063E79" w:rsidP="005C3714">
      <w:pPr>
        <w:rPr>
          <w:rFonts w:cstheme="minorHAnsi"/>
        </w:rPr>
      </w:pPr>
      <w:r>
        <w:rPr>
          <w:rFonts w:cstheme="minorHAnsi"/>
        </w:rPr>
        <w:t xml:space="preserve">Ensuring fairness of access is an important principle for the Purchaser. With this in mind it is the intent of the Purchaser to monitor </w:t>
      </w:r>
      <w:r w:rsidR="000D2CBA">
        <w:rPr>
          <w:rFonts w:cstheme="minorHAnsi"/>
        </w:rPr>
        <w:t xml:space="preserve">both </w:t>
      </w:r>
      <w:r w:rsidR="002045AF">
        <w:rPr>
          <w:rFonts w:cstheme="minorHAnsi"/>
        </w:rPr>
        <w:t>the</w:t>
      </w:r>
      <w:r>
        <w:rPr>
          <w:rFonts w:cstheme="minorHAnsi"/>
        </w:rPr>
        <w:t xml:space="preserve"> Treat in Turn performance </w:t>
      </w:r>
      <w:r w:rsidR="002045AF">
        <w:rPr>
          <w:rFonts w:cstheme="minorHAnsi"/>
        </w:rPr>
        <w:t xml:space="preserve">indicator </w:t>
      </w:r>
      <w:r>
        <w:rPr>
          <w:rFonts w:cstheme="minorHAnsi"/>
        </w:rPr>
        <w:t>of Providers</w:t>
      </w:r>
      <w:r w:rsidR="002045AF">
        <w:rPr>
          <w:rFonts w:cstheme="minorHAnsi"/>
        </w:rPr>
        <w:t>,</w:t>
      </w:r>
      <w:r>
        <w:rPr>
          <w:rFonts w:cstheme="minorHAnsi"/>
        </w:rPr>
        <w:t xml:space="preserve"> as well </w:t>
      </w:r>
      <w:r w:rsidR="002045AF">
        <w:rPr>
          <w:rFonts w:cstheme="minorHAnsi"/>
        </w:rPr>
        <w:t xml:space="preserve">the </w:t>
      </w:r>
      <w:r w:rsidR="000D2CBA">
        <w:rPr>
          <w:rFonts w:cstheme="minorHAnsi"/>
        </w:rPr>
        <w:t>urgency categorisation which work in concert to ensure fairness in the manner in which patients are selected off the ESWL for surgery.</w:t>
      </w:r>
    </w:p>
    <w:p w:rsidR="00A37E7A" w:rsidRDefault="00A37E7A" w:rsidP="005C3714">
      <w:pPr>
        <w:rPr>
          <w:rFonts w:cstheme="minorHAnsi"/>
        </w:rPr>
      </w:pPr>
      <w:r>
        <w:rPr>
          <w:rFonts w:cstheme="minorHAnsi"/>
        </w:rPr>
        <w:t xml:space="preserve">It is acknowledged that this treatment algorithm cannot be applied one hundred percent of the time. Variation will occur due to a range of factors such as different patient requirements, efficient use of operating theatre time (procedure mix within each session) and training requirements in teaching hospitals. It </w:t>
      </w:r>
      <w:r w:rsidR="002F0B35">
        <w:rPr>
          <w:rFonts w:cstheme="minorHAnsi"/>
        </w:rPr>
        <w:t>has been</w:t>
      </w:r>
      <w:r>
        <w:rPr>
          <w:rFonts w:cstheme="minorHAnsi"/>
        </w:rPr>
        <w:t xml:space="preserve"> agreed </w:t>
      </w:r>
      <w:r w:rsidR="002F0B35">
        <w:rPr>
          <w:rFonts w:cstheme="minorHAnsi"/>
        </w:rPr>
        <w:t xml:space="preserve">nationally </w:t>
      </w:r>
      <w:r>
        <w:rPr>
          <w:rFonts w:cstheme="minorHAnsi"/>
        </w:rPr>
        <w:t xml:space="preserve">that 60% of patients </w:t>
      </w:r>
      <w:r w:rsidR="002F0B35">
        <w:rPr>
          <w:rFonts w:cstheme="minorHAnsi"/>
        </w:rPr>
        <w:t>should be</w:t>
      </w:r>
      <w:r>
        <w:rPr>
          <w:rFonts w:cstheme="minorHAnsi"/>
        </w:rPr>
        <w:t xml:space="preserve"> Treated in Turn</w:t>
      </w:r>
      <w:r w:rsidR="00A12321">
        <w:rPr>
          <w:rFonts w:cstheme="minorHAnsi"/>
        </w:rPr>
        <w:t xml:space="preserve"> </w:t>
      </w:r>
      <w:sdt>
        <w:sdtPr>
          <w:rPr>
            <w:rFonts w:cstheme="minorHAnsi"/>
          </w:rPr>
          <w:id w:val="582964342"/>
          <w:citation/>
        </w:sdtPr>
        <w:sdtEndPr/>
        <w:sdtContent>
          <w:r w:rsidR="00A12321">
            <w:rPr>
              <w:rFonts w:cstheme="minorHAnsi"/>
            </w:rPr>
            <w:fldChar w:fldCharType="begin"/>
          </w:r>
          <w:r w:rsidR="00A12321">
            <w:rPr>
              <w:rFonts w:cstheme="minorHAnsi"/>
            </w:rPr>
            <w:instrText xml:space="preserve"> CITATION AIH12 \l 3081 </w:instrText>
          </w:r>
          <w:r w:rsidR="00A12321">
            <w:rPr>
              <w:rFonts w:cstheme="minorHAnsi"/>
            </w:rPr>
            <w:fldChar w:fldCharType="separate"/>
          </w:r>
          <w:r w:rsidR="00355CA9" w:rsidRPr="00355CA9">
            <w:rPr>
              <w:rFonts w:cstheme="minorHAnsi"/>
              <w:noProof/>
            </w:rPr>
            <w:t>(AIHW, 2012)</w:t>
          </w:r>
          <w:r w:rsidR="00A12321">
            <w:rPr>
              <w:rFonts w:cstheme="minorHAnsi"/>
            </w:rPr>
            <w:fldChar w:fldCharType="end"/>
          </w:r>
        </w:sdtContent>
      </w:sdt>
      <w:r>
        <w:rPr>
          <w:rFonts w:cstheme="minorHAnsi"/>
        </w:rPr>
        <w:t xml:space="preserve">, providing 40% </w:t>
      </w:r>
      <w:r w:rsidR="00241644">
        <w:rPr>
          <w:rFonts w:cstheme="minorHAnsi"/>
          <w:lang w:val="en-US"/>
        </w:rPr>
        <w:t>flexibility</w:t>
      </w:r>
      <w:r w:rsidR="00241644">
        <w:rPr>
          <w:rFonts w:cstheme="minorHAnsi"/>
        </w:rPr>
        <w:t xml:space="preserve"> </w:t>
      </w:r>
      <w:r>
        <w:rPr>
          <w:rFonts w:cstheme="minorHAnsi"/>
        </w:rPr>
        <w:t xml:space="preserve">to allow for </w:t>
      </w:r>
      <w:r w:rsidR="00C72961">
        <w:rPr>
          <w:rFonts w:cstheme="minorHAnsi"/>
          <w:lang w:val="en-US"/>
        </w:rPr>
        <w:t xml:space="preserve">the </w:t>
      </w:r>
      <w:r>
        <w:rPr>
          <w:rFonts w:cstheme="minorHAnsi"/>
        </w:rPr>
        <w:t>insert</w:t>
      </w:r>
      <w:r w:rsidR="00C72961">
        <w:rPr>
          <w:rFonts w:cstheme="minorHAnsi"/>
          <w:lang w:val="en-US"/>
        </w:rPr>
        <w:t>ion of</w:t>
      </w:r>
      <w:r>
        <w:rPr>
          <w:rFonts w:cstheme="minorHAnsi"/>
        </w:rPr>
        <w:t xml:space="preserve"> training cases, </w:t>
      </w:r>
      <w:proofErr w:type="spellStart"/>
      <w:r w:rsidR="00C72961">
        <w:rPr>
          <w:rFonts w:cstheme="minorHAnsi"/>
          <w:lang w:val="en-US"/>
        </w:rPr>
        <w:t>maximising</w:t>
      </w:r>
      <w:proofErr w:type="spellEnd"/>
      <w:r w:rsidR="00C72961">
        <w:rPr>
          <w:rFonts w:cstheme="minorHAnsi"/>
          <w:lang w:val="en-US"/>
        </w:rPr>
        <w:t xml:space="preserve"> operational efficiency</w:t>
      </w:r>
      <w:r w:rsidR="00234DBD">
        <w:rPr>
          <w:rFonts w:cstheme="minorHAnsi"/>
          <w:lang w:val="en-US"/>
        </w:rPr>
        <w:t>,</w:t>
      </w:r>
      <w:r w:rsidR="00C72961">
        <w:rPr>
          <w:rFonts w:cstheme="minorHAnsi"/>
          <w:lang w:val="en-US"/>
        </w:rPr>
        <w:t xml:space="preserve"> </w:t>
      </w:r>
      <w:r>
        <w:rPr>
          <w:rFonts w:cstheme="minorHAnsi"/>
        </w:rPr>
        <w:t xml:space="preserve">and to </w:t>
      </w:r>
      <w:r w:rsidR="00234DBD">
        <w:rPr>
          <w:rFonts w:cstheme="minorHAnsi"/>
          <w:lang w:val="en-US"/>
        </w:rPr>
        <w:t>accommodate individual</w:t>
      </w:r>
      <w:r w:rsidR="000D10FD">
        <w:rPr>
          <w:rFonts w:cstheme="minorHAnsi"/>
        </w:rPr>
        <w:t xml:space="preserve"> </w:t>
      </w:r>
      <w:r>
        <w:rPr>
          <w:rFonts w:cstheme="minorHAnsi"/>
        </w:rPr>
        <w:t>patient needs.</w:t>
      </w:r>
    </w:p>
    <w:p w:rsidR="00063E79" w:rsidRPr="00063E79" w:rsidRDefault="00063E79" w:rsidP="005C3714">
      <w:pPr>
        <w:rPr>
          <w:rFonts w:cstheme="minorHAnsi"/>
        </w:rPr>
      </w:pPr>
      <w:r>
        <w:rPr>
          <w:rFonts w:cstheme="minorHAnsi"/>
        </w:rPr>
        <w:t xml:space="preserve">Correct categorisation of procedures not only </w:t>
      </w:r>
      <w:r w:rsidR="008B6F75">
        <w:rPr>
          <w:rFonts w:cstheme="minorHAnsi"/>
          <w:lang w:val="en-US"/>
        </w:rPr>
        <w:t>facilitates</w:t>
      </w:r>
      <w:r w:rsidR="008B6F75">
        <w:rPr>
          <w:rFonts w:cstheme="minorHAnsi"/>
        </w:rPr>
        <w:t xml:space="preserve"> </w:t>
      </w:r>
      <w:r w:rsidR="00A57620">
        <w:rPr>
          <w:rFonts w:cstheme="minorHAnsi"/>
        </w:rPr>
        <w:t>an accurate</w:t>
      </w:r>
      <w:r>
        <w:rPr>
          <w:rFonts w:cstheme="minorHAnsi"/>
        </w:rPr>
        <w:t xml:space="preserve"> ESWL urgency mix</w:t>
      </w:r>
      <w:r w:rsidR="008B6F75">
        <w:rPr>
          <w:rFonts w:cstheme="minorHAnsi"/>
          <w:lang w:val="en-US"/>
        </w:rPr>
        <w:t>,</w:t>
      </w:r>
      <w:r>
        <w:rPr>
          <w:rFonts w:cstheme="minorHAnsi"/>
        </w:rPr>
        <w:t xml:space="preserve"> but also ensures that the longest waiting patients are prioritised for treatment in a fair manner.  Manipulation of urgency categories has the undesirable effect of placing unnecessary pressure on the delivery of services to meet appropriate timelines on urgency categories and artificially elevates the number of long wait cases.</w:t>
      </w:r>
    </w:p>
    <w:p w:rsidR="0026595A" w:rsidRDefault="0026595A" w:rsidP="00E02ACF">
      <w:pPr>
        <w:pStyle w:val="Heading1numbered"/>
        <w:tabs>
          <w:tab w:val="clear" w:pos="1276"/>
        </w:tabs>
        <w:ind w:left="851"/>
      </w:pPr>
      <w:bookmarkStart w:id="14" w:name="_Toc463254930"/>
      <w:r>
        <w:t>Purchasing Priorities</w:t>
      </w:r>
      <w:bookmarkEnd w:id="14"/>
      <w:r>
        <w:t xml:space="preserve"> </w:t>
      </w:r>
    </w:p>
    <w:p w:rsidR="0026595A" w:rsidRDefault="00890028" w:rsidP="00890028">
      <w:pPr>
        <w:pStyle w:val="Heading2numbered"/>
      </w:pPr>
      <w:bookmarkStart w:id="15" w:name="_Toc463254931"/>
      <w:r>
        <w:t>Chronic Disease</w:t>
      </w:r>
      <w:r w:rsidR="00E13ABA">
        <w:t xml:space="preserve"> </w:t>
      </w:r>
      <w:r w:rsidR="00AD3D67">
        <w:t>(</w:t>
      </w:r>
      <w:r w:rsidR="00E13ABA">
        <w:t>Current &amp; Future</w:t>
      </w:r>
      <w:r w:rsidR="00AD3D67">
        <w:t>)</w:t>
      </w:r>
      <w:bookmarkEnd w:id="15"/>
      <w:r>
        <w:t xml:space="preserve"> </w:t>
      </w:r>
    </w:p>
    <w:p w:rsidR="00890028" w:rsidRDefault="0026595A" w:rsidP="00890028">
      <w:pPr>
        <w:pStyle w:val="Heading7"/>
        <w:ind w:left="851"/>
      </w:pPr>
      <w:r>
        <w:rPr>
          <w:rStyle w:val="IntenseEmphasis"/>
        </w:rPr>
        <w:t>Ch</w:t>
      </w:r>
      <w:r w:rsidR="00AD3D67">
        <w:rPr>
          <w:rStyle w:val="IntenseEmphasis"/>
        </w:rPr>
        <w:t>ronic Disease Priorities (</w:t>
      </w:r>
      <w:r w:rsidR="005D4BBB">
        <w:rPr>
          <w:rStyle w:val="IntenseEmphasis"/>
        </w:rPr>
        <w:t>2017</w:t>
      </w:r>
      <w:r w:rsidR="00AD3D67">
        <w:rPr>
          <w:rStyle w:val="IntenseEmphasis"/>
        </w:rPr>
        <w:t>-</w:t>
      </w:r>
      <w:r>
        <w:rPr>
          <w:rStyle w:val="IntenseEmphasis"/>
        </w:rPr>
        <w:t>18</w:t>
      </w:r>
      <w:r w:rsidR="00AD3D67">
        <w:rPr>
          <w:rStyle w:val="IntenseEmphasis"/>
        </w:rPr>
        <w:t>)</w:t>
      </w:r>
    </w:p>
    <w:p w:rsidR="00C5378F" w:rsidRDefault="00C5378F" w:rsidP="00C5378F">
      <w:r>
        <w:t xml:space="preserve">In order to focus purchasing priorities, an analysis was undertaken to understand the relative contribution of each disease that contributed to 80% of the burden in Tasmania for both </w:t>
      </w:r>
      <w:proofErr w:type="gramStart"/>
      <w:r>
        <w:t>Fatal</w:t>
      </w:r>
      <w:proofErr w:type="gramEnd"/>
      <w:r>
        <w:t xml:space="preserve"> and Non-Fatal burdens. The conditions that contribute to one or both are shown in the diagram below:</w:t>
      </w:r>
    </w:p>
    <w:p w:rsidR="00C5378F" w:rsidRDefault="00C5378F" w:rsidP="00C5378F">
      <w:pPr>
        <w:jc w:val="center"/>
      </w:pPr>
      <w:r>
        <w:rPr>
          <w:noProof/>
          <w:lang w:eastAsia="en-AU"/>
        </w:rPr>
        <w:drawing>
          <wp:inline distT="0" distB="0" distL="0" distR="0" wp14:anchorId="431E63D4" wp14:editId="5E8DBA55">
            <wp:extent cx="4498597" cy="2771775"/>
            <wp:effectExtent l="0" t="0" r="0" b="0"/>
            <wp:docPr id="23" name="Picture 23" descr="In order to focus purchasing priorities, an analysis was undertaken to understand the relative contribution of each disease that contributed to 80% of the burden in Tasmania for both Fatal and Non-Fatal burdens. The conditions that contribute to one or both are shown in the diagra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9895" cy="2778736"/>
                    </a:xfrm>
                    <a:prstGeom prst="rect">
                      <a:avLst/>
                    </a:prstGeom>
                    <a:noFill/>
                  </pic:spPr>
                </pic:pic>
              </a:graphicData>
            </a:graphic>
          </wp:inline>
        </w:drawing>
      </w:r>
    </w:p>
    <w:p w:rsidR="00C5378F" w:rsidRDefault="00C5378F" w:rsidP="00C5378F">
      <w:r>
        <w:t xml:space="preserve">Respiratory diseases, neurological conditions and cardiovascular disease contribute significantly to both </w:t>
      </w:r>
      <w:proofErr w:type="gramStart"/>
      <w:r>
        <w:t>Fatal</w:t>
      </w:r>
      <w:proofErr w:type="gramEnd"/>
      <w:r>
        <w:t xml:space="preserve"> and Non-Fatal burdens of disease. </w:t>
      </w:r>
    </w:p>
    <w:p w:rsidR="00E65DD5" w:rsidRDefault="00E65DD5" w:rsidP="0069664F">
      <w:r>
        <w:t xml:space="preserve">The One State, One Health System, Better Outcomes – </w:t>
      </w:r>
      <w:r w:rsidR="005958D3">
        <w:t>‘</w:t>
      </w:r>
      <w:r w:rsidRPr="00E65DD5">
        <w:rPr>
          <w:i/>
        </w:rPr>
        <w:t>White Paper: Delivering Safe and Sustainable Clinical Services</w:t>
      </w:r>
      <w:r w:rsidR="005958D3">
        <w:rPr>
          <w:i/>
        </w:rPr>
        <w:t>’</w:t>
      </w:r>
      <w:r>
        <w:t xml:space="preserve"> (June 2015)</w:t>
      </w:r>
      <w:r w:rsidR="00571D8D">
        <w:t xml:space="preserve"> identified a number of services where key changes are required to ensure the state-wide delivery of evidence-based, quality and safe care</w:t>
      </w:r>
      <w:r w:rsidR="00884AF7">
        <w:t>.</w:t>
      </w:r>
    </w:p>
    <w:p w:rsidR="004C5638" w:rsidRPr="00D23DF7" w:rsidRDefault="00884AF7" w:rsidP="00C5378F">
      <w:r>
        <w:t xml:space="preserve">The </w:t>
      </w:r>
      <w:r w:rsidRPr="00D23DF7">
        <w:t xml:space="preserve">services </w:t>
      </w:r>
      <w:r w:rsidR="00E946FB">
        <w:t xml:space="preserve">identified below </w:t>
      </w:r>
      <w:r w:rsidRPr="00D23DF7">
        <w:t xml:space="preserve">are addressed specifically in Section 6 – </w:t>
      </w:r>
      <w:r w:rsidR="001617B1" w:rsidRPr="00D23DF7">
        <w:t>‘</w:t>
      </w:r>
      <w:r w:rsidRPr="00D23DF7">
        <w:t>Purchasing Actions 2017</w:t>
      </w:r>
      <w:r w:rsidR="006A2A31">
        <w:t>-</w:t>
      </w:r>
      <w:r w:rsidRPr="00D23DF7">
        <w:t>18</w:t>
      </w:r>
      <w:r w:rsidR="001617B1" w:rsidRPr="00D23DF7">
        <w:t>’</w:t>
      </w:r>
      <w:r w:rsidRPr="00D23DF7">
        <w:t xml:space="preserve"> </w:t>
      </w:r>
      <w:r w:rsidR="00184D0E" w:rsidRPr="00D23DF7">
        <w:t xml:space="preserve">of </w:t>
      </w:r>
      <w:proofErr w:type="spellStart"/>
      <w:r w:rsidR="00184D0E" w:rsidRPr="00D23DF7">
        <w:t>th</w:t>
      </w:r>
      <w:proofErr w:type="spellEnd"/>
      <w:r w:rsidR="00AF3996">
        <w:rPr>
          <w:lang w:val="en-US"/>
        </w:rPr>
        <w:t>is</w:t>
      </w:r>
      <w:r w:rsidR="00184D0E" w:rsidRPr="00D23DF7">
        <w:t xml:space="preserve"> </w:t>
      </w:r>
      <w:proofErr w:type="spellStart"/>
      <w:r w:rsidR="00184D0E" w:rsidRPr="00D23DF7">
        <w:t>SoPI</w:t>
      </w:r>
      <w:proofErr w:type="spellEnd"/>
      <w:r w:rsidR="00184D0E" w:rsidRPr="00D23DF7">
        <w:t xml:space="preserve"> </w:t>
      </w:r>
      <w:r w:rsidRPr="00D23DF7">
        <w:t xml:space="preserve">under </w:t>
      </w:r>
      <w:r w:rsidR="004C5638" w:rsidRPr="00D23DF7">
        <w:t>the headings:</w:t>
      </w:r>
    </w:p>
    <w:p w:rsidR="00884AF7" w:rsidRPr="00D23DF7" w:rsidRDefault="00884AF7" w:rsidP="001617B1">
      <w:pPr>
        <w:spacing w:after="0"/>
      </w:pPr>
      <w:r w:rsidRPr="00D23DF7">
        <w:t xml:space="preserve">Chronic </w:t>
      </w:r>
      <w:r w:rsidR="007A5E4C">
        <w:t>Conditions</w:t>
      </w:r>
      <w:r w:rsidR="004C5638" w:rsidRPr="00D23DF7">
        <w:t>-</w:t>
      </w:r>
    </w:p>
    <w:p w:rsidR="00EC5CF4" w:rsidRPr="00D23DF7" w:rsidRDefault="00EC5CF4" w:rsidP="00242F45">
      <w:pPr>
        <w:pStyle w:val="ListBullet"/>
      </w:pPr>
      <w:r w:rsidRPr="00D23DF7">
        <w:t>Integrated Cancer Services</w:t>
      </w:r>
    </w:p>
    <w:p w:rsidR="00EC5CF4" w:rsidRPr="00D23DF7" w:rsidRDefault="00EC5CF4" w:rsidP="00242F45">
      <w:pPr>
        <w:pStyle w:val="ListBullet"/>
      </w:pPr>
      <w:r w:rsidRPr="00D23DF7">
        <w:t>Trauma and Critical Care Services</w:t>
      </w:r>
      <w:r w:rsidR="00884AF7" w:rsidRPr="00D23DF7">
        <w:t xml:space="preserve"> (Injuries category)</w:t>
      </w:r>
    </w:p>
    <w:p w:rsidR="00884AF7" w:rsidRPr="00D23DF7" w:rsidRDefault="00EC5CF4" w:rsidP="00242F45">
      <w:pPr>
        <w:pStyle w:val="ListBullet"/>
      </w:pPr>
      <w:r w:rsidRPr="00D23DF7">
        <w:t>Mental Health Services</w:t>
      </w:r>
      <w:r w:rsidR="00F2243D">
        <w:t>.</w:t>
      </w:r>
    </w:p>
    <w:p w:rsidR="004C5638" w:rsidRPr="00D23DF7" w:rsidRDefault="004C5638" w:rsidP="00393509">
      <w:pPr>
        <w:spacing w:after="0"/>
        <w:ind w:left="284" w:hanging="284"/>
      </w:pPr>
      <w:r w:rsidRPr="00D23DF7">
        <w:t xml:space="preserve">Surgery - </w:t>
      </w:r>
    </w:p>
    <w:p w:rsidR="00884AF7" w:rsidRDefault="004C5638" w:rsidP="00D67DA6">
      <w:pPr>
        <w:pStyle w:val="ListBullet"/>
      </w:pPr>
      <w:r w:rsidRPr="00D23DF7">
        <w:t>Integrated Surgical Services</w:t>
      </w:r>
      <w:r w:rsidR="00F2243D">
        <w:t>.</w:t>
      </w:r>
    </w:p>
    <w:p w:rsidR="00E946FB" w:rsidRPr="00E946FB" w:rsidRDefault="00E946FB" w:rsidP="00393509">
      <w:pPr>
        <w:spacing w:after="0"/>
        <w:ind w:left="284" w:hanging="284"/>
      </w:pPr>
      <w:r>
        <w:t xml:space="preserve">Future development - </w:t>
      </w:r>
    </w:p>
    <w:p w:rsidR="002E50C1" w:rsidRDefault="00EC5CF4" w:rsidP="00242F45">
      <w:pPr>
        <w:pStyle w:val="ListBullet"/>
      </w:pPr>
      <w:r w:rsidRPr="00D23DF7">
        <w:t>Subacute Services</w:t>
      </w:r>
      <w:r w:rsidR="00884AF7" w:rsidRPr="00D23DF7">
        <w:t xml:space="preserve"> will be taken into consideration </w:t>
      </w:r>
      <w:r w:rsidR="00F2243D">
        <w:t>within future Sector Purchasing</w:t>
      </w:r>
      <w:r w:rsidRPr="00D23DF7">
        <w:t xml:space="preserve"> </w:t>
      </w:r>
    </w:p>
    <w:p w:rsidR="00EC5CF4" w:rsidRPr="00D23DF7" w:rsidRDefault="002E50C1" w:rsidP="00242F45">
      <w:pPr>
        <w:pStyle w:val="ListBullet"/>
      </w:pPr>
      <w:r>
        <w:t xml:space="preserve">Burns Services - an independent </w:t>
      </w:r>
      <w:r w:rsidRPr="006C3C4B">
        <w:rPr>
          <w:i/>
        </w:rPr>
        <w:t>‘Review of the Tasmanian Burns Services’</w:t>
      </w:r>
      <w:r>
        <w:t xml:space="preserve"> conducted in October 2015 released a report on the findings and recommendations which are currently being implemented within the THS</w:t>
      </w:r>
      <w:r w:rsidR="00F2243D">
        <w:t xml:space="preserve">, </w:t>
      </w:r>
      <w:r w:rsidR="00EC5CF4" w:rsidRPr="00D23DF7">
        <w:t>and</w:t>
      </w:r>
    </w:p>
    <w:p w:rsidR="00EC5CF4" w:rsidRPr="00D23DF7" w:rsidRDefault="00EC5CF4" w:rsidP="00242F45">
      <w:pPr>
        <w:pStyle w:val="ListBullet"/>
      </w:pPr>
      <w:r w:rsidRPr="00D23DF7">
        <w:t>Maternity and Neonatal Services</w:t>
      </w:r>
      <w:r w:rsidR="00884AF7" w:rsidRPr="00D23DF7">
        <w:t xml:space="preserve"> </w:t>
      </w:r>
      <w:r w:rsidR="004C6D79" w:rsidRPr="00D23DF7">
        <w:t>is under reconfiguration</w:t>
      </w:r>
      <w:r w:rsidR="00856135" w:rsidRPr="00D23DF7">
        <w:t xml:space="preserve"> and consolidation</w:t>
      </w:r>
      <w:r w:rsidR="004C6D79" w:rsidRPr="00D23DF7">
        <w:t xml:space="preserve">, in particular the North West region, as </w:t>
      </w:r>
      <w:r w:rsidR="00856135" w:rsidRPr="00D23DF7">
        <w:t>a</w:t>
      </w:r>
      <w:r w:rsidR="00072267" w:rsidRPr="00D23DF7">
        <w:t xml:space="preserve"> project</w:t>
      </w:r>
      <w:r w:rsidR="00072267" w:rsidRPr="00D23DF7">
        <w:rPr>
          <w:i/>
        </w:rPr>
        <w:t xml:space="preserve"> </w:t>
      </w:r>
      <w:r w:rsidR="00072267" w:rsidRPr="00D23DF7">
        <w:t>initiative of the</w:t>
      </w:r>
      <w:r w:rsidR="004C6D79" w:rsidRPr="00D23DF7">
        <w:t xml:space="preserve"> One State, One Health System, Better Outcomes – </w:t>
      </w:r>
      <w:r w:rsidR="005958D3" w:rsidRPr="00D23DF7">
        <w:t>‘</w:t>
      </w:r>
      <w:r w:rsidR="004C6D79" w:rsidRPr="00D23DF7">
        <w:rPr>
          <w:i/>
        </w:rPr>
        <w:t>White Paper: Delivering Safe and Sustainable Clinical Services</w:t>
      </w:r>
      <w:r w:rsidR="005958D3" w:rsidRPr="00D23DF7">
        <w:rPr>
          <w:i/>
        </w:rPr>
        <w:t>’</w:t>
      </w:r>
      <w:r w:rsidRPr="00D23DF7">
        <w:t>.</w:t>
      </w:r>
    </w:p>
    <w:p w:rsidR="00C5378F" w:rsidRPr="00D23DF7" w:rsidRDefault="00C5378F" w:rsidP="00C5378F">
      <w:r w:rsidRPr="00D23DF7">
        <w:t>It is suggested that projection modelling</w:t>
      </w:r>
      <w:r w:rsidR="0031023E" w:rsidRPr="00D23DF7">
        <w:t xml:space="preserve"> for acute hospital demand</w:t>
      </w:r>
      <w:r w:rsidRPr="00D23DF7">
        <w:t xml:space="preserve"> be undertaken, focussing on these conditions with a view to purchasing activity specifically related to these conditions.</w:t>
      </w:r>
      <w:r w:rsidR="00FE52D7">
        <w:t xml:space="preserve"> </w:t>
      </w:r>
      <w:r w:rsidR="005C75AA">
        <w:t xml:space="preserve">The projection model recognises that growth in use of acute hospital services is determined by population growth, population ageing and changes in clinical practice. Each of these components </w:t>
      </w:r>
      <w:r w:rsidR="00E53DC6">
        <w:rPr>
          <w:lang w:val="en-US"/>
        </w:rPr>
        <w:t xml:space="preserve">must </w:t>
      </w:r>
      <w:r w:rsidR="005C75AA">
        <w:t xml:space="preserve">be projected to forecast future demand. </w:t>
      </w:r>
    </w:p>
    <w:p w:rsidR="0026595A" w:rsidRDefault="0026595A" w:rsidP="001B63CF">
      <w:pPr>
        <w:pStyle w:val="Heading7"/>
        <w:ind w:left="993" w:hanging="993"/>
        <w:rPr>
          <w:rStyle w:val="IntenseEmphasis"/>
        </w:rPr>
      </w:pPr>
      <w:r>
        <w:rPr>
          <w:rStyle w:val="IntenseEmphasis"/>
        </w:rPr>
        <w:t>Chronic Disease</w:t>
      </w:r>
      <w:r w:rsidR="005D4BBB">
        <w:rPr>
          <w:rStyle w:val="IntenseEmphasis"/>
        </w:rPr>
        <w:t xml:space="preserve"> Priorities </w:t>
      </w:r>
      <w:r w:rsidR="0049607E">
        <w:rPr>
          <w:rStyle w:val="IntenseEmphasis"/>
        </w:rPr>
        <w:t>(</w:t>
      </w:r>
      <w:r>
        <w:rPr>
          <w:rStyle w:val="IntenseEmphasis"/>
        </w:rPr>
        <w:t>Future</w:t>
      </w:r>
      <w:r w:rsidR="0049607E">
        <w:rPr>
          <w:rStyle w:val="IntenseEmphasis"/>
        </w:rPr>
        <w:t>)</w:t>
      </w:r>
      <w:r>
        <w:rPr>
          <w:rStyle w:val="IntenseEmphasis"/>
        </w:rPr>
        <w:t xml:space="preserve"> </w:t>
      </w:r>
    </w:p>
    <w:p w:rsidR="00B33554" w:rsidRDefault="0037041C" w:rsidP="00B33554">
      <w:pPr>
        <w:pStyle w:val="Heading8"/>
        <w:rPr>
          <w:rStyle w:val="IntenseEmphasis"/>
        </w:rPr>
      </w:pPr>
      <w:r>
        <w:rPr>
          <w:rStyle w:val="IntenseEmphasis"/>
        </w:rPr>
        <w:t xml:space="preserve">Diabetes and other </w:t>
      </w:r>
      <w:r w:rsidR="002F65C1">
        <w:rPr>
          <w:rStyle w:val="IntenseEmphasis"/>
        </w:rPr>
        <w:t>risk factors</w:t>
      </w:r>
    </w:p>
    <w:p w:rsidR="00B33554" w:rsidRPr="00395505" w:rsidRDefault="00395505" w:rsidP="00B33554">
      <w:pPr>
        <w:rPr>
          <w:b/>
          <w:lang w:eastAsia="en-AU"/>
        </w:rPr>
      </w:pPr>
      <w:r w:rsidRPr="00395505">
        <w:rPr>
          <w:b/>
          <w:lang w:eastAsia="en-AU"/>
        </w:rPr>
        <w:t>Diabetes</w:t>
      </w:r>
    </w:p>
    <w:p w:rsidR="00395505" w:rsidRDefault="00395505" w:rsidP="00D0224E">
      <w:pPr>
        <w:jc w:val="both"/>
        <w:rPr>
          <w:lang w:eastAsia="en-AU"/>
        </w:rPr>
      </w:pPr>
      <w:r>
        <w:rPr>
          <w:lang w:eastAsia="en-AU"/>
        </w:rPr>
        <w:t>Endocrine disorders contribute 2.6% of the Total Burden of Disease in Tasmania</w:t>
      </w:r>
      <w:sdt>
        <w:sdtPr>
          <w:rPr>
            <w:lang w:eastAsia="en-AU"/>
          </w:rPr>
          <w:id w:val="-1181971101"/>
          <w:citation/>
        </w:sdtPr>
        <w:sdtEndPr/>
        <w:sdtContent>
          <w:r w:rsidR="00D0224E">
            <w:rPr>
              <w:lang w:eastAsia="en-AU"/>
            </w:rPr>
            <w:fldChar w:fldCharType="begin"/>
          </w:r>
          <w:r w:rsidR="00D0224E">
            <w:rPr>
              <w:lang w:eastAsia="en-AU"/>
            </w:rPr>
            <w:instrText xml:space="preserve"> CITATION AIH11 \l 3081 </w:instrText>
          </w:r>
          <w:r w:rsidR="00D0224E">
            <w:rPr>
              <w:lang w:eastAsia="en-AU"/>
            </w:rPr>
            <w:fldChar w:fldCharType="separate"/>
          </w:r>
          <w:r w:rsidR="00355CA9">
            <w:rPr>
              <w:noProof/>
              <w:lang w:eastAsia="en-AU"/>
            </w:rPr>
            <w:t xml:space="preserve"> (AIHW, 2011)</w:t>
          </w:r>
          <w:r w:rsidR="00D0224E">
            <w:rPr>
              <w:lang w:eastAsia="en-AU"/>
            </w:rPr>
            <w:fldChar w:fldCharType="end"/>
          </w:r>
        </w:sdtContent>
      </w:sdt>
      <w:r>
        <w:rPr>
          <w:lang w:eastAsia="en-AU"/>
        </w:rPr>
        <w:t xml:space="preserve">. </w:t>
      </w:r>
      <w:r w:rsidR="00D0224E">
        <w:rPr>
          <w:lang w:eastAsia="en-AU"/>
        </w:rPr>
        <w:t>The prevalence of Diabetes (self</w:t>
      </w:r>
      <w:r w:rsidR="0011701D">
        <w:rPr>
          <w:lang w:eastAsia="en-AU"/>
        </w:rPr>
        <w:t>-</w:t>
      </w:r>
      <w:r w:rsidR="00D0224E">
        <w:rPr>
          <w:lang w:eastAsia="en-AU"/>
        </w:rPr>
        <w:t>reported) in Tasmania is 0.5% for Type I Diabetes and 4.0% for Type II Diabetes</w:t>
      </w:r>
      <w:sdt>
        <w:sdtPr>
          <w:rPr>
            <w:lang w:eastAsia="en-AU"/>
          </w:rPr>
          <w:id w:val="-1511143840"/>
          <w:citation/>
        </w:sdtPr>
        <w:sdtEndPr/>
        <w:sdtContent>
          <w:r w:rsidR="00D0224E">
            <w:rPr>
              <w:lang w:eastAsia="en-AU"/>
            </w:rPr>
            <w:fldChar w:fldCharType="begin"/>
          </w:r>
          <w:r w:rsidR="00D0224E">
            <w:rPr>
              <w:lang w:eastAsia="en-AU"/>
            </w:rPr>
            <w:instrText xml:space="preserve"> CITATION DHH13 \l 3081 </w:instrText>
          </w:r>
          <w:r w:rsidR="00D0224E">
            <w:rPr>
              <w:lang w:eastAsia="en-AU"/>
            </w:rPr>
            <w:fldChar w:fldCharType="separate"/>
          </w:r>
          <w:r w:rsidR="00355CA9">
            <w:rPr>
              <w:noProof/>
              <w:lang w:eastAsia="en-AU"/>
            </w:rPr>
            <w:t xml:space="preserve"> (DHHS, 2013)</w:t>
          </w:r>
          <w:r w:rsidR="00D0224E">
            <w:rPr>
              <w:lang w:eastAsia="en-AU"/>
            </w:rPr>
            <w:fldChar w:fldCharType="end"/>
          </w:r>
        </w:sdtContent>
      </w:sdt>
      <w:r w:rsidR="00D0224E">
        <w:rPr>
          <w:lang w:eastAsia="en-AU"/>
        </w:rPr>
        <w:t xml:space="preserve">. The </w:t>
      </w:r>
      <w:proofErr w:type="spellStart"/>
      <w:r w:rsidR="00D0224E">
        <w:rPr>
          <w:lang w:eastAsia="en-AU"/>
        </w:rPr>
        <w:t>AusDIAB</w:t>
      </w:r>
      <w:proofErr w:type="spellEnd"/>
      <w:r w:rsidR="00D0224E">
        <w:rPr>
          <w:lang w:eastAsia="en-AU"/>
        </w:rPr>
        <w:t xml:space="preserve"> Study (2000) reported that 8.75% of the Tasmanian population has Diabetes. It was the opinion of the authors of the Tasmanian Health Indicators Report</w:t>
      </w:r>
      <w:sdt>
        <w:sdtPr>
          <w:rPr>
            <w:lang w:eastAsia="en-AU"/>
          </w:rPr>
          <w:id w:val="1953429936"/>
          <w:citation/>
        </w:sdtPr>
        <w:sdtEndPr/>
        <w:sdtContent>
          <w:r w:rsidR="00D0224E">
            <w:rPr>
              <w:lang w:eastAsia="en-AU"/>
            </w:rPr>
            <w:fldChar w:fldCharType="begin"/>
          </w:r>
          <w:r w:rsidR="00D0224E">
            <w:rPr>
              <w:lang w:eastAsia="en-AU"/>
            </w:rPr>
            <w:instrText xml:space="preserve"> CITATION DHH13 \l 3081 </w:instrText>
          </w:r>
          <w:r w:rsidR="00D0224E">
            <w:rPr>
              <w:lang w:eastAsia="en-AU"/>
            </w:rPr>
            <w:fldChar w:fldCharType="separate"/>
          </w:r>
          <w:r w:rsidR="00355CA9">
            <w:rPr>
              <w:noProof/>
              <w:lang w:eastAsia="en-AU"/>
            </w:rPr>
            <w:t xml:space="preserve"> (DHHS, 2013)</w:t>
          </w:r>
          <w:r w:rsidR="00D0224E">
            <w:rPr>
              <w:lang w:eastAsia="en-AU"/>
            </w:rPr>
            <w:fldChar w:fldCharType="end"/>
          </w:r>
        </w:sdtContent>
      </w:sdt>
      <w:r w:rsidR="00D0224E">
        <w:rPr>
          <w:lang w:eastAsia="en-AU"/>
        </w:rPr>
        <w:t xml:space="preserve"> that there </w:t>
      </w:r>
      <w:r w:rsidR="00E53DC6">
        <w:rPr>
          <w:lang w:val="en-US" w:eastAsia="en-AU"/>
        </w:rPr>
        <w:t xml:space="preserve">may </w:t>
      </w:r>
      <w:r w:rsidR="00102BC7">
        <w:rPr>
          <w:lang w:val="en-US" w:eastAsia="en-AU"/>
        </w:rPr>
        <w:t xml:space="preserve">be </w:t>
      </w:r>
      <w:r w:rsidR="00102BC7">
        <w:rPr>
          <w:lang w:eastAsia="en-AU"/>
        </w:rPr>
        <w:t>Tasmanians</w:t>
      </w:r>
      <w:r w:rsidR="00E53DC6">
        <w:rPr>
          <w:lang w:eastAsia="en-AU"/>
        </w:rPr>
        <w:t xml:space="preserve"> </w:t>
      </w:r>
      <w:r w:rsidR="00D0224E">
        <w:rPr>
          <w:lang w:eastAsia="en-AU"/>
        </w:rPr>
        <w:t xml:space="preserve">living with Diabetes who are not aware they have the </w:t>
      </w:r>
      <w:r w:rsidR="00990D8A">
        <w:rPr>
          <w:lang w:val="en-US" w:eastAsia="en-AU"/>
        </w:rPr>
        <w:t>disease</w:t>
      </w:r>
      <w:r w:rsidR="00D0224E">
        <w:rPr>
          <w:lang w:eastAsia="en-AU"/>
        </w:rPr>
        <w:t>.</w:t>
      </w:r>
    </w:p>
    <w:p w:rsidR="00B33554" w:rsidRDefault="00CA4A50" w:rsidP="00CA0A9F">
      <w:pPr>
        <w:jc w:val="both"/>
        <w:rPr>
          <w:lang w:eastAsia="en-AU"/>
        </w:rPr>
      </w:pPr>
      <w:r>
        <w:rPr>
          <w:lang w:eastAsia="en-AU"/>
        </w:rPr>
        <w:t xml:space="preserve">People with Diabetes, particularly those with complications, are likely to experience episodes of hospitalisation. Coding changes for acute episodes of care for Diabetes have rendered purchasing specifically for Diabetes difficult. It is more likely that a patient </w:t>
      </w:r>
      <w:proofErr w:type="spellStart"/>
      <w:r w:rsidR="00F03DF9">
        <w:rPr>
          <w:lang w:val="en-US" w:eastAsia="en-AU"/>
        </w:rPr>
        <w:t>hospitalised</w:t>
      </w:r>
      <w:proofErr w:type="spellEnd"/>
      <w:r w:rsidR="00F03DF9">
        <w:rPr>
          <w:lang w:val="en-US" w:eastAsia="en-AU"/>
        </w:rPr>
        <w:t xml:space="preserve"> </w:t>
      </w:r>
      <w:r>
        <w:rPr>
          <w:lang w:eastAsia="en-AU"/>
        </w:rPr>
        <w:t>with a complication due to Diabetes</w:t>
      </w:r>
      <w:r w:rsidR="00395220">
        <w:rPr>
          <w:lang w:eastAsia="en-AU"/>
        </w:rPr>
        <w:t xml:space="preserve"> </w:t>
      </w:r>
      <w:r>
        <w:rPr>
          <w:lang w:eastAsia="en-AU"/>
        </w:rPr>
        <w:t xml:space="preserve">will be coded for the complication as the primary diagnosis </w:t>
      </w:r>
      <w:r w:rsidR="007F5CF4">
        <w:rPr>
          <w:lang w:val="en-US" w:eastAsia="en-AU"/>
        </w:rPr>
        <w:t>rather than</w:t>
      </w:r>
      <w:r w:rsidR="007F5CF4">
        <w:rPr>
          <w:lang w:eastAsia="en-AU"/>
        </w:rPr>
        <w:t xml:space="preserve"> </w:t>
      </w:r>
      <w:r w:rsidR="00D84380">
        <w:rPr>
          <w:lang w:val="en-US" w:eastAsia="en-AU"/>
        </w:rPr>
        <w:t>the</w:t>
      </w:r>
      <w:r w:rsidR="00395220">
        <w:rPr>
          <w:lang w:eastAsia="en-AU"/>
        </w:rPr>
        <w:t xml:space="preserve"> </w:t>
      </w:r>
      <w:r>
        <w:rPr>
          <w:lang w:eastAsia="en-AU"/>
        </w:rPr>
        <w:t>Diabetes. Diabetes may (or may not) appear as a secondary diagnosis. Further work needs to be undertaken to understand the coded data environment before purchasing actions related to Diabetes can be formulated.</w:t>
      </w:r>
    </w:p>
    <w:p w:rsidR="00CA0A9F" w:rsidRPr="00CA0A9F" w:rsidRDefault="00CA0A9F" w:rsidP="00CA0A9F">
      <w:pPr>
        <w:jc w:val="both"/>
        <w:rPr>
          <w:b/>
          <w:lang w:eastAsia="en-AU"/>
        </w:rPr>
      </w:pPr>
      <w:r w:rsidRPr="00CA0A9F">
        <w:rPr>
          <w:b/>
          <w:lang w:eastAsia="en-AU"/>
        </w:rPr>
        <w:t>Risk Factors</w:t>
      </w:r>
    </w:p>
    <w:p w:rsidR="007A0611" w:rsidRDefault="007A0611" w:rsidP="007A0611">
      <w:pPr>
        <w:pStyle w:val="ListBullet"/>
        <w:numPr>
          <w:ilvl w:val="0"/>
          <w:numId w:val="0"/>
        </w:numPr>
        <w:tabs>
          <w:tab w:val="clear" w:pos="567"/>
          <w:tab w:val="left" w:pos="0"/>
        </w:tabs>
        <w:rPr>
          <w:lang w:eastAsia="en-AU"/>
        </w:rPr>
      </w:pPr>
      <w:r>
        <w:rPr>
          <w:lang w:eastAsia="en-AU"/>
        </w:rPr>
        <w:t xml:space="preserve">Future iterations of the </w:t>
      </w:r>
      <w:proofErr w:type="spellStart"/>
      <w:r>
        <w:rPr>
          <w:lang w:eastAsia="en-AU"/>
        </w:rPr>
        <w:t>SoPI</w:t>
      </w:r>
      <w:proofErr w:type="spellEnd"/>
      <w:r>
        <w:rPr>
          <w:lang w:eastAsia="en-AU"/>
        </w:rPr>
        <w:t xml:space="preserve"> will address risk factors through purchasing activities in other sectors such as the Community</w:t>
      </w:r>
      <w:r w:rsidR="00254EAD">
        <w:rPr>
          <w:lang w:val="en-US" w:eastAsia="en-AU"/>
        </w:rPr>
        <w:t xml:space="preserve"> and private sectors</w:t>
      </w:r>
      <w:r>
        <w:rPr>
          <w:lang w:eastAsia="en-AU"/>
        </w:rPr>
        <w:t>.  Some examples of risk factors that will be addressed are:</w:t>
      </w:r>
    </w:p>
    <w:p w:rsidR="00CA0A9F" w:rsidRDefault="00CA0A9F" w:rsidP="007A0611">
      <w:pPr>
        <w:pStyle w:val="ListBullet"/>
      </w:pPr>
      <w:r>
        <w:t>Smoking</w:t>
      </w:r>
    </w:p>
    <w:p w:rsidR="00CA0A9F" w:rsidRDefault="00CA0A9F" w:rsidP="00242F45">
      <w:pPr>
        <w:pStyle w:val="ListBullet"/>
      </w:pPr>
      <w:r>
        <w:t>Overweight</w:t>
      </w:r>
      <w:r w:rsidR="00254EAD">
        <w:rPr>
          <w:lang w:val="en-US"/>
        </w:rPr>
        <w:t xml:space="preserve"> and obesity</w:t>
      </w:r>
    </w:p>
    <w:p w:rsidR="00CA0A9F" w:rsidRDefault="00CA0A9F" w:rsidP="00242F45">
      <w:pPr>
        <w:pStyle w:val="ListBullet"/>
      </w:pPr>
      <w:r>
        <w:t>Alcohol consumption</w:t>
      </w:r>
    </w:p>
    <w:p w:rsidR="00CA0A9F" w:rsidRDefault="00CA0A9F" w:rsidP="00242F45">
      <w:pPr>
        <w:pStyle w:val="ListBullet"/>
      </w:pPr>
      <w:r>
        <w:t>Nutritional status</w:t>
      </w:r>
    </w:p>
    <w:p w:rsidR="00CA0A9F" w:rsidRDefault="00CA0A9F" w:rsidP="00242F45">
      <w:pPr>
        <w:pStyle w:val="ListBullet"/>
      </w:pPr>
      <w:r>
        <w:t>Physical inactivity</w:t>
      </w:r>
      <w:r w:rsidR="00F2243D">
        <w:t>, and</w:t>
      </w:r>
    </w:p>
    <w:p w:rsidR="00CA0A9F" w:rsidRDefault="00CA0A9F" w:rsidP="00242F45">
      <w:pPr>
        <w:pStyle w:val="ListBullet"/>
      </w:pPr>
      <w:r>
        <w:t>Environmental risks</w:t>
      </w:r>
      <w:r w:rsidR="00F2243D">
        <w:t>.</w:t>
      </w:r>
    </w:p>
    <w:p w:rsidR="00CA0A9F" w:rsidRPr="00B33554" w:rsidRDefault="002F65C1" w:rsidP="00CA0A9F">
      <w:pPr>
        <w:jc w:val="both"/>
        <w:rPr>
          <w:lang w:eastAsia="en-AU"/>
        </w:rPr>
      </w:pPr>
      <w:r>
        <w:rPr>
          <w:lang w:eastAsia="en-AU"/>
        </w:rPr>
        <w:t>Sector specific purchasing (c.f. Section 5.3) will enable the DHHS to improve purchasing actions for chronic disease risk factors.</w:t>
      </w:r>
    </w:p>
    <w:p w:rsidR="001B63CF" w:rsidRPr="008A674F" w:rsidRDefault="001B63CF" w:rsidP="0026595A">
      <w:pPr>
        <w:pStyle w:val="Heading8"/>
        <w:rPr>
          <w:rStyle w:val="IntenseEmphasis"/>
        </w:rPr>
      </w:pPr>
      <w:r>
        <w:rPr>
          <w:rStyle w:val="IntenseEmphasis"/>
        </w:rPr>
        <w:t>Multi</w:t>
      </w:r>
      <w:r w:rsidR="002C70C1">
        <w:rPr>
          <w:rStyle w:val="IntenseEmphasis"/>
        </w:rPr>
        <w:t>-</w:t>
      </w:r>
      <w:r>
        <w:rPr>
          <w:rStyle w:val="IntenseEmphasis"/>
        </w:rPr>
        <w:t>morbidity</w:t>
      </w:r>
    </w:p>
    <w:p w:rsidR="00084864" w:rsidRDefault="00084864" w:rsidP="00281AC2">
      <w:pPr>
        <w:jc w:val="both"/>
      </w:pPr>
      <w:r>
        <w:t>Multi</w:t>
      </w:r>
      <w:r w:rsidR="002C70C1">
        <w:t>-</w:t>
      </w:r>
      <w:r>
        <w:t xml:space="preserve">morbidity is an issue that will </w:t>
      </w:r>
      <w:r w:rsidR="00CD074C">
        <w:rPr>
          <w:lang w:val="en-US"/>
        </w:rPr>
        <w:t>require</w:t>
      </w:r>
      <w:r>
        <w:t xml:space="preserve"> </w:t>
      </w:r>
      <w:r w:rsidR="00CD074C">
        <w:rPr>
          <w:lang w:val="en-US"/>
        </w:rPr>
        <w:t>planning with a view to specific purchasing actions</w:t>
      </w:r>
      <w:r>
        <w:t xml:space="preserve"> in the near future. Anecdotally, clinicians are </w:t>
      </w:r>
      <w:r w:rsidR="00254EAD">
        <w:rPr>
          <w:lang w:val="en-US"/>
        </w:rPr>
        <w:t>discussing</w:t>
      </w:r>
      <w:r w:rsidR="001C4795">
        <w:t xml:space="preserve"> </w:t>
      </w:r>
      <w:r>
        <w:t>the rising problem of multi</w:t>
      </w:r>
      <w:r w:rsidR="00B33554">
        <w:t>-</w:t>
      </w:r>
      <w:r>
        <w:t xml:space="preserve">morbidity and its impact on care delivery </w:t>
      </w:r>
      <w:r w:rsidR="005B4765">
        <w:t xml:space="preserve">across the </w:t>
      </w:r>
      <w:r w:rsidR="005B4765">
        <w:rPr>
          <w:lang w:val="en-US"/>
        </w:rPr>
        <w:t xml:space="preserve">clinical </w:t>
      </w:r>
      <w:r w:rsidR="005B4765">
        <w:t>spectrum</w:t>
      </w:r>
      <w:r w:rsidR="005B4765">
        <w:rPr>
          <w:lang w:val="en-US"/>
        </w:rPr>
        <w:t>,</w:t>
      </w:r>
      <w:r w:rsidR="005B4765">
        <w:t xml:space="preserve"> </w:t>
      </w:r>
      <w:r>
        <w:t xml:space="preserve">from operating theatres to </w:t>
      </w:r>
      <w:r w:rsidR="005B4765">
        <w:rPr>
          <w:lang w:val="en-US"/>
        </w:rPr>
        <w:t xml:space="preserve">emergency departments, and from outpatients to </w:t>
      </w:r>
      <w:r>
        <w:t xml:space="preserve">care in the community. </w:t>
      </w:r>
    </w:p>
    <w:p w:rsidR="00281AC2" w:rsidRDefault="00281AC2" w:rsidP="00281AC2">
      <w:pPr>
        <w:jc w:val="both"/>
      </w:pPr>
      <w:r>
        <w:t>Between 1970 and 2010, Australia</w:t>
      </w:r>
      <w:r w:rsidR="005B4765">
        <w:rPr>
          <w:lang w:val="en-US"/>
        </w:rPr>
        <w:t xml:space="preserve">n </w:t>
      </w:r>
      <w:r>
        <w:t xml:space="preserve">life expectancy </w:t>
      </w:r>
      <w:r w:rsidR="005B4765">
        <w:rPr>
          <w:lang w:val="en-US"/>
        </w:rPr>
        <w:t>increased</w:t>
      </w:r>
      <w:r>
        <w:t xml:space="preserve"> from 71.02 years to 81.7 years</w:t>
      </w:r>
      <w:sdt>
        <w:sdtPr>
          <w:id w:val="675924986"/>
          <w:citation/>
        </w:sdtPr>
        <w:sdtEndPr/>
        <w:sdtContent>
          <w:r>
            <w:fldChar w:fldCharType="begin"/>
          </w:r>
          <w:r>
            <w:instrText xml:space="preserve"> CITATION Wor16 \l 3081 </w:instrText>
          </w:r>
          <w:r>
            <w:fldChar w:fldCharType="separate"/>
          </w:r>
          <w:r w:rsidR="00355CA9">
            <w:rPr>
              <w:noProof/>
            </w:rPr>
            <w:t xml:space="preserve"> (Bank, n.d.)</w:t>
          </w:r>
          <w:r>
            <w:fldChar w:fldCharType="end"/>
          </w:r>
        </w:sdtContent>
      </w:sdt>
      <w:r>
        <w:t xml:space="preserve">. </w:t>
      </w:r>
      <w:r w:rsidR="001920C1">
        <w:rPr>
          <w:lang w:val="en-US"/>
        </w:rPr>
        <w:t>Concurrent</w:t>
      </w:r>
      <w:r w:rsidR="001920C1">
        <w:t xml:space="preserve"> </w:t>
      </w:r>
      <w:r>
        <w:t>with this trend is an ageing population, an increase in chronic disease and multi-morbidity affecting more than half the elderly population</w:t>
      </w:r>
      <w:r w:rsidRPr="00275BDE">
        <w:t xml:space="preserve"> </w:t>
      </w:r>
      <w:sdt>
        <w:sdtPr>
          <w:id w:val="-869760384"/>
          <w:citation/>
        </w:sdtPr>
        <w:sdtEndPr/>
        <w:sdtContent>
          <w:r>
            <w:fldChar w:fldCharType="begin"/>
          </w:r>
          <w:r>
            <w:instrText xml:space="preserve">CITATION Mar11 \l 3081 </w:instrText>
          </w:r>
          <w:r>
            <w:fldChar w:fldCharType="separate"/>
          </w:r>
          <w:r w:rsidR="00355CA9">
            <w:rPr>
              <w:noProof/>
            </w:rPr>
            <w:t>(Marengoni, 2011)</w:t>
          </w:r>
          <w:r>
            <w:fldChar w:fldCharType="end"/>
          </w:r>
        </w:sdtContent>
      </w:sdt>
      <w:r>
        <w:t xml:space="preserve"> with 80% of the elderly population having three or more chronic conditions </w:t>
      </w:r>
      <w:sdt>
        <w:sdtPr>
          <w:id w:val="170077423"/>
          <w:citation/>
        </w:sdtPr>
        <w:sdtEndPr/>
        <w:sdtContent>
          <w:r>
            <w:fldChar w:fldCharType="begin"/>
          </w:r>
          <w:r>
            <w:instrText xml:space="preserve"> CITATION GCa08 \l 3081 </w:instrText>
          </w:r>
          <w:r>
            <w:fldChar w:fldCharType="separate"/>
          </w:r>
          <w:r w:rsidR="00355CA9">
            <w:rPr>
              <w:noProof/>
            </w:rPr>
            <w:t>(Caughey, 2008)</w:t>
          </w:r>
          <w:r>
            <w:fldChar w:fldCharType="end"/>
          </w:r>
        </w:sdtContent>
      </w:sdt>
      <w:r>
        <w:t xml:space="preserve">. In the United States, multi-morbidity has been shown to increase progressively with age from a prevalence of 50% in those less than sixty five years of age to 81.5% in those aged over eighty five years </w:t>
      </w:r>
      <w:sdt>
        <w:sdtPr>
          <w:id w:val="1743986584"/>
          <w:citation/>
        </w:sdtPr>
        <w:sdtEndPr/>
        <w:sdtContent>
          <w:r>
            <w:fldChar w:fldCharType="begin"/>
          </w:r>
          <w:r>
            <w:instrText xml:space="preserve"> CITATION MSa13 \l 3081 </w:instrText>
          </w:r>
          <w:r>
            <w:fldChar w:fldCharType="separate"/>
          </w:r>
          <w:r w:rsidR="00355CA9">
            <w:rPr>
              <w:noProof/>
            </w:rPr>
            <w:t>(Salive, 2013)</w:t>
          </w:r>
          <w:r>
            <w:fldChar w:fldCharType="end"/>
          </w:r>
        </w:sdtContent>
      </w:sdt>
      <w:r>
        <w:t xml:space="preserve">. </w:t>
      </w:r>
    </w:p>
    <w:p w:rsidR="00281AC2" w:rsidRDefault="00281AC2" w:rsidP="00281AC2">
      <w:pPr>
        <w:pStyle w:val="Pa15"/>
        <w:spacing w:after="140" w:line="300" w:lineRule="atLeast"/>
        <w:jc w:val="both"/>
        <w:rPr>
          <w:rFonts w:ascii="Gill Sans MT" w:hAnsi="Gill Sans MT" w:cs="Gill Sans"/>
          <w:bCs/>
          <w:color w:val="000000"/>
          <w:sz w:val="22"/>
          <w:szCs w:val="22"/>
        </w:rPr>
      </w:pPr>
      <w:r>
        <w:rPr>
          <w:rFonts w:ascii="Gill Sans MT" w:hAnsi="Gill Sans MT" w:cs="Gill Sans"/>
          <w:bCs/>
          <w:color w:val="000000"/>
          <w:sz w:val="22"/>
          <w:szCs w:val="22"/>
        </w:rPr>
        <w:t>Tasmania’s</w:t>
      </w:r>
      <w:r w:rsidRPr="00512AC3">
        <w:rPr>
          <w:rFonts w:ascii="Gill Sans MT" w:hAnsi="Gill Sans MT" w:cs="Gill Sans"/>
          <w:bCs/>
          <w:color w:val="000000"/>
          <w:sz w:val="22"/>
          <w:szCs w:val="22"/>
        </w:rPr>
        <w:t xml:space="preserve"> high rates of lifestyle-related risk factors have contributed to Tasmania having higher rates of mul</w:t>
      </w:r>
      <w:r w:rsidR="00D56D9E">
        <w:rPr>
          <w:rFonts w:ascii="Gill Sans MT" w:hAnsi="Gill Sans MT" w:cs="Gill Sans"/>
          <w:bCs/>
          <w:color w:val="000000"/>
          <w:sz w:val="22"/>
          <w:szCs w:val="22"/>
        </w:rPr>
        <w:t>ti</w:t>
      </w:r>
      <w:r w:rsidR="00B33554">
        <w:rPr>
          <w:rFonts w:ascii="Gill Sans MT" w:hAnsi="Gill Sans MT" w:cs="Gill Sans"/>
          <w:bCs/>
          <w:color w:val="000000"/>
          <w:sz w:val="22"/>
          <w:szCs w:val="22"/>
        </w:rPr>
        <w:t>-</w:t>
      </w:r>
      <w:r w:rsidR="00D56D9E">
        <w:rPr>
          <w:rFonts w:ascii="Gill Sans MT" w:hAnsi="Gill Sans MT" w:cs="Gill Sans"/>
          <w:bCs/>
          <w:color w:val="000000"/>
          <w:sz w:val="22"/>
          <w:szCs w:val="22"/>
        </w:rPr>
        <w:t>morbidity (three or more self-</w:t>
      </w:r>
      <w:r w:rsidRPr="00512AC3">
        <w:rPr>
          <w:rFonts w:ascii="Gill Sans MT" w:hAnsi="Gill Sans MT" w:cs="Gill Sans"/>
          <w:bCs/>
          <w:color w:val="000000"/>
          <w:sz w:val="22"/>
          <w:szCs w:val="22"/>
        </w:rPr>
        <w:t>reported chronic conditions) than any other jurisdiction</w:t>
      </w:r>
      <w:r w:rsidR="000D4231">
        <w:rPr>
          <w:rFonts w:ascii="Gill Sans MT" w:hAnsi="Gill Sans MT" w:cs="Gill Sans"/>
          <w:bCs/>
          <w:color w:val="000000"/>
          <w:sz w:val="22"/>
          <w:szCs w:val="22"/>
          <w:lang w:val="en-US"/>
        </w:rPr>
        <w:t>,</w:t>
      </w:r>
      <w:r w:rsidRPr="00512AC3">
        <w:rPr>
          <w:rFonts w:ascii="Gill Sans MT" w:hAnsi="Gill Sans MT" w:cs="Gill Sans"/>
          <w:bCs/>
          <w:color w:val="000000"/>
          <w:sz w:val="22"/>
          <w:szCs w:val="22"/>
        </w:rPr>
        <w:t xml:space="preserve"> and this problem is </w:t>
      </w:r>
      <w:r w:rsidR="000D4231">
        <w:rPr>
          <w:rFonts w:ascii="Gill Sans MT" w:hAnsi="Gill Sans MT" w:cs="Gill Sans"/>
          <w:bCs/>
          <w:color w:val="000000"/>
          <w:sz w:val="22"/>
          <w:szCs w:val="22"/>
          <w:lang w:val="en-US"/>
        </w:rPr>
        <w:t>worsening</w:t>
      </w:r>
      <w:r w:rsidRPr="00512AC3">
        <w:rPr>
          <w:rFonts w:ascii="Gill Sans MT" w:hAnsi="Gill Sans MT" w:cs="Gill Sans"/>
          <w:bCs/>
          <w:color w:val="000000"/>
          <w:sz w:val="22"/>
          <w:szCs w:val="22"/>
        </w:rPr>
        <w:t>. 50.3% of Tasmanians had three or more chronic conditions in 2014–15, i</w:t>
      </w:r>
      <w:r w:rsidR="00084864">
        <w:rPr>
          <w:rFonts w:ascii="Gill Sans MT" w:hAnsi="Gill Sans MT" w:cs="Gill Sans"/>
          <w:bCs/>
          <w:color w:val="000000"/>
          <w:sz w:val="22"/>
          <w:szCs w:val="22"/>
        </w:rPr>
        <w:t>ncreasing from 41.8% in 2011–12</w:t>
      </w:r>
      <w:r>
        <w:rPr>
          <w:rFonts w:ascii="Gill Sans MT" w:hAnsi="Gill Sans MT" w:cs="Gill Sans"/>
          <w:bCs/>
          <w:color w:val="000000"/>
          <w:sz w:val="22"/>
          <w:szCs w:val="22"/>
        </w:rPr>
        <w:t xml:space="preserve"> </w:t>
      </w:r>
      <w:sdt>
        <w:sdtPr>
          <w:rPr>
            <w:rFonts w:ascii="Gill Sans MT" w:hAnsi="Gill Sans MT" w:cs="Gill Sans"/>
            <w:bCs/>
            <w:color w:val="000000"/>
            <w:sz w:val="22"/>
            <w:szCs w:val="22"/>
          </w:rPr>
          <w:id w:val="1009710354"/>
          <w:citation/>
        </w:sdtPr>
        <w:sdtEndPr/>
        <w:sdtContent>
          <w:r>
            <w:rPr>
              <w:rFonts w:ascii="Gill Sans MT" w:hAnsi="Gill Sans MT" w:cs="Gill Sans"/>
              <w:bCs/>
              <w:color w:val="000000"/>
              <w:sz w:val="22"/>
              <w:szCs w:val="22"/>
            </w:rPr>
            <w:fldChar w:fldCharType="begin"/>
          </w:r>
          <w:r>
            <w:rPr>
              <w:rFonts w:ascii="Gill Sans MT" w:hAnsi="Gill Sans MT" w:cs="Gill Sans"/>
              <w:bCs/>
              <w:color w:val="000000"/>
              <w:sz w:val="22"/>
              <w:szCs w:val="22"/>
            </w:rPr>
            <w:instrText xml:space="preserve"> CITATION One16 \l 3081 </w:instrText>
          </w:r>
          <w:r>
            <w:rPr>
              <w:rFonts w:ascii="Gill Sans MT" w:hAnsi="Gill Sans MT" w:cs="Gill Sans"/>
              <w:bCs/>
              <w:color w:val="000000"/>
              <w:sz w:val="22"/>
              <w:szCs w:val="22"/>
            </w:rPr>
            <w:fldChar w:fldCharType="separate"/>
          </w:r>
          <w:r w:rsidR="00355CA9" w:rsidRPr="00355CA9">
            <w:rPr>
              <w:rFonts w:ascii="Gill Sans MT" w:hAnsi="Gill Sans MT" w:cs="Gill Sans"/>
              <w:noProof/>
              <w:color w:val="000000"/>
              <w:sz w:val="22"/>
              <w:szCs w:val="22"/>
            </w:rPr>
            <w:t>(One State, 2016)</w:t>
          </w:r>
          <w:r>
            <w:rPr>
              <w:rFonts w:ascii="Gill Sans MT" w:hAnsi="Gill Sans MT" w:cs="Gill Sans"/>
              <w:bCs/>
              <w:color w:val="000000"/>
              <w:sz w:val="22"/>
              <w:szCs w:val="22"/>
            </w:rPr>
            <w:fldChar w:fldCharType="end"/>
          </w:r>
        </w:sdtContent>
      </w:sdt>
      <w:r w:rsidR="00084864">
        <w:rPr>
          <w:rFonts w:ascii="Gill Sans MT" w:hAnsi="Gill Sans MT" w:cs="Gill Sans"/>
          <w:bCs/>
          <w:color w:val="000000"/>
          <w:sz w:val="22"/>
          <w:szCs w:val="22"/>
        </w:rPr>
        <w:t xml:space="preserve">. </w:t>
      </w:r>
    </w:p>
    <w:p w:rsidR="00084864" w:rsidRDefault="00F416EA" w:rsidP="0059763F">
      <w:pPr>
        <w:pStyle w:val="Default"/>
        <w:spacing w:after="140" w:line="300" w:lineRule="atLeast"/>
        <w:jc w:val="both"/>
        <w:rPr>
          <w:rFonts w:ascii="Gill Sans MT" w:eastAsia="Times New Roman" w:hAnsi="Gill Sans MT" w:cs="Gill Sans"/>
          <w:bCs/>
          <w:sz w:val="22"/>
          <w:szCs w:val="22"/>
          <w:lang w:eastAsia="en-AU"/>
        </w:rPr>
      </w:pPr>
      <w:proofErr w:type="spellStart"/>
      <w:r>
        <w:rPr>
          <w:rFonts w:ascii="Gill Sans MT" w:eastAsia="Times New Roman" w:hAnsi="Gill Sans MT" w:cs="Gill Sans"/>
          <w:bCs/>
          <w:sz w:val="22"/>
          <w:szCs w:val="22"/>
          <w:lang w:eastAsia="en-AU"/>
        </w:rPr>
        <w:t>Multimorbid</w:t>
      </w:r>
      <w:proofErr w:type="spellEnd"/>
      <w:r>
        <w:rPr>
          <w:rFonts w:ascii="Gill Sans MT" w:eastAsia="Times New Roman" w:hAnsi="Gill Sans MT" w:cs="Gill Sans"/>
          <w:bCs/>
          <w:sz w:val="22"/>
          <w:szCs w:val="22"/>
          <w:lang w:eastAsia="en-AU"/>
        </w:rPr>
        <w:t xml:space="preserve"> patients are at greater risk for further complications</w:t>
      </w:r>
      <w:r w:rsidR="00544143">
        <w:rPr>
          <w:rFonts w:ascii="Gill Sans MT" w:eastAsia="Times New Roman" w:hAnsi="Gill Sans MT" w:cs="Gill Sans"/>
          <w:bCs/>
          <w:sz w:val="22"/>
          <w:szCs w:val="22"/>
          <w:lang w:eastAsia="en-AU"/>
        </w:rPr>
        <w:t xml:space="preserve"> </w:t>
      </w:r>
      <w:sdt>
        <w:sdtPr>
          <w:rPr>
            <w:rFonts w:ascii="Gill Sans MT" w:eastAsia="Times New Roman" w:hAnsi="Gill Sans MT" w:cs="Gill Sans"/>
            <w:bCs/>
            <w:sz w:val="22"/>
            <w:szCs w:val="22"/>
            <w:lang w:eastAsia="en-AU"/>
          </w:rPr>
          <w:id w:val="1323859591"/>
          <w:citation/>
        </w:sdtPr>
        <w:sdtEndPr/>
        <w:sdtContent>
          <w:r w:rsidR="00544143">
            <w:rPr>
              <w:rFonts w:ascii="Gill Sans MT" w:eastAsia="Times New Roman" w:hAnsi="Gill Sans MT" w:cs="Gill Sans"/>
              <w:bCs/>
              <w:sz w:val="22"/>
              <w:szCs w:val="22"/>
              <w:lang w:eastAsia="en-AU"/>
            </w:rPr>
            <w:fldChar w:fldCharType="begin"/>
          </w:r>
          <w:r w:rsidR="00544143">
            <w:rPr>
              <w:rFonts w:ascii="Gill Sans MT" w:eastAsia="Times New Roman" w:hAnsi="Gill Sans MT" w:cs="Gill Sans"/>
              <w:bCs/>
              <w:sz w:val="22"/>
              <w:szCs w:val="22"/>
              <w:lang w:eastAsia="en-AU"/>
            </w:rPr>
            <w:instrText xml:space="preserve"> CITATION DWe15 \l 3081 </w:instrText>
          </w:r>
          <w:r w:rsidR="00544143">
            <w:rPr>
              <w:rFonts w:ascii="Gill Sans MT" w:eastAsia="Times New Roman" w:hAnsi="Gill Sans MT" w:cs="Gill Sans"/>
              <w:bCs/>
              <w:sz w:val="22"/>
              <w:szCs w:val="22"/>
              <w:lang w:eastAsia="en-AU"/>
            </w:rPr>
            <w:fldChar w:fldCharType="separate"/>
          </w:r>
          <w:r w:rsidR="00355CA9" w:rsidRPr="00355CA9">
            <w:rPr>
              <w:rFonts w:ascii="Gill Sans MT" w:eastAsia="Times New Roman" w:hAnsi="Gill Sans MT" w:cs="Gill Sans"/>
              <w:noProof/>
              <w:sz w:val="22"/>
              <w:szCs w:val="22"/>
              <w:lang w:eastAsia="en-AU"/>
            </w:rPr>
            <w:t>(Weir, 2015)</w:t>
          </w:r>
          <w:r w:rsidR="00544143">
            <w:rPr>
              <w:rFonts w:ascii="Gill Sans MT" w:eastAsia="Times New Roman" w:hAnsi="Gill Sans MT" w:cs="Gill Sans"/>
              <w:bCs/>
              <w:sz w:val="22"/>
              <w:szCs w:val="22"/>
              <w:lang w:eastAsia="en-AU"/>
            </w:rPr>
            <w:fldChar w:fldCharType="end"/>
          </w:r>
        </w:sdtContent>
      </w:sdt>
      <w:r>
        <w:rPr>
          <w:rFonts w:ascii="Gill Sans MT" w:eastAsia="Times New Roman" w:hAnsi="Gill Sans MT" w:cs="Gill Sans"/>
          <w:bCs/>
          <w:sz w:val="22"/>
          <w:szCs w:val="22"/>
          <w:lang w:eastAsia="en-AU"/>
        </w:rPr>
        <w:t xml:space="preserve"> and mortality</w:t>
      </w:r>
      <w:r w:rsidR="00E9673F">
        <w:rPr>
          <w:rFonts w:ascii="Gill Sans MT" w:eastAsia="Times New Roman" w:hAnsi="Gill Sans MT" w:cs="Gill Sans"/>
          <w:bCs/>
          <w:sz w:val="22"/>
          <w:szCs w:val="22"/>
          <w:lang w:eastAsia="en-AU"/>
        </w:rPr>
        <w:t xml:space="preserve"> </w:t>
      </w:r>
      <w:sdt>
        <w:sdtPr>
          <w:rPr>
            <w:rFonts w:ascii="Gill Sans MT" w:eastAsia="Times New Roman" w:hAnsi="Gill Sans MT" w:cs="Gill Sans"/>
            <w:bCs/>
            <w:sz w:val="22"/>
            <w:szCs w:val="22"/>
            <w:lang w:eastAsia="en-AU"/>
          </w:rPr>
          <w:id w:val="-1176963779"/>
          <w:citation/>
        </w:sdtPr>
        <w:sdtEndPr/>
        <w:sdtContent>
          <w:r w:rsidR="00E9673F">
            <w:rPr>
              <w:rFonts w:ascii="Gill Sans MT" w:eastAsia="Times New Roman" w:hAnsi="Gill Sans MT" w:cs="Gill Sans"/>
              <w:bCs/>
              <w:sz w:val="22"/>
              <w:szCs w:val="22"/>
              <w:lang w:eastAsia="en-AU"/>
            </w:rPr>
            <w:fldChar w:fldCharType="begin"/>
          </w:r>
          <w:r w:rsidR="00E9673F">
            <w:rPr>
              <w:rFonts w:ascii="Gill Sans MT" w:eastAsia="Times New Roman" w:hAnsi="Gill Sans MT" w:cs="Gill Sans"/>
              <w:bCs/>
              <w:sz w:val="22"/>
              <w:szCs w:val="22"/>
              <w:lang w:eastAsia="en-AU"/>
            </w:rPr>
            <w:instrText xml:space="preserve"> CITATION Phi15 \l 3081 </w:instrText>
          </w:r>
          <w:r w:rsidR="00E9673F">
            <w:rPr>
              <w:rFonts w:ascii="Gill Sans MT" w:eastAsia="Times New Roman" w:hAnsi="Gill Sans MT" w:cs="Gill Sans"/>
              <w:bCs/>
              <w:sz w:val="22"/>
              <w:szCs w:val="22"/>
              <w:lang w:eastAsia="en-AU"/>
            </w:rPr>
            <w:fldChar w:fldCharType="separate"/>
          </w:r>
          <w:r w:rsidR="00355CA9" w:rsidRPr="00355CA9">
            <w:rPr>
              <w:rFonts w:ascii="Gill Sans MT" w:eastAsia="Times New Roman" w:hAnsi="Gill Sans MT" w:cs="Gill Sans"/>
              <w:noProof/>
              <w:sz w:val="22"/>
              <w:szCs w:val="22"/>
              <w:lang w:eastAsia="en-AU"/>
            </w:rPr>
            <w:t>(Corvoisier, 2015)</w:t>
          </w:r>
          <w:r w:rsidR="00E9673F">
            <w:rPr>
              <w:rFonts w:ascii="Gill Sans MT" w:eastAsia="Times New Roman" w:hAnsi="Gill Sans MT" w:cs="Gill Sans"/>
              <w:bCs/>
              <w:sz w:val="22"/>
              <w:szCs w:val="22"/>
              <w:lang w:eastAsia="en-AU"/>
            </w:rPr>
            <w:fldChar w:fldCharType="end"/>
          </w:r>
        </w:sdtContent>
      </w:sdt>
      <w:r w:rsidR="00DB7569">
        <w:rPr>
          <w:rFonts w:ascii="Gill Sans MT" w:eastAsia="Times New Roman" w:hAnsi="Gill Sans MT" w:cs="Gill Sans"/>
          <w:bCs/>
          <w:sz w:val="22"/>
          <w:szCs w:val="22"/>
          <w:lang w:eastAsia="en-AU"/>
        </w:rPr>
        <w:t xml:space="preserve"> </w:t>
      </w:r>
      <w:sdt>
        <w:sdtPr>
          <w:rPr>
            <w:rFonts w:ascii="Gill Sans MT" w:eastAsia="Times New Roman" w:hAnsi="Gill Sans MT" w:cs="Gill Sans"/>
            <w:bCs/>
            <w:sz w:val="22"/>
            <w:szCs w:val="22"/>
            <w:lang w:eastAsia="en-AU"/>
          </w:rPr>
          <w:id w:val="1180546512"/>
          <w:citation/>
        </w:sdtPr>
        <w:sdtEndPr/>
        <w:sdtContent>
          <w:r w:rsidR="00DB7569">
            <w:rPr>
              <w:rFonts w:ascii="Gill Sans MT" w:eastAsia="Times New Roman" w:hAnsi="Gill Sans MT" w:cs="Gill Sans"/>
              <w:bCs/>
              <w:sz w:val="22"/>
              <w:szCs w:val="22"/>
              <w:lang w:eastAsia="en-AU"/>
            </w:rPr>
            <w:fldChar w:fldCharType="begin"/>
          </w:r>
          <w:r w:rsidR="00DB7569">
            <w:rPr>
              <w:rFonts w:ascii="Gill Sans MT" w:eastAsia="Times New Roman" w:hAnsi="Gill Sans MT" w:cs="Gill Sans"/>
              <w:bCs/>
              <w:sz w:val="22"/>
              <w:szCs w:val="22"/>
              <w:lang w:eastAsia="en-AU"/>
            </w:rPr>
            <w:instrText xml:space="preserve"> CITATION And16 \l 3081 </w:instrText>
          </w:r>
          <w:r w:rsidR="00DB7569">
            <w:rPr>
              <w:rFonts w:ascii="Gill Sans MT" w:eastAsia="Times New Roman" w:hAnsi="Gill Sans MT" w:cs="Gill Sans"/>
              <w:bCs/>
              <w:sz w:val="22"/>
              <w:szCs w:val="22"/>
              <w:lang w:eastAsia="en-AU"/>
            </w:rPr>
            <w:fldChar w:fldCharType="separate"/>
          </w:r>
          <w:r w:rsidR="00355CA9" w:rsidRPr="00355CA9">
            <w:rPr>
              <w:rFonts w:ascii="Gill Sans MT" w:eastAsia="Times New Roman" w:hAnsi="Gill Sans MT" w:cs="Gill Sans"/>
              <w:noProof/>
              <w:sz w:val="22"/>
              <w:szCs w:val="22"/>
              <w:lang w:eastAsia="en-AU"/>
            </w:rPr>
            <w:t>(Prior, 2016)</w:t>
          </w:r>
          <w:r w:rsidR="00DB7569">
            <w:rPr>
              <w:rFonts w:ascii="Gill Sans MT" w:eastAsia="Times New Roman" w:hAnsi="Gill Sans MT" w:cs="Gill Sans"/>
              <w:bCs/>
              <w:sz w:val="22"/>
              <w:szCs w:val="22"/>
              <w:lang w:eastAsia="en-AU"/>
            </w:rPr>
            <w:fldChar w:fldCharType="end"/>
          </w:r>
        </w:sdtContent>
      </w:sdt>
      <w:r>
        <w:rPr>
          <w:rFonts w:ascii="Gill Sans MT" w:eastAsia="Times New Roman" w:hAnsi="Gill Sans MT" w:cs="Gill Sans"/>
          <w:bCs/>
          <w:sz w:val="22"/>
          <w:szCs w:val="22"/>
          <w:lang w:eastAsia="en-AU"/>
        </w:rPr>
        <w:t xml:space="preserve">. </w:t>
      </w:r>
      <w:r w:rsidR="002A2B2F">
        <w:rPr>
          <w:rFonts w:ascii="Gill Sans MT" w:eastAsia="Times New Roman" w:hAnsi="Gill Sans MT" w:cs="Gill Sans"/>
          <w:bCs/>
          <w:sz w:val="22"/>
          <w:szCs w:val="22"/>
          <w:lang w:eastAsia="en-AU"/>
        </w:rPr>
        <w:t>Furthermore, t</w:t>
      </w:r>
      <w:r>
        <w:rPr>
          <w:rFonts w:ascii="Gill Sans MT" w:eastAsia="Times New Roman" w:hAnsi="Gill Sans MT" w:cs="Gill Sans"/>
          <w:bCs/>
          <w:sz w:val="22"/>
          <w:szCs w:val="22"/>
          <w:lang w:eastAsia="en-AU"/>
        </w:rPr>
        <w:t>he</w:t>
      </w:r>
      <w:r w:rsidR="0083104E">
        <w:rPr>
          <w:rFonts w:ascii="Gill Sans MT" w:eastAsia="Times New Roman" w:hAnsi="Gill Sans MT" w:cs="Gill Sans"/>
          <w:bCs/>
          <w:sz w:val="22"/>
          <w:szCs w:val="22"/>
          <w:lang w:eastAsia="en-AU"/>
        </w:rPr>
        <w:t xml:space="preserve"> cost of</w:t>
      </w:r>
      <w:r>
        <w:rPr>
          <w:rFonts w:ascii="Gill Sans MT" w:eastAsia="Times New Roman" w:hAnsi="Gill Sans MT" w:cs="Gill Sans"/>
          <w:bCs/>
          <w:sz w:val="22"/>
          <w:szCs w:val="22"/>
          <w:lang w:eastAsia="en-AU"/>
        </w:rPr>
        <w:t xml:space="preserve"> care required by </w:t>
      </w:r>
      <w:proofErr w:type="spellStart"/>
      <w:r>
        <w:rPr>
          <w:rFonts w:ascii="Gill Sans MT" w:eastAsia="Times New Roman" w:hAnsi="Gill Sans MT" w:cs="Gill Sans"/>
          <w:bCs/>
          <w:sz w:val="22"/>
          <w:szCs w:val="22"/>
          <w:lang w:eastAsia="en-AU"/>
        </w:rPr>
        <w:t>multimorbid</w:t>
      </w:r>
      <w:proofErr w:type="spellEnd"/>
      <w:r>
        <w:rPr>
          <w:rFonts w:ascii="Gill Sans MT" w:eastAsia="Times New Roman" w:hAnsi="Gill Sans MT" w:cs="Gill Sans"/>
          <w:bCs/>
          <w:sz w:val="22"/>
          <w:szCs w:val="22"/>
          <w:lang w:eastAsia="en-AU"/>
        </w:rPr>
        <w:t xml:space="preserve"> patients is also higher</w:t>
      </w:r>
      <w:r w:rsidR="0059763F">
        <w:rPr>
          <w:rFonts w:ascii="Gill Sans MT" w:eastAsia="Times New Roman" w:hAnsi="Gill Sans MT" w:cs="Gill Sans"/>
          <w:bCs/>
          <w:sz w:val="22"/>
          <w:szCs w:val="22"/>
          <w:lang w:eastAsia="en-AU"/>
        </w:rPr>
        <w:t xml:space="preserve"> </w:t>
      </w:r>
      <w:sdt>
        <w:sdtPr>
          <w:rPr>
            <w:rFonts w:ascii="Gill Sans MT" w:eastAsia="Times New Roman" w:hAnsi="Gill Sans MT" w:cs="Gill Sans"/>
            <w:bCs/>
            <w:sz w:val="22"/>
            <w:szCs w:val="22"/>
            <w:lang w:eastAsia="en-AU"/>
          </w:rPr>
          <w:id w:val="983900066"/>
          <w:citation/>
        </w:sdtPr>
        <w:sdtEndPr/>
        <w:sdtContent>
          <w:r w:rsidR="00CA74F6">
            <w:rPr>
              <w:rFonts w:ascii="Gill Sans MT" w:eastAsia="Times New Roman" w:hAnsi="Gill Sans MT" w:cs="Gill Sans"/>
              <w:bCs/>
              <w:sz w:val="22"/>
              <w:szCs w:val="22"/>
              <w:lang w:eastAsia="en-AU"/>
            </w:rPr>
            <w:fldChar w:fldCharType="begin"/>
          </w:r>
          <w:r w:rsidR="00CA74F6">
            <w:rPr>
              <w:rFonts w:ascii="Gill Sans MT" w:eastAsia="Times New Roman" w:hAnsi="Gill Sans MT" w:cs="Gill Sans"/>
              <w:bCs/>
              <w:sz w:val="22"/>
              <w:szCs w:val="22"/>
              <w:lang w:eastAsia="en-AU"/>
            </w:rPr>
            <w:instrText xml:space="preserve">CITATION Lou16 \l 3081 </w:instrText>
          </w:r>
          <w:r w:rsidR="00CA74F6">
            <w:rPr>
              <w:rFonts w:ascii="Gill Sans MT" w:eastAsia="Times New Roman" w:hAnsi="Gill Sans MT" w:cs="Gill Sans"/>
              <w:bCs/>
              <w:sz w:val="22"/>
              <w:szCs w:val="22"/>
              <w:lang w:eastAsia="en-AU"/>
            </w:rPr>
            <w:fldChar w:fldCharType="separate"/>
          </w:r>
          <w:r w:rsidR="00355CA9" w:rsidRPr="00355CA9">
            <w:rPr>
              <w:rFonts w:ascii="Gill Sans MT" w:eastAsia="Times New Roman" w:hAnsi="Gill Sans MT" w:cs="Gill Sans"/>
              <w:noProof/>
              <w:sz w:val="22"/>
              <w:szCs w:val="22"/>
              <w:lang w:eastAsia="en-AU"/>
            </w:rPr>
            <w:t>(Picco, 2016)</w:t>
          </w:r>
          <w:r w:rsidR="00CA74F6">
            <w:rPr>
              <w:rFonts w:ascii="Gill Sans MT" w:eastAsia="Times New Roman" w:hAnsi="Gill Sans MT" w:cs="Gill Sans"/>
              <w:bCs/>
              <w:sz w:val="22"/>
              <w:szCs w:val="22"/>
              <w:lang w:eastAsia="en-AU"/>
            </w:rPr>
            <w:fldChar w:fldCharType="end"/>
          </w:r>
        </w:sdtContent>
      </w:sdt>
      <w:r w:rsidR="00CA74F6">
        <w:rPr>
          <w:rFonts w:ascii="Gill Sans MT" w:eastAsia="Times New Roman" w:hAnsi="Gill Sans MT" w:cs="Gill Sans"/>
          <w:bCs/>
          <w:sz w:val="22"/>
          <w:szCs w:val="22"/>
          <w:lang w:eastAsia="en-AU"/>
        </w:rPr>
        <w:t xml:space="preserve">, </w:t>
      </w:r>
      <w:sdt>
        <w:sdtPr>
          <w:rPr>
            <w:rFonts w:ascii="Gill Sans MT" w:eastAsia="Times New Roman" w:hAnsi="Gill Sans MT" w:cs="Gill Sans"/>
            <w:bCs/>
            <w:sz w:val="22"/>
            <w:szCs w:val="22"/>
            <w:lang w:eastAsia="en-AU"/>
          </w:rPr>
          <w:id w:val="2143537512"/>
          <w:citation/>
        </w:sdtPr>
        <w:sdtEndPr/>
        <w:sdtContent>
          <w:r w:rsidR="00CA74F6">
            <w:rPr>
              <w:rFonts w:ascii="Gill Sans MT" w:eastAsia="Times New Roman" w:hAnsi="Gill Sans MT" w:cs="Gill Sans"/>
              <w:bCs/>
              <w:sz w:val="22"/>
              <w:szCs w:val="22"/>
              <w:lang w:eastAsia="en-AU"/>
            </w:rPr>
            <w:fldChar w:fldCharType="begin"/>
          </w:r>
          <w:r w:rsidR="00CA74F6">
            <w:rPr>
              <w:rFonts w:ascii="Gill Sans MT" w:eastAsia="Times New Roman" w:hAnsi="Gill Sans MT" w:cs="Gill Sans"/>
              <w:bCs/>
              <w:sz w:val="22"/>
              <w:szCs w:val="22"/>
              <w:lang w:eastAsia="en-AU"/>
            </w:rPr>
            <w:instrText xml:space="preserve"> CITATION Rok16 \l 3081 </w:instrText>
          </w:r>
          <w:r w:rsidR="00CA74F6">
            <w:rPr>
              <w:rFonts w:ascii="Gill Sans MT" w:eastAsia="Times New Roman" w:hAnsi="Gill Sans MT" w:cs="Gill Sans"/>
              <w:bCs/>
              <w:sz w:val="22"/>
              <w:szCs w:val="22"/>
              <w:lang w:eastAsia="en-AU"/>
            </w:rPr>
            <w:fldChar w:fldCharType="separate"/>
          </w:r>
          <w:r w:rsidR="00355CA9" w:rsidRPr="00355CA9">
            <w:rPr>
              <w:rFonts w:ascii="Gill Sans MT" w:eastAsia="Times New Roman" w:hAnsi="Gill Sans MT" w:cs="Gill Sans"/>
              <w:noProof/>
              <w:sz w:val="22"/>
              <w:szCs w:val="22"/>
              <w:lang w:eastAsia="en-AU"/>
            </w:rPr>
            <w:t>(Navickas, 2016)</w:t>
          </w:r>
          <w:r w:rsidR="00CA74F6">
            <w:rPr>
              <w:rFonts w:ascii="Gill Sans MT" w:eastAsia="Times New Roman" w:hAnsi="Gill Sans MT" w:cs="Gill Sans"/>
              <w:bCs/>
              <w:sz w:val="22"/>
              <w:szCs w:val="22"/>
              <w:lang w:eastAsia="en-AU"/>
            </w:rPr>
            <w:fldChar w:fldCharType="end"/>
          </w:r>
        </w:sdtContent>
      </w:sdt>
      <w:r>
        <w:rPr>
          <w:rFonts w:ascii="Gill Sans MT" w:eastAsia="Times New Roman" w:hAnsi="Gill Sans MT" w:cs="Gill Sans"/>
          <w:bCs/>
          <w:sz w:val="22"/>
          <w:szCs w:val="22"/>
          <w:lang w:eastAsia="en-AU"/>
        </w:rPr>
        <w:t xml:space="preserve">. </w:t>
      </w:r>
      <w:r w:rsidR="00180B1A">
        <w:rPr>
          <w:rFonts w:ascii="Gill Sans MT" w:eastAsia="Times New Roman" w:hAnsi="Gill Sans MT" w:cs="Gill Sans"/>
          <w:bCs/>
          <w:sz w:val="22"/>
          <w:szCs w:val="22"/>
          <w:lang w:eastAsia="en-AU"/>
        </w:rPr>
        <w:t xml:space="preserve">These </w:t>
      </w:r>
      <w:r w:rsidR="008C4485">
        <w:rPr>
          <w:rFonts w:ascii="Gill Sans MT" w:eastAsia="Times New Roman" w:hAnsi="Gill Sans MT" w:cs="Gill Sans"/>
          <w:bCs/>
          <w:sz w:val="22"/>
          <w:szCs w:val="22"/>
          <w:lang w:eastAsia="en-AU"/>
        </w:rPr>
        <w:t>findings</w:t>
      </w:r>
      <w:r w:rsidR="00180B1A">
        <w:rPr>
          <w:rFonts w:ascii="Gill Sans MT" w:eastAsia="Times New Roman" w:hAnsi="Gill Sans MT" w:cs="Gill Sans"/>
          <w:bCs/>
          <w:sz w:val="22"/>
          <w:szCs w:val="22"/>
          <w:lang w:eastAsia="en-AU"/>
        </w:rPr>
        <w:t xml:space="preserve"> are also evident in </w:t>
      </w:r>
      <w:r w:rsidR="00084864" w:rsidRPr="00084864">
        <w:rPr>
          <w:rFonts w:ascii="Gill Sans MT" w:eastAsia="Times New Roman" w:hAnsi="Gill Sans MT" w:cs="Gill Sans"/>
          <w:bCs/>
          <w:sz w:val="22"/>
          <w:szCs w:val="22"/>
          <w:lang w:eastAsia="en-AU"/>
        </w:rPr>
        <w:t>Tasmania</w:t>
      </w:r>
      <w:r>
        <w:rPr>
          <w:rFonts w:ascii="Gill Sans MT" w:eastAsia="Times New Roman" w:hAnsi="Gill Sans MT" w:cs="Gill Sans"/>
          <w:bCs/>
          <w:sz w:val="22"/>
          <w:szCs w:val="22"/>
          <w:lang w:eastAsia="en-AU"/>
        </w:rPr>
        <w:t>n</w:t>
      </w:r>
      <w:r w:rsidR="00324F6C">
        <w:rPr>
          <w:rFonts w:ascii="Gill Sans MT" w:eastAsia="Times New Roman" w:hAnsi="Gill Sans MT" w:cs="Gill Sans"/>
          <w:bCs/>
          <w:sz w:val="22"/>
          <w:szCs w:val="22"/>
          <w:lang w:eastAsia="en-AU"/>
        </w:rPr>
        <w:t xml:space="preserve"> acute admitted data</w:t>
      </w:r>
      <w:r w:rsidR="00180B1A">
        <w:rPr>
          <w:rFonts w:ascii="Gill Sans MT" w:eastAsia="Times New Roman" w:hAnsi="Gill Sans MT" w:cs="Gill Sans"/>
          <w:bCs/>
          <w:sz w:val="22"/>
          <w:szCs w:val="22"/>
          <w:lang w:eastAsia="en-AU"/>
        </w:rPr>
        <w:t xml:space="preserve"> </w:t>
      </w:r>
      <w:sdt>
        <w:sdtPr>
          <w:rPr>
            <w:rFonts w:ascii="Gill Sans MT" w:eastAsia="Times New Roman" w:hAnsi="Gill Sans MT" w:cs="Gill Sans"/>
            <w:bCs/>
            <w:sz w:val="22"/>
            <w:szCs w:val="22"/>
            <w:lang w:eastAsia="en-AU"/>
          </w:rPr>
          <w:id w:val="-1053923007"/>
          <w:citation/>
        </w:sdtPr>
        <w:sdtEndPr/>
        <w:sdtContent>
          <w:r w:rsidR="006A25E9">
            <w:rPr>
              <w:rFonts w:ascii="Gill Sans MT" w:eastAsia="Times New Roman" w:hAnsi="Gill Sans MT" w:cs="Gill Sans"/>
              <w:bCs/>
              <w:sz w:val="22"/>
              <w:szCs w:val="22"/>
              <w:lang w:eastAsia="en-AU"/>
            </w:rPr>
            <w:fldChar w:fldCharType="begin"/>
          </w:r>
          <w:r w:rsidR="006A25E9">
            <w:rPr>
              <w:rFonts w:ascii="Gill Sans MT" w:eastAsia="Times New Roman" w:hAnsi="Gill Sans MT" w:cs="Gill Sans"/>
              <w:bCs/>
              <w:sz w:val="22"/>
              <w:szCs w:val="22"/>
              <w:lang w:eastAsia="en-AU"/>
            </w:rPr>
            <w:instrText xml:space="preserve">CITATION Placeholder1 \l 3081 </w:instrText>
          </w:r>
          <w:r w:rsidR="006A25E9">
            <w:rPr>
              <w:rFonts w:ascii="Gill Sans MT" w:eastAsia="Times New Roman" w:hAnsi="Gill Sans MT" w:cs="Gill Sans"/>
              <w:bCs/>
              <w:sz w:val="22"/>
              <w:szCs w:val="22"/>
              <w:lang w:eastAsia="en-AU"/>
            </w:rPr>
            <w:fldChar w:fldCharType="separate"/>
          </w:r>
          <w:r w:rsidR="00355CA9" w:rsidRPr="00355CA9">
            <w:rPr>
              <w:rFonts w:ascii="Gill Sans MT" w:eastAsia="Times New Roman" w:hAnsi="Gill Sans MT" w:cs="Gill Sans"/>
              <w:noProof/>
              <w:sz w:val="22"/>
              <w:szCs w:val="22"/>
              <w:lang w:eastAsia="en-AU"/>
            </w:rPr>
            <w:t>(DHHS-PPP-MRA, 2015)</w:t>
          </w:r>
          <w:r w:rsidR="006A25E9">
            <w:rPr>
              <w:rFonts w:ascii="Gill Sans MT" w:eastAsia="Times New Roman" w:hAnsi="Gill Sans MT" w:cs="Gill Sans"/>
              <w:bCs/>
              <w:sz w:val="22"/>
              <w:szCs w:val="22"/>
              <w:lang w:eastAsia="en-AU"/>
            </w:rPr>
            <w:fldChar w:fldCharType="end"/>
          </w:r>
        </w:sdtContent>
      </w:sdt>
      <w:r w:rsidR="00180B1A">
        <w:rPr>
          <w:rFonts w:ascii="Gill Sans MT" w:eastAsia="Times New Roman" w:hAnsi="Gill Sans MT" w:cs="Gill Sans"/>
          <w:bCs/>
          <w:sz w:val="22"/>
          <w:szCs w:val="22"/>
          <w:lang w:eastAsia="en-AU"/>
        </w:rPr>
        <w:t xml:space="preserve"> as </w:t>
      </w:r>
      <w:r w:rsidR="00B9203B">
        <w:rPr>
          <w:rFonts w:ascii="Gill Sans MT" w:eastAsia="Times New Roman" w:hAnsi="Gill Sans MT" w:cs="Gill Sans"/>
          <w:bCs/>
          <w:sz w:val="22"/>
          <w:szCs w:val="22"/>
          <w:lang w:eastAsia="en-AU"/>
        </w:rPr>
        <w:t>illustrated</w:t>
      </w:r>
      <w:r w:rsidR="00180B1A">
        <w:rPr>
          <w:rFonts w:ascii="Gill Sans MT" w:eastAsia="Times New Roman" w:hAnsi="Gill Sans MT" w:cs="Gill Sans"/>
          <w:bCs/>
          <w:sz w:val="22"/>
          <w:szCs w:val="22"/>
          <w:lang w:eastAsia="en-AU"/>
        </w:rPr>
        <w:t xml:space="preserve"> in the three graphs below:</w:t>
      </w:r>
    </w:p>
    <w:p w:rsidR="00324F6C" w:rsidRDefault="00324F6C" w:rsidP="00084864">
      <w:pPr>
        <w:pStyle w:val="Default"/>
        <w:rPr>
          <w:rFonts w:ascii="Gill Sans MT" w:eastAsia="Times New Roman" w:hAnsi="Gill Sans MT" w:cs="Gill Sans"/>
          <w:bCs/>
          <w:sz w:val="22"/>
          <w:szCs w:val="22"/>
          <w:lang w:eastAsia="en-AU"/>
        </w:rPr>
      </w:pPr>
    </w:p>
    <w:p w:rsidR="00D77124" w:rsidRDefault="00324F6C" w:rsidP="004D294A">
      <w:pPr>
        <w:pStyle w:val="Default"/>
        <w:jc w:val="center"/>
        <w:rPr>
          <w:rFonts w:ascii="Gill Sans MT" w:eastAsia="Times New Roman" w:hAnsi="Gill Sans MT" w:cs="Gill Sans"/>
          <w:bCs/>
          <w:sz w:val="22"/>
          <w:szCs w:val="22"/>
          <w:lang w:eastAsia="en-AU"/>
        </w:rPr>
      </w:pPr>
      <w:r>
        <w:rPr>
          <w:rFonts w:ascii="Gill Sans MT" w:eastAsia="Times New Roman" w:hAnsi="Gill Sans MT" w:cs="Gill Sans"/>
          <w:bCs/>
          <w:noProof/>
          <w:sz w:val="22"/>
          <w:szCs w:val="22"/>
          <w:lang w:eastAsia="en-AU"/>
        </w:rPr>
        <w:drawing>
          <wp:inline distT="0" distB="0" distL="0" distR="0" wp14:anchorId="59B9658A" wp14:editId="1D393274">
            <wp:extent cx="3590925" cy="1989093"/>
            <wp:effectExtent l="0" t="0" r="0" b="0"/>
            <wp:docPr id="24" name="Picture 24" descr="Refer Health Planning Unit for further information" title="Graph comorbidities vs complica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t="9137"/>
                    <a:stretch/>
                  </pic:blipFill>
                  <pic:spPr bwMode="auto">
                    <a:xfrm>
                      <a:off x="0" y="0"/>
                      <a:ext cx="3595897" cy="1991847"/>
                    </a:xfrm>
                    <a:prstGeom prst="rect">
                      <a:avLst/>
                    </a:prstGeom>
                    <a:noFill/>
                    <a:ln>
                      <a:noFill/>
                    </a:ln>
                    <a:extLst>
                      <a:ext uri="{53640926-AAD7-44D8-BBD7-CCE9431645EC}">
                        <a14:shadowObscured xmlns:a14="http://schemas.microsoft.com/office/drawing/2010/main"/>
                      </a:ext>
                    </a:extLst>
                  </pic:spPr>
                </pic:pic>
              </a:graphicData>
            </a:graphic>
          </wp:inline>
        </w:drawing>
      </w:r>
    </w:p>
    <w:p w:rsidR="00436F24" w:rsidRDefault="00436F24" w:rsidP="004C4EF6">
      <w:pPr>
        <w:pStyle w:val="Default"/>
        <w:ind w:left="2880" w:firstLine="720"/>
        <w:rPr>
          <w:rFonts w:ascii="Gill Sans MT" w:eastAsia="Times New Roman" w:hAnsi="Gill Sans MT" w:cs="Gill Sans"/>
          <w:bCs/>
          <w:sz w:val="22"/>
          <w:szCs w:val="22"/>
          <w:lang w:eastAsia="en-AU"/>
        </w:rPr>
      </w:pPr>
      <w:r>
        <w:rPr>
          <w:rFonts w:ascii="Gill Sans MT" w:eastAsia="Times New Roman" w:hAnsi="Gill Sans MT" w:cs="Gill Sans"/>
          <w:bCs/>
          <w:sz w:val="22"/>
          <w:szCs w:val="22"/>
          <w:lang w:eastAsia="en-AU"/>
        </w:rPr>
        <w:t>Comorbidities vs Complications</w:t>
      </w:r>
    </w:p>
    <w:p w:rsidR="00324F6C" w:rsidRDefault="00396BAE" w:rsidP="00324F6C">
      <w:pPr>
        <w:pStyle w:val="Default"/>
        <w:jc w:val="center"/>
        <w:rPr>
          <w:rFonts w:ascii="Gill Sans MT" w:eastAsia="Times New Roman" w:hAnsi="Gill Sans MT" w:cs="Gill Sans"/>
          <w:bCs/>
          <w:sz w:val="22"/>
          <w:szCs w:val="22"/>
          <w:lang w:eastAsia="en-AU"/>
        </w:rPr>
      </w:pPr>
      <w:r>
        <w:rPr>
          <w:rFonts w:ascii="Gill Sans MT" w:eastAsia="Times New Roman" w:hAnsi="Gill Sans MT" w:cs="Gill Sans"/>
          <w:bCs/>
          <w:noProof/>
          <w:sz w:val="22"/>
          <w:szCs w:val="22"/>
          <w:lang w:eastAsia="en-AU"/>
        </w:rPr>
        <w:drawing>
          <wp:inline distT="0" distB="0" distL="0" distR="0" wp14:anchorId="53F3BF24" wp14:editId="3D3AF112">
            <wp:extent cx="3505200" cy="2213235"/>
            <wp:effectExtent l="0" t="0" r="0" b="0"/>
            <wp:docPr id="26" name="Picture 26" descr="Refer Health Planning Unit for further information" title="Graph comorbidities vs complica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9536" cy="2228601"/>
                    </a:xfrm>
                    <a:prstGeom prst="rect">
                      <a:avLst/>
                    </a:prstGeom>
                    <a:noFill/>
                  </pic:spPr>
                </pic:pic>
              </a:graphicData>
            </a:graphic>
          </wp:inline>
        </w:drawing>
      </w:r>
    </w:p>
    <w:p w:rsidR="00436F24" w:rsidRDefault="00436F24" w:rsidP="004C4EF6">
      <w:pPr>
        <w:pStyle w:val="Default"/>
        <w:ind w:left="2880" w:firstLine="720"/>
        <w:jc w:val="both"/>
        <w:rPr>
          <w:rFonts w:ascii="Gill Sans MT" w:eastAsia="Times New Roman" w:hAnsi="Gill Sans MT" w:cs="Gill Sans"/>
          <w:bCs/>
          <w:sz w:val="22"/>
          <w:szCs w:val="22"/>
          <w:lang w:eastAsia="en-AU"/>
        </w:rPr>
      </w:pPr>
      <w:r>
        <w:rPr>
          <w:rFonts w:ascii="Gill Sans MT" w:eastAsia="Times New Roman" w:hAnsi="Gill Sans MT" w:cs="Gill Sans"/>
          <w:bCs/>
          <w:sz w:val="22"/>
          <w:szCs w:val="22"/>
          <w:lang w:eastAsia="en-AU"/>
        </w:rPr>
        <w:t>Comorbidities vs Mortality</w:t>
      </w:r>
    </w:p>
    <w:p w:rsidR="006A2A31" w:rsidRDefault="006A2A31" w:rsidP="009F1B4A">
      <w:pPr>
        <w:pStyle w:val="Default"/>
        <w:rPr>
          <w:rFonts w:ascii="Gill Sans MT" w:eastAsia="Times New Roman" w:hAnsi="Gill Sans MT" w:cs="Gill Sans"/>
          <w:bCs/>
          <w:sz w:val="22"/>
          <w:szCs w:val="22"/>
          <w:lang w:eastAsia="en-AU"/>
        </w:rPr>
      </w:pPr>
    </w:p>
    <w:p w:rsidR="009F1B4A" w:rsidRDefault="009F1B4A" w:rsidP="009F1B4A">
      <w:pPr>
        <w:pStyle w:val="Default"/>
        <w:jc w:val="center"/>
        <w:rPr>
          <w:rFonts w:ascii="Gill Sans MT" w:eastAsia="Times New Roman" w:hAnsi="Gill Sans MT" w:cs="Gill Sans"/>
          <w:bCs/>
          <w:sz w:val="22"/>
          <w:szCs w:val="22"/>
          <w:lang w:eastAsia="en-AU"/>
        </w:rPr>
      </w:pPr>
      <w:r>
        <w:rPr>
          <w:rFonts w:ascii="Gill Sans MT" w:eastAsia="Times New Roman" w:hAnsi="Gill Sans MT" w:cs="Gill Sans"/>
          <w:bCs/>
          <w:noProof/>
          <w:sz w:val="22"/>
          <w:szCs w:val="22"/>
          <w:lang w:eastAsia="en-AU"/>
        </w:rPr>
        <w:drawing>
          <wp:inline distT="0" distB="0" distL="0" distR="0" wp14:anchorId="269321A8" wp14:editId="2B08D2B3">
            <wp:extent cx="3409950" cy="2023885"/>
            <wp:effectExtent l="0" t="0" r="0" b="0"/>
            <wp:docPr id="27" name="Picture 27" descr="Refer Health Planning Unit for further information" title="Graph comorbidities vs co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6525" cy="2027787"/>
                    </a:xfrm>
                    <a:prstGeom prst="rect">
                      <a:avLst/>
                    </a:prstGeom>
                    <a:noFill/>
                  </pic:spPr>
                </pic:pic>
              </a:graphicData>
            </a:graphic>
          </wp:inline>
        </w:drawing>
      </w:r>
    </w:p>
    <w:p w:rsidR="00436F24" w:rsidRDefault="00436F24" w:rsidP="004C4EF6">
      <w:pPr>
        <w:pStyle w:val="Default"/>
        <w:ind w:left="2880" w:firstLine="720"/>
        <w:jc w:val="both"/>
        <w:rPr>
          <w:rFonts w:ascii="Gill Sans MT" w:eastAsia="Times New Roman" w:hAnsi="Gill Sans MT" w:cs="Gill Sans"/>
          <w:bCs/>
          <w:sz w:val="22"/>
          <w:szCs w:val="22"/>
          <w:lang w:eastAsia="en-AU"/>
        </w:rPr>
      </w:pPr>
      <w:r>
        <w:rPr>
          <w:rFonts w:ascii="Gill Sans MT" w:eastAsia="Times New Roman" w:hAnsi="Gill Sans MT" w:cs="Gill Sans"/>
          <w:bCs/>
          <w:sz w:val="22"/>
          <w:szCs w:val="22"/>
          <w:lang w:eastAsia="en-AU"/>
        </w:rPr>
        <w:t>Comorbidities vs Cost</w:t>
      </w:r>
    </w:p>
    <w:p w:rsidR="00084864" w:rsidRPr="00084864" w:rsidRDefault="00084864" w:rsidP="00084864">
      <w:pPr>
        <w:pStyle w:val="Default"/>
        <w:rPr>
          <w:rFonts w:ascii="Gill Sans MT" w:eastAsia="Times New Roman" w:hAnsi="Gill Sans MT" w:cs="Gill Sans"/>
          <w:bCs/>
          <w:sz w:val="22"/>
          <w:szCs w:val="22"/>
          <w:lang w:eastAsia="en-AU"/>
        </w:rPr>
      </w:pPr>
    </w:p>
    <w:p w:rsidR="00281AC2" w:rsidRDefault="00281AC2" w:rsidP="00281AC2">
      <w:pPr>
        <w:jc w:val="both"/>
      </w:pPr>
      <w:r w:rsidRPr="00084864">
        <w:rPr>
          <w:rFonts w:cs="Gill Sans"/>
          <w:bCs/>
          <w:color w:val="000000"/>
          <w:lang w:eastAsia="en-AU"/>
        </w:rPr>
        <w:t>Multi</w:t>
      </w:r>
      <w:r w:rsidR="002843C3">
        <w:rPr>
          <w:rFonts w:cs="Gill Sans"/>
          <w:bCs/>
          <w:color w:val="000000"/>
          <w:lang w:val="en-US" w:eastAsia="en-AU"/>
        </w:rPr>
        <w:t>-</w:t>
      </w:r>
      <w:r w:rsidRPr="00084864">
        <w:rPr>
          <w:rFonts w:cs="Gill Sans"/>
          <w:bCs/>
          <w:color w:val="000000"/>
          <w:lang w:eastAsia="en-AU"/>
        </w:rPr>
        <w:t>morbidity creates special challenges for health systems and the delivery of health care. People with multi-</w:t>
      </w:r>
      <w:r>
        <w:t xml:space="preserve">morbidity and complex healthcare needs often receive care that is fragmented, incomplete, inefficient and ineffective </w:t>
      </w:r>
      <w:sdt>
        <w:sdtPr>
          <w:id w:val="-1055158572"/>
          <w:citation/>
        </w:sdtPr>
        <w:sdtEndPr/>
        <w:sdtContent>
          <w:r>
            <w:fldChar w:fldCharType="begin"/>
          </w:r>
          <w:r>
            <w:instrText xml:space="preserve">CITATION CBo \l 3081 </w:instrText>
          </w:r>
          <w:r>
            <w:fldChar w:fldCharType="separate"/>
          </w:r>
          <w:r w:rsidR="00355CA9">
            <w:rPr>
              <w:noProof/>
            </w:rPr>
            <w:t>(Boyd, 2010)</w:t>
          </w:r>
          <w:r>
            <w:fldChar w:fldCharType="end"/>
          </w:r>
        </w:sdtContent>
      </w:sdt>
      <w:r w:rsidR="006F4322">
        <w:t>.</w:t>
      </w:r>
    </w:p>
    <w:p w:rsidR="0026595A" w:rsidRDefault="006C3A80" w:rsidP="006C3A80">
      <w:pPr>
        <w:pStyle w:val="Heading2numbered"/>
      </w:pPr>
      <w:bookmarkStart w:id="16" w:name="_Toc463254932"/>
      <w:bookmarkStart w:id="17" w:name="_Toc384388612"/>
      <w:r>
        <w:t>Sur</w:t>
      </w:r>
      <w:r w:rsidR="005D4BBB">
        <w:t>gery</w:t>
      </w:r>
      <w:r w:rsidR="00F53795">
        <w:t xml:space="preserve"> </w:t>
      </w:r>
      <w:r w:rsidR="0049607E">
        <w:t>(</w:t>
      </w:r>
      <w:r w:rsidR="00F53795">
        <w:t xml:space="preserve">Current </w:t>
      </w:r>
      <w:r w:rsidR="0049607E">
        <w:t>&amp;</w:t>
      </w:r>
      <w:r w:rsidR="00F53795">
        <w:t xml:space="preserve"> Future</w:t>
      </w:r>
      <w:r w:rsidR="0049607E">
        <w:t>)</w:t>
      </w:r>
      <w:bookmarkEnd w:id="16"/>
      <w:r w:rsidR="005D4BBB">
        <w:t xml:space="preserve"> </w:t>
      </w:r>
      <w:r>
        <w:t xml:space="preserve"> </w:t>
      </w:r>
    </w:p>
    <w:p w:rsidR="0026595A" w:rsidRPr="00457DA8" w:rsidRDefault="00D72869" w:rsidP="001C3670">
      <w:pPr>
        <w:pStyle w:val="Heading7"/>
        <w:tabs>
          <w:tab w:val="clear" w:pos="1702"/>
          <w:tab w:val="num" w:pos="851"/>
        </w:tabs>
        <w:spacing w:after="0" w:line="240" w:lineRule="auto"/>
        <w:ind w:left="1701" w:hanging="1701"/>
      </w:pPr>
      <w:r>
        <w:t xml:space="preserve">Elective </w:t>
      </w:r>
      <w:r w:rsidR="0026595A" w:rsidRPr="00457DA8">
        <w:t>Surgery</w:t>
      </w:r>
      <w:r w:rsidR="0026595A">
        <w:t xml:space="preserve"> </w:t>
      </w:r>
      <w:r w:rsidR="005D4BBB">
        <w:t>Priorit</w:t>
      </w:r>
      <w:r w:rsidR="00AD3D67">
        <w:t>ies</w:t>
      </w:r>
      <w:r w:rsidR="005D4BBB">
        <w:t xml:space="preserve"> </w:t>
      </w:r>
      <w:r w:rsidR="0049607E">
        <w:t>(</w:t>
      </w:r>
      <w:r w:rsidR="005D4BBB">
        <w:t>2017</w:t>
      </w:r>
      <w:r w:rsidR="0049607E">
        <w:t>-</w:t>
      </w:r>
      <w:r w:rsidR="005D4BBB">
        <w:t>18</w:t>
      </w:r>
      <w:r w:rsidR="0049607E">
        <w:t>)</w:t>
      </w:r>
    </w:p>
    <w:bookmarkEnd w:id="17"/>
    <w:p w:rsidR="008C7244" w:rsidRDefault="003F67A8" w:rsidP="00945B92">
      <w:pPr>
        <w:pStyle w:val="Heading4numbered"/>
      </w:pPr>
      <w:r>
        <w:t>Continued r</w:t>
      </w:r>
      <w:r w:rsidR="00945B92">
        <w:t>emoval of longest waiting patients from the ESWL</w:t>
      </w:r>
    </w:p>
    <w:p w:rsidR="00A33018" w:rsidRDefault="00A33018" w:rsidP="00366724">
      <w:pPr>
        <w:jc w:val="both"/>
      </w:pPr>
      <w:r>
        <w:t xml:space="preserve">Significant progress has been made to remove the longest waiting patients from the waiting list using both THAP and RHST funding. By the time the Service Agreement to which this </w:t>
      </w:r>
      <w:proofErr w:type="spellStart"/>
      <w:r>
        <w:t>SoPI</w:t>
      </w:r>
      <w:proofErr w:type="spellEnd"/>
      <w:r>
        <w:t xml:space="preserve"> refers</w:t>
      </w:r>
      <w:r w:rsidR="00E841C6" w:rsidRPr="00E841C6">
        <w:t xml:space="preserve"> </w:t>
      </w:r>
      <w:r w:rsidR="00E841C6">
        <w:t>is in place</w:t>
      </w:r>
      <w:r>
        <w:t xml:space="preserve">, THAP funding will have ceased. There will however be remaining RHST funding during the 2017-18 financial year to allow for continued targeting of the longest waiting patients on the ESWL. </w:t>
      </w:r>
    </w:p>
    <w:p w:rsidR="00A33018" w:rsidRPr="00F72AFF" w:rsidRDefault="00A33018" w:rsidP="00A2107F">
      <w:pPr>
        <w:jc w:val="both"/>
      </w:pPr>
      <w:r w:rsidRPr="00366724">
        <w:t>During 2017-18, the focus of elective surgery purchasing will therefore continue to be</w:t>
      </w:r>
      <w:r w:rsidR="00F72AFF">
        <w:rPr>
          <w:lang w:val="en-US"/>
        </w:rPr>
        <w:t xml:space="preserve"> </w:t>
      </w:r>
      <w:r w:rsidRPr="00F72AFF">
        <w:t>the elimination of over boundary waits and achievement of clinically recommended wait times through</w:t>
      </w:r>
      <w:r w:rsidR="00F72AFF">
        <w:rPr>
          <w:lang w:val="en-US"/>
        </w:rPr>
        <w:t xml:space="preserve"> </w:t>
      </w:r>
      <w:r w:rsidRPr="00F72AFF">
        <w:t>the successful implementation of Treat in Turn management of the waiting list.</w:t>
      </w:r>
    </w:p>
    <w:p w:rsidR="00945B92" w:rsidRDefault="00945B92" w:rsidP="003F67A8">
      <w:pPr>
        <w:pStyle w:val="Heading4numbered"/>
      </w:pPr>
      <w:r>
        <w:t>Stable waiting list</w:t>
      </w:r>
    </w:p>
    <w:p w:rsidR="00134EBE" w:rsidRDefault="00F72AFF" w:rsidP="00A913D9">
      <w:pPr>
        <w:rPr>
          <w:rFonts w:cstheme="minorHAnsi"/>
        </w:rPr>
      </w:pPr>
      <w:r>
        <w:rPr>
          <w:rFonts w:cstheme="minorHAnsi"/>
          <w:lang w:val="en-US"/>
        </w:rPr>
        <w:t>In the l</w:t>
      </w:r>
      <w:proofErr w:type="spellStart"/>
      <w:r w:rsidR="00904E35">
        <w:rPr>
          <w:rFonts w:cstheme="minorHAnsi"/>
        </w:rPr>
        <w:t>onger</w:t>
      </w:r>
      <w:proofErr w:type="spellEnd"/>
      <w:r w:rsidR="00904E35">
        <w:rPr>
          <w:rFonts w:cstheme="minorHAnsi"/>
        </w:rPr>
        <w:t xml:space="preserve"> term, i</w:t>
      </w:r>
      <w:r w:rsidR="00CD6839">
        <w:rPr>
          <w:rFonts w:cstheme="minorHAnsi"/>
        </w:rPr>
        <w:t>t is estimated that approximately</w:t>
      </w:r>
      <w:r w:rsidR="0087748B">
        <w:rPr>
          <w:rFonts w:cstheme="minorHAnsi"/>
        </w:rPr>
        <w:t xml:space="preserve"> 1350 elective surgery cases</w:t>
      </w:r>
      <w:r w:rsidR="00904E35">
        <w:rPr>
          <w:rFonts w:cstheme="minorHAnsi"/>
        </w:rPr>
        <w:t xml:space="preserve"> </w:t>
      </w:r>
      <w:r>
        <w:rPr>
          <w:rFonts w:cstheme="minorHAnsi"/>
          <w:lang w:val="en-US"/>
        </w:rPr>
        <w:t>will need to</w:t>
      </w:r>
      <w:r>
        <w:rPr>
          <w:rFonts w:cstheme="minorHAnsi"/>
        </w:rPr>
        <w:t xml:space="preserve"> </w:t>
      </w:r>
      <w:r w:rsidR="0087748B">
        <w:rPr>
          <w:rFonts w:cstheme="minorHAnsi"/>
        </w:rPr>
        <w:t>be performed pe</w:t>
      </w:r>
      <w:r w:rsidR="009C129E">
        <w:rPr>
          <w:rFonts w:cstheme="minorHAnsi"/>
        </w:rPr>
        <w:t>r month</w:t>
      </w:r>
      <w:sdt>
        <w:sdtPr>
          <w:rPr>
            <w:rFonts w:cstheme="minorHAnsi"/>
          </w:rPr>
          <w:id w:val="496008005"/>
          <w:citation/>
        </w:sdtPr>
        <w:sdtEndPr/>
        <w:sdtContent>
          <w:r w:rsidR="0087748B">
            <w:rPr>
              <w:rFonts w:cstheme="minorHAnsi"/>
            </w:rPr>
            <w:fldChar w:fldCharType="begin"/>
          </w:r>
          <w:r w:rsidR="00A33018">
            <w:rPr>
              <w:rFonts w:cstheme="minorHAnsi"/>
            </w:rPr>
            <w:instrText xml:space="preserve">CITATION Placeholder1 \l 3081 </w:instrText>
          </w:r>
          <w:r w:rsidR="0087748B">
            <w:rPr>
              <w:rFonts w:cstheme="minorHAnsi"/>
            </w:rPr>
            <w:fldChar w:fldCharType="separate"/>
          </w:r>
          <w:r w:rsidR="00355CA9">
            <w:rPr>
              <w:rFonts w:cstheme="minorHAnsi"/>
              <w:noProof/>
            </w:rPr>
            <w:t xml:space="preserve"> </w:t>
          </w:r>
          <w:r w:rsidR="00355CA9" w:rsidRPr="00355CA9">
            <w:rPr>
              <w:rFonts w:cstheme="minorHAnsi"/>
              <w:noProof/>
            </w:rPr>
            <w:t>(DHHS-PPP-MRA, 2015)</w:t>
          </w:r>
          <w:r w:rsidR="0087748B">
            <w:rPr>
              <w:rFonts w:cstheme="minorHAnsi"/>
            </w:rPr>
            <w:fldChar w:fldCharType="end"/>
          </w:r>
        </w:sdtContent>
      </w:sdt>
      <w:r w:rsidR="0087748B">
        <w:rPr>
          <w:rFonts w:cstheme="minorHAnsi"/>
        </w:rPr>
        <w:t xml:space="preserve"> </w:t>
      </w:r>
      <w:r w:rsidR="00891387">
        <w:rPr>
          <w:rFonts w:cstheme="minorHAnsi"/>
        </w:rPr>
        <w:t>(</w:t>
      </w:r>
      <w:r w:rsidR="0087748B">
        <w:rPr>
          <w:rFonts w:cstheme="minorHAnsi"/>
        </w:rPr>
        <w:t xml:space="preserve">see figure below) in order to maintain an acceptable baseline level of activity. </w:t>
      </w:r>
    </w:p>
    <w:p w:rsidR="00CD6839" w:rsidRDefault="00CD6839" w:rsidP="00CD6839">
      <w:pPr>
        <w:jc w:val="center"/>
      </w:pPr>
      <w:r>
        <w:rPr>
          <w:rFonts w:cstheme="minorHAnsi"/>
          <w:noProof/>
          <w:lang w:eastAsia="en-AU"/>
        </w:rPr>
        <w:drawing>
          <wp:inline distT="0" distB="0" distL="0" distR="0" wp14:anchorId="3111C354" wp14:editId="32A12779">
            <wp:extent cx="4381500" cy="2913268"/>
            <wp:effectExtent l="0" t="0" r="0" b="1905"/>
            <wp:docPr id="28" name="Picture 28" descr="Refer Health Planning Unit for further information" title="Graph net monthly change in wait li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4848" cy="2915494"/>
                    </a:xfrm>
                    <a:prstGeom prst="rect">
                      <a:avLst/>
                    </a:prstGeom>
                    <a:noFill/>
                  </pic:spPr>
                </pic:pic>
              </a:graphicData>
            </a:graphic>
          </wp:inline>
        </w:drawing>
      </w:r>
    </w:p>
    <w:p w:rsidR="00CD6839" w:rsidRDefault="0087748B" w:rsidP="0087748B">
      <w:pPr>
        <w:jc w:val="both"/>
      </w:pPr>
      <w:r>
        <w:rPr>
          <w:rFonts w:cstheme="minorHAnsi"/>
        </w:rPr>
        <w:t>This translates to 16 200 elective surgery cases</w:t>
      </w:r>
      <w:r w:rsidR="00CA6E16">
        <w:rPr>
          <w:rFonts w:cstheme="minorHAnsi"/>
          <w:lang w:val="en-US"/>
        </w:rPr>
        <w:t xml:space="preserve"> needing to</w:t>
      </w:r>
      <w:r>
        <w:rPr>
          <w:rFonts w:cstheme="minorHAnsi"/>
        </w:rPr>
        <w:t xml:space="preserve"> be performed across the state annually. Population growth will also need to be accounted for in the out years in order to maintain activity at baseline levels.</w:t>
      </w:r>
    </w:p>
    <w:p w:rsidR="00531B87" w:rsidRDefault="00531B87" w:rsidP="00531B87">
      <w:pPr>
        <w:pStyle w:val="Heading4numbered"/>
      </w:pPr>
      <w:r>
        <w:t>Treat in Turn</w:t>
      </w:r>
    </w:p>
    <w:p w:rsidR="00531B87" w:rsidRDefault="00531B87" w:rsidP="00600A32">
      <w:pPr>
        <w:jc w:val="both"/>
      </w:pPr>
      <w:r>
        <w:t xml:space="preserve">Treat in Turn rates </w:t>
      </w:r>
      <w:r w:rsidR="00014D86">
        <w:t xml:space="preserve">will be monitored </w:t>
      </w:r>
      <w:r>
        <w:t>as a KPI</w:t>
      </w:r>
      <w:r w:rsidR="00111B66">
        <w:rPr>
          <w:lang w:val="en-US"/>
        </w:rPr>
        <w:t>, in order</w:t>
      </w:r>
      <w:r w:rsidR="00591CBE">
        <w:t xml:space="preserve"> </w:t>
      </w:r>
      <w:r>
        <w:t xml:space="preserve">to ensure </w:t>
      </w:r>
      <w:r w:rsidR="00E2568B">
        <w:t xml:space="preserve">standardisation and </w:t>
      </w:r>
      <w:r>
        <w:t>fairness in the management of the ESWL.</w:t>
      </w:r>
      <w:r w:rsidR="00164833">
        <w:t xml:space="preserve"> It is expected that 60% of patients will be</w:t>
      </w:r>
      <w:r w:rsidR="00760DE6">
        <w:t xml:space="preserve"> </w:t>
      </w:r>
      <w:proofErr w:type="gramStart"/>
      <w:r w:rsidR="00164833">
        <w:t>Treated</w:t>
      </w:r>
      <w:proofErr w:type="gramEnd"/>
      <w:r w:rsidR="00164833">
        <w:t xml:space="preserve"> in Turn as per the National Definitions for Elective Surgery Urgency Categorisation </w:t>
      </w:r>
      <w:sdt>
        <w:sdtPr>
          <w:id w:val="-716891168"/>
          <w:citation/>
        </w:sdtPr>
        <w:sdtEndPr/>
        <w:sdtContent>
          <w:r w:rsidR="00164833">
            <w:fldChar w:fldCharType="begin"/>
          </w:r>
          <w:r w:rsidR="00164833">
            <w:instrText xml:space="preserve"> CITATION AIH12 \l 3081 </w:instrText>
          </w:r>
          <w:r w:rsidR="00164833">
            <w:fldChar w:fldCharType="separate"/>
          </w:r>
          <w:r w:rsidR="00355CA9">
            <w:rPr>
              <w:noProof/>
            </w:rPr>
            <w:t>(AIHW, 2012)</w:t>
          </w:r>
          <w:r w:rsidR="00164833">
            <w:fldChar w:fldCharType="end"/>
          </w:r>
        </w:sdtContent>
      </w:sdt>
      <w:r w:rsidR="00164833">
        <w:t xml:space="preserve">. </w:t>
      </w:r>
      <w:r>
        <w:t xml:space="preserve"> </w:t>
      </w:r>
    </w:p>
    <w:p w:rsidR="00531B87" w:rsidRDefault="00531B87" w:rsidP="00531B87">
      <w:pPr>
        <w:pStyle w:val="Heading4numbered"/>
      </w:pPr>
      <w:r>
        <w:t>Urgency Categorisation</w:t>
      </w:r>
    </w:p>
    <w:p w:rsidR="00531B87" w:rsidRDefault="00014D86" w:rsidP="00531B87">
      <w:pPr>
        <w:jc w:val="both"/>
      </w:pPr>
      <w:r>
        <w:t>Variation in practice with regards to the distribution of categorisation will be</w:t>
      </w:r>
      <w:r w:rsidR="00531B87">
        <w:t xml:space="preserve"> </w:t>
      </w:r>
      <w:r>
        <w:t xml:space="preserve">monitored by the Purchaser. </w:t>
      </w:r>
    </w:p>
    <w:p w:rsidR="006C3A80" w:rsidRPr="00D96A2C" w:rsidRDefault="00760DE6" w:rsidP="00FC036A">
      <w:pPr>
        <w:pStyle w:val="Heading7"/>
        <w:tabs>
          <w:tab w:val="clear" w:pos="1702"/>
        </w:tabs>
        <w:ind w:left="851"/>
      </w:pPr>
      <w:r>
        <w:t xml:space="preserve">Elective and Emergency </w:t>
      </w:r>
      <w:r w:rsidR="006C3A80">
        <w:t xml:space="preserve">Surgery </w:t>
      </w:r>
      <w:r>
        <w:t xml:space="preserve">Priorities </w:t>
      </w:r>
      <w:r w:rsidR="0049607E">
        <w:t>(</w:t>
      </w:r>
      <w:r w:rsidR="006C3A80">
        <w:rPr>
          <w:rStyle w:val="IntenseEmphasis"/>
        </w:rPr>
        <w:t>Future</w:t>
      </w:r>
      <w:r w:rsidR="0049607E">
        <w:rPr>
          <w:rStyle w:val="IntenseEmphasis"/>
        </w:rPr>
        <w:t>)</w:t>
      </w:r>
    </w:p>
    <w:p w:rsidR="00EA1811" w:rsidRPr="000418AC" w:rsidRDefault="00EA1811" w:rsidP="00EA1811">
      <w:pPr>
        <w:pStyle w:val="Heading8"/>
      </w:pPr>
      <w:r w:rsidRPr="000418AC">
        <w:t>Elective Surgery</w:t>
      </w:r>
    </w:p>
    <w:p w:rsidR="00EA1811" w:rsidRPr="00600A32" w:rsidRDefault="00AE7F5F" w:rsidP="00600A32">
      <w:pPr>
        <w:pStyle w:val="Heading8"/>
        <w:numPr>
          <w:ilvl w:val="0"/>
          <w:numId w:val="0"/>
        </w:numPr>
        <w:spacing w:before="0" w:after="140"/>
        <w:jc w:val="both"/>
        <w:rPr>
          <w:b w:val="0"/>
          <w:sz w:val="22"/>
        </w:rPr>
      </w:pPr>
      <w:r w:rsidRPr="00600A32">
        <w:rPr>
          <w:b w:val="0"/>
          <w:sz w:val="22"/>
        </w:rPr>
        <w:t xml:space="preserve">The Purchaser will </w:t>
      </w:r>
      <w:r w:rsidR="00111B66" w:rsidRPr="00600A32">
        <w:rPr>
          <w:b w:val="0"/>
          <w:sz w:val="22"/>
          <w:lang w:val="en-US"/>
        </w:rPr>
        <w:t>develop</w:t>
      </w:r>
      <w:r w:rsidRPr="00600A32">
        <w:rPr>
          <w:b w:val="0"/>
          <w:sz w:val="22"/>
        </w:rPr>
        <w:t xml:space="preserve"> a method (</w:t>
      </w:r>
      <w:r w:rsidR="00111B66" w:rsidRPr="00600A32">
        <w:rPr>
          <w:b w:val="0"/>
          <w:sz w:val="22"/>
          <w:lang w:val="en-US"/>
        </w:rPr>
        <w:t xml:space="preserve">in the </w:t>
      </w:r>
      <w:r w:rsidRPr="00600A32">
        <w:rPr>
          <w:b w:val="0"/>
          <w:sz w:val="22"/>
        </w:rPr>
        <w:t>2018</w:t>
      </w:r>
      <w:r w:rsidR="008351C3" w:rsidRPr="00600A32">
        <w:rPr>
          <w:b w:val="0"/>
          <w:sz w:val="22"/>
        </w:rPr>
        <w:t>-</w:t>
      </w:r>
      <w:r w:rsidRPr="00600A32">
        <w:rPr>
          <w:b w:val="0"/>
          <w:sz w:val="22"/>
        </w:rPr>
        <w:t xml:space="preserve">19 </w:t>
      </w:r>
      <w:proofErr w:type="spellStart"/>
      <w:r w:rsidRPr="00600A32">
        <w:rPr>
          <w:b w:val="0"/>
          <w:sz w:val="22"/>
        </w:rPr>
        <w:t>SoPI</w:t>
      </w:r>
      <w:proofErr w:type="spellEnd"/>
      <w:r w:rsidRPr="00600A32">
        <w:rPr>
          <w:b w:val="0"/>
          <w:sz w:val="22"/>
        </w:rPr>
        <w:t xml:space="preserve">) of purchasing Elective Surgery cases based on the case / procedural / case urgency mix within the ESWL. The expectation is that this will not only acknowledge the complexity profile of the ESWL but also assist </w:t>
      </w:r>
      <w:r w:rsidR="0055166F" w:rsidRPr="00600A32">
        <w:rPr>
          <w:b w:val="0"/>
          <w:sz w:val="22"/>
          <w:lang w:val="en-US"/>
        </w:rPr>
        <w:t xml:space="preserve">the </w:t>
      </w:r>
      <w:r w:rsidR="005F13D7" w:rsidRPr="00600A32">
        <w:rPr>
          <w:b w:val="0"/>
          <w:sz w:val="22"/>
        </w:rPr>
        <w:t>p</w:t>
      </w:r>
      <w:r w:rsidRPr="00600A32">
        <w:rPr>
          <w:b w:val="0"/>
          <w:sz w:val="22"/>
        </w:rPr>
        <w:t>rovider</w:t>
      </w:r>
      <w:r w:rsidR="0055166F" w:rsidRPr="00600A32">
        <w:rPr>
          <w:b w:val="0"/>
          <w:sz w:val="22"/>
          <w:lang w:val="en-US"/>
        </w:rPr>
        <w:t>(</w:t>
      </w:r>
      <w:r w:rsidRPr="00600A32">
        <w:rPr>
          <w:b w:val="0"/>
          <w:sz w:val="22"/>
        </w:rPr>
        <w:t>s</w:t>
      </w:r>
      <w:r w:rsidR="0055166F" w:rsidRPr="00600A32">
        <w:rPr>
          <w:b w:val="0"/>
          <w:sz w:val="22"/>
          <w:lang w:val="en-US"/>
        </w:rPr>
        <w:t xml:space="preserve">) to </w:t>
      </w:r>
      <w:r w:rsidRPr="00600A32">
        <w:rPr>
          <w:b w:val="0"/>
          <w:sz w:val="22"/>
        </w:rPr>
        <w:t>plan surgical activity</w:t>
      </w:r>
      <w:r w:rsidR="0055166F" w:rsidRPr="00600A32">
        <w:rPr>
          <w:b w:val="0"/>
          <w:sz w:val="22"/>
          <w:lang w:val="en-US"/>
        </w:rPr>
        <w:t>,</w:t>
      </w:r>
      <w:r w:rsidRPr="00600A32">
        <w:rPr>
          <w:b w:val="0"/>
          <w:sz w:val="22"/>
        </w:rPr>
        <w:t xml:space="preserve"> and further support greater fairness </w:t>
      </w:r>
      <w:r w:rsidR="0055166F" w:rsidRPr="00600A32">
        <w:rPr>
          <w:b w:val="0"/>
          <w:sz w:val="22"/>
          <w:lang w:val="en-US"/>
        </w:rPr>
        <w:t>for</w:t>
      </w:r>
      <w:r w:rsidRPr="00600A32">
        <w:rPr>
          <w:b w:val="0"/>
          <w:sz w:val="22"/>
        </w:rPr>
        <w:t xml:space="preserve"> those patients on the waitlist with regards to Treat in Turn.</w:t>
      </w:r>
    </w:p>
    <w:p w:rsidR="008B68A3" w:rsidRDefault="008B68A3" w:rsidP="00FC036A">
      <w:pPr>
        <w:pStyle w:val="Heading8"/>
      </w:pPr>
      <w:r w:rsidRPr="00457DA8">
        <w:t>Emergency Surgery</w:t>
      </w:r>
      <w:r>
        <w:t xml:space="preserve"> Volume</w:t>
      </w:r>
    </w:p>
    <w:p w:rsidR="008B68A3" w:rsidRPr="008B68A3" w:rsidRDefault="008B68A3" w:rsidP="00600A32">
      <w:pPr>
        <w:rPr>
          <w:lang w:eastAsia="en-AU"/>
        </w:rPr>
      </w:pPr>
      <w:r>
        <w:rPr>
          <w:lang w:eastAsia="en-AU"/>
        </w:rPr>
        <w:t>Specific case volumes of Emergency Surgery will be purchased</w:t>
      </w:r>
      <w:r w:rsidR="005F3EE3">
        <w:rPr>
          <w:lang w:eastAsia="en-AU"/>
        </w:rPr>
        <w:t xml:space="preserve"> in the 2017-18 </w:t>
      </w:r>
      <w:proofErr w:type="spellStart"/>
      <w:r w:rsidR="005F3EE3">
        <w:rPr>
          <w:lang w:eastAsia="en-AU"/>
        </w:rPr>
        <w:t>SoPI</w:t>
      </w:r>
      <w:proofErr w:type="spellEnd"/>
      <w:r w:rsidR="005F3EE3">
        <w:rPr>
          <w:lang w:eastAsia="en-AU"/>
        </w:rPr>
        <w:t>.</w:t>
      </w:r>
    </w:p>
    <w:p w:rsidR="008B68A3" w:rsidRPr="008B68A3" w:rsidRDefault="006C3A80" w:rsidP="008B68A3">
      <w:pPr>
        <w:pStyle w:val="Heading8"/>
      </w:pPr>
      <w:r w:rsidRPr="00457DA8">
        <w:t>Emergency Surgery</w:t>
      </w:r>
      <w:r w:rsidR="008B68A3">
        <w:t xml:space="preserve"> drivers</w:t>
      </w:r>
    </w:p>
    <w:p w:rsidR="00E64833" w:rsidRDefault="0063240F" w:rsidP="00600A32">
      <w:pPr>
        <w:jc w:val="both"/>
        <w:rPr>
          <w:rFonts w:cstheme="minorHAnsi"/>
        </w:rPr>
      </w:pPr>
      <w:r>
        <w:rPr>
          <w:rFonts w:cstheme="minorHAnsi"/>
        </w:rPr>
        <w:t>A clear understanding of the drivers of Emergency Surgery needs to be gained</w:t>
      </w:r>
      <w:r w:rsidR="00E43977">
        <w:rPr>
          <w:rFonts w:cstheme="minorHAnsi"/>
          <w:lang w:val="en-US"/>
        </w:rPr>
        <w:t>, particularly as to</w:t>
      </w:r>
      <w:r>
        <w:rPr>
          <w:rFonts w:cstheme="minorHAnsi"/>
        </w:rPr>
        <w:t xml:space="preserve"> which specialties are driving the need for Emergency Surgery.</w:t>
      </w:r>
      <w:r w:rsidR="008B68A3">
        <w:rPr>
          <w:rFonts w:cstheme="minorHAnsi"/>
        </w:rPr>
        <w:t xml:space="preserve"> </w:t>
      </w:r>
    </w:p>
    <w:p w:rsidR="00CA0A9F" w:rsidRDefault="00CA0A9F">
      <w:pPr>
        <w:tabs>
          <w:tab w:val="clear" w:pos="567"/>
        </w:tabs>
        <w:spacing w:after="0" w:line="240" w:lineRule="auto"/>
        <w:rPr>
          <w:rFonts w:cstheme="minorHAnsi"/>
        </w:rPr>
      </w:pPr>
      <w:r>
        <w:rPr>
          <w:rFonts w:cstheme="minorHAnsi"/>
        </w:rPr>
        <w:br w:type="page"/>
      </w:r>
    </w:p>
    <w:p w:rsidR="00740598" w:rsidRDefault="00E82BE6" w:rsidP="00740598">
      <w:pPr>
        <w:pStyle w:val="Heading2numbered"/>
      </w:pPr>
      <w:bookmarkStart w:id="18" w:name="_Toc463254933"/>
      <w:r>
        <w:t xml:space="preserve">Primary and Community </w:t>
      </w:r>
      <w:r w:rsidR="00740598">
        <w:t>Sector Purchasing</w:t>
      </w:r>
      <w:r w:rsidR="00635C0D">
        <w:t xml:space="preserve"> </w:t>
      </w:r>
      <w:r w:rsidR="0049607E">
        <w:t>(</w:t>
      </w:r>
      <w:r w:rsidR="00635C0D">
        <w:t>Future</w:t>
      </w:r>
      <w:r w:rsidR="0049607E">
        <w:t>)</w:t>
      </w:r>
      <w:bookmarkEnd w:id="18"/>
    </w:p>
    <w:p w:rsidR="00FC036A" w:rsidRPr="00D01B32" w:rsidRDefault="00FC036A" w:rsidP="002E2DA8">
      <w:pPr>
        <w:jc w:val="both"/>
      </w:pPr>
      <w:r w:rsidRPr="00D01B32">
        <w:t xml:space="preserve">Health services provided in the </w:t>
      </w:r>
      <w:r w:rsidR="00C025C9">
        <w:t xml:space="preserve">primary and </w:t>
      </w:r>
      <w:r w:rsidRPr="00D01B32">
        <w:t xml:space="preserve">community </w:t>
      </w:r>
      <w:r w:rsidR="00C025C9">
        <w:t>sector</w:t>
      </w:r>
      <w:r w:rsidR="008E3540">
        <w:rPr>
          <w:lang w:val="en-US"/>
        </w:rPr>
        <w:t>s</w:t>
      </w:r>
      <w:r w:rsidR="00C025C9">
        <w:t xml:space="preserve"> </w:t>
      </w:r>
      <w:r w:rsidRPr="00D01B32">
        <w:t xml:space="preserve">are essential </w:t>
      </w:r>
      <w:r w:rsidR="008E3540">
        <w:rPr>
          <w:lang w:val="en-US"/>
        </w:rPr>
        <w:t>to</w:t>
      </w:r>
      <w:r w:rsidRPr="00D01B32">
        <w:t xml:space="preserve"> health care delivery in Tasmania. These services assist the well to remain so, prevent acute events, and, where possible, avoid </w:t>
      </w:r>
      <w:r w:rsidR="008E3540">
        <w:rPr>
          <w:lang w:val="en-US"/>
        </w:rPr>
        <w:t xml:space="preserve">or mitigate </w:t>
      </w:r>
      <w:r w:rsidRPr="00D01B32">
        <w:t xml:space="preserve">chronic health conditions. </w:t>
      </w:r>
    </w:p>
    <w:p w:rsidR="006E2414" w:rsidRDefault="003D2205" w:rsidP="002E2DA8">
      <w:pPr>
        <w:tabs>
          <w:tab w:val="clear" w:pos="567"/>
        </w:tabs>
        <w:autoSpaceDE w:val="0"/>
        <w:autoSpaceDN w:val="0"/>
        <w:adjustRightInd w:val="0"/>
        <w:jc w:val="both"/>
        <w:rPr>
          <w:rFonts w:cs="Gill Sans MT"/>
          <w:color w:val="000000"/>
          <w:lang w:eastAsia="en-AU"/>
        </w:rPr>
      </w:pPr>
      <w:r>
        <w:rPr>
          <w:lang w:val="en-US"/>
        </w:rPr>
        <w:t>L</w:t>
      </w:r>
      <w:proofErr w:type="spellStart"/>
      <w:r w:rsidR="006E2414" w:rsidRPr="00D01B32">
        <w:t>ack</w:t>
      </w:r>
      <w:proofErr w:type="spellEnd"/>
      <w:r w:rsidR="006E2414" w:rsidRPr="00D01B32">
        <w:t xml:space="preserve"> of integration between acute care and the primary and community sector</w:t>
      </w:r>
      <w:r>
        <w:rPr>
          <w:lang w:val="en-US"/>
        </w:rPr>
        <w:t>s</w:t>
      </w:r>
      <w:r w:rsidR="006E2414" w:rsidRPr="00D01B32">
        <w:t xml:space="preserve"> lead</w:t>
      </w:r>
      <w:r w:rsidR="00A40C25">
        <w:rPr>
          <w:lang w:val="en-US"/>
        </w:rPr>
        <w:t>s</w:t>
      </w:r>
      <w:r w:rsidR="006E2414" w:rsidRPr="00D01B32">
        <w:t xml:space="preserve"> to duplication of services, impacting on the efficiency of the system.  System efficiency is optimal when the allocation of resources aligns with and meets the legitimate health needs of the population.  Continuity of care across the health system is important for patients, their families and carers</w:t>
      </w:r>
      <w:r w:rsidR="00773CC1">
        <w:rPr>
          <w:lang w:val="en-US"/>
        </w:rPr>
        <w:t>,</w:t>
      </w:r>
      <w:r w:rsidR="006E2414" w:rsidRPr="00D01B32">
        <w:t xml:space="preserve"> </w:t>
      </w:r>
      <w:r w:rsidR="00102BC7" w:rsidRPr="00D01B32">
        <w:t>and health</w:t>
      </w:r>
      <w:r w:rsidR="006E2414" w:rsidRPr="00D01B32">
        <w:t xml:space="preserve"> care providers.</w:t>
      </w:r>
      <w:r w:rsidR="006E2414">
        <w:t xml:space="preserve"> </w:t>
      </w:r>
      <w:r w:rsidR="006E2414" w:rsidRPr="006B3DE1">
        <w:rPr>
          <w:rFonts w:cs="Gill Sans MT"/>
          <w:color w:val="000000"/>
          <w:lang w:eastAsia="en-AU"/>
        </w:rPr>
        <w:t xml:space="preserve">It is increasingly recognised that community engagement in health prevention can also be highly influential in improving the overall health of communities and, by extension, the individuals within those communities. </w:t>
      </w:r>
    </w:p>
    <w:p w:rsidR="006E2414" w:rsidRPr="00D01B32" w:rsidRDefault="006E2414" w:rsidP="002E2DA8">
      <w:pPr>
        <w:jc w:val="both"/>
      </w:pPr>
      <w:r w:rsidRPr="00D01B32">
        <w:t>The Department has a responsibility to contribute to keeping Tasmanians healthy and out of hospital. In part, this is achieved through configuring the health system to provide better access to quality health care appropriate to individual needs</w:t>
      </w:r>
      <w:r w:rsidR="00977C18">
        <w:rPr>
          <w:lang w:val="en-US"/>
        </w:rPr>
        <w:t>,</w:t>
      </w:r>
      <w:r w:rsidRPr="00D01B32">
        <w:t xml:space="preserve"> and </w:t>
      </w:r>
      <w:r w:rsidR="00977C18">
        <w:rPr>
          <w:lang w:val="en-US"/>
        </w:rPr>
        <w:t>fostering</w:t>
      </w:r>
      <w:r w:rsidR="00977C18" w:rsidRPr="00D01B32">
        <w:t xml:space="preserve"> </w:t>
      </w:r>
      <w:r w:rsidRPr="00D01B32">
        <w:t xml:space="preserve">partnerships between the THS and service providers (Departmental, non-government and private sector). Partnering between GPs and other clinical providers is </w:t>
      </w:r>
      <w:r w:rsidR="00977C18">
        <w:rPr>
          <w:lang w:val="en-US"/>
        </w:rPr>
        <w:t>key to</w:t>
      </w:r>
      <w:r w:rsidRPr="00D01B32">
        <w:t xml:space="preserve"> the sustainability and effective operation of both the primary and acute care sectors. </w:t>
      </w:r>
    </w:p>
    <w:p w:rsidR="00484025" w:rsidRDefault="00FC036A" w:rsidP="002E2DA8">
      <w:pPr>
        <w:jc w:val="both"/>
      </w:pPr>
      <w:r w:rsidRPr="00D01B32">
        <w:t>The activities that occur in the primary</w:t>
      </w:r>
      <w:r w:rsidR="006A37D6">
        <w:t xml:space="preserve"> and </w:t>
      </w:r>
      <w:r w:rsidRPr="00D01B32">
        <w:t>community sector</w:t>
      </w:r>
      <w:r w:rsidR="00977C18">
        <w:rPr>
          <w:lang w:val="en-US"/>
        </w:rPr>
        <w:t>s</w:t>
      </w:r>
      <w:r w:rsidRPr="00D01B32">
        <w:t xml:space="preserve"> impact upon the kinds and levels of demand experienced by the acute sector, </w:t>
      </w:r>
      <w:r w:rsidR="00F038CB">
        <w:rPr>
          <w:lang w:val="en-US"/>
        </w:rPr>
        <w:t xml:space="preserve">and it is </w:t>
      </w:r>
      <w:r w:rsidRPr="00D01B32">
        <w:t>therefore important to understand and measure the needs of the community so that we can purchase the most appropriate services for the greatest positive effect.</w:t>
      </w:r>
    </w:p>
    <w:p w:rsidR="00FC036A" w:rsidRDefault="006E2414" w:rsidP="002E2DA8">
      <w:pPr>
        <w:jc w:val="both"/>
      </w:pPr>
      <w:r>
        <w:t xml:space="preserve">In order to enable a greater degree of sophistication in purchasing activity into the future, the lower complexity service levels 3, 2 and 1 of the Tasmanian Clinical Services Profile (TCSP) </w:t>
      </w:r>
      <w:r w:rsidR="00F038CB">
        <w:rPr>
          <w:lang w:val="en-US"/>
        </w:rPr>
        <w:t>should</w:t>
      </w:r>
      <w:r>
        <w:t xml:space="preserve"> be described and delineated. This will create the opportunity for the Department to be more sophisticated in its purchasing intent and to articulate the purchase of community and primary care based services. It will provide the option of shifting service provision, where appropria</w:t>
      </w:r>
      <w:r w:rsidR="00D14556">
        <w:t>t</w:t>
      </w:r>
      <w:r>
        <w:t>e, away from acute service centres towards community based care or even care in the home</w:t>
      </w:r>
      <w:r w:rsidR="004C0986">
        <w:t>.</w:t>
      </w:r>
      <w:r w:rsidR="00526688">
        <w:t xml:space="preserve"> </w:t>
      </w:r>
      <w:r w:rsidR="00FC036A" w:rsidRPr="00D01B32">
        <w:t xml:space="preserve"> </w:t>
      </w:r>
    </w:p>
    <w:p w:rsidR="00E42B7E" w:rsidRPr="008A674F" w:rsidRDefault="00722761" w:rsidP="00E42B7E">
      <w:pPr>
        <w:pStyle w:val="Heading2numbered"/>
        <w:rPr>
          <w:rStyle w:val="IntenseEmphasis"/>
        </w:rPr>
      </w:pPr>
      <w:bookmarkStart w:id="19" w:name="_Toc463254934"/>
      <w:r>
        <w:t>Consumer Engagement</w:t>
      </w:r>
      <w:r w:rsidR="0049607E">
        <w:t xml:space="preserve"> (</w:t>
      </w:r>
      <w:r w:rsidR="00635C0D">
        <w:t>Future</w:t>
      </w:r>
      <w:r w:rsidR="0049607E">
        <w:t>)</w:t>
      </w:r>
      <w:bookmarkEnd w:id="19"/>
    </w:p>
    <w:p w:rsidR="00645F91" w:rsidRPr="00645F91" w:rsidRDefault="00645F91" w:rsidP="002E2DA8">
      <w:pPr>
        <w:tabs>
          <w:tab w:val="clear" w:pos="567"/>
        </w:tabs>
        <w:autoSpaceDE w:val="0"/>
        <w:autoSpaceDN w:val="0"/>
        <w:adjustRightInd w:val="0"/>
        <w:ind w:right="6"/>
        <w:jc w:val="both"/>
        <w:rPr>
          <w:rFonts w:cs="GillSans Light"/>
          <w:color w:val="000000"/>
        </w:rPr>
      </w:pPr>
      <w:r w:rsidRPr="00645F91">
        <w:rPr>
          <w:rFonts w:cs="Arial"/>
          <w:color w:val="000000"/>
          <w:lang w:eastAsia="en-AU"/>
        </w:rPr>
        <w:t xml:space="preserve">The Department is committed to </w:t>
      </w:r>
      <w:r w:rsidR="003C52AD">
        <w:rPr>
          <w:rFonts w:cs="Arial"/>
          <w:color w:val="000000"/>
          <w:lang w:eastAsia="en-AU"/>
        </w:rPr>
        <w:t>s</w:t>
      </w:r>
      <w:r w:rsidRPr="00645F91">
        <w:rPr>
          <w:rFonts w:cs="Arial"/>
          <w:color w:val="000000"/>
          <w:lang w:eastAsia="en-AU"/>
        </w:rPr>
        <w:t xml:space="preserve">trengthening </w:t>
      </w:r>
      <w:r w:rsidR="00954ED0">
        <w:rPr>
          <w:rFonts w:cs="Arial"/>
          <w:color w:val="000000"/>
          <w:lang w:val="en-US" w:eastAsia="en-AU"/>
        </w:rPr>
        <w:t xml:space="preserve">the </w:t>
      </w:r>
      <w:r w:rsidRPr="00645F91">
        <w:rPr>
          <w:rFonts w:cs="Arial"/>
          <w:color w:val="000000"/>
          <w:lang w:eastAsia="en-AU"/>
        </w:rPr>
        <w:t xml:space="preserve">participation of consumers, carers and the community in healthcare planning, design, development, service delivery, </w:t>
      </w:r>
      <w:r w:rsidR="00515A26" w:rsidRPr="00645F91">
        <w:rPr>
          <w:rFonts w:cs="Arial"/>
          <w:color w:val="000000"/>
          <w:lang w:eastAsia="en-AU"/>
        </w:rPr>
        <w:t xml:space="preserve">research, </w:t>
      </w:r>
      <w:r w:rsidRPr="00645F91">
        <w:rPr>
          <w:rFonts w:cs="Arial"/>
          <w:color w:val="000000"/>
          <w:lang w:eastAsia="en-AU"/>
        </w:rPr>
        <w:t>monitoring and evaluation</w:t>
      </w:r>
      <w:r w:rsidR="00954ED0">
        <w:rPr>
          <w:rFonts w:cs="Arial"/>
          <w:color w:val="000000"/>
          <w:lang w:val="en-US" w:eastAsia="en-AU"/>
        </w:rPr>
        <w:t>, in order</w:t>
      </w:r>
      <w:r w:rsidR="008D043F" w:rsidRPr="00645F91">
        <w:rPr>
          <w:rFonts w:cs="Arial"/>
          <w:color w:val="000000"/>
          <w:lang w:eastAsia="en-AU"/>
        </w:rPr>
        <w:t xml:space="preserve"> to ensure a healthcare system that involves T</w:t>
      </w:r>
      <w:r w:rsidR="008D043F">
        <w:rPr>
          <w:rFonts w:cs="Arial"/>
          <w:color w:val="000000"/>
          <w:lang w:eastAsia="en-AU"/>
        </w:rPr>
        <w:t>asmanians</w:t>
      </w:r>
      <w:r w:rsidR="008D043F" w:rsidRPr="00645F91">
        <w:rPr>
          <w:rFonts w:cs="Arial"/>
          <w:color w:val="000000"/>
          <w:lang w:eastAsia="en-AU"/>
        </w:rPr>
        <w:t xml:space="preserve"> as active partners in </w:t>
      </w:r>
      <w:r w:rsidR="00954ED0">
        <w:rPr>
          <w:rFonts w:cs="Arial"/>
          <w:color w:val="000000"/>
          <w:lang w:val="en-US" w:eastAsia="en-AU"/>
        </w:rPr>
        <w:t>building a</w:t>
      </w:r>
      <w:r w:rsidR="008D043F" w:rsidRPr="00645F91">
        <w:rPr>
          <w:rFonts w:cs="Arial"/>
          <w:color w:val="000000"/>
          <w:lang w:eastAsia="en-AU"/>
        </w:rPr>
        <w:t xml:space="preserve"> healthy</w:t>
      </w:r>
      <w:r w:rsidR="00954ED0">
        <w:rPr>
          <w:rFonts w:cs="Arial"/>
          <w:color w:val="000000"/>
          <w:lang w:val="en-US" w:eastAsia="en-AU"/>
        </w:rPr>
        <w:t xml:space="preserve"> community</w:t>
      </w:r>
      <w:r w:rsidR="008D043F">
        <w:rPr>
          <w:rFonts w:cs="Arial"/>
          <w:color w:val="000000"/>
          <w:lang w:eastAsia="en-AU"/>
        </w:rPr>
        <w:t xml:space="preserve">. </w:t>
      </w:r>
    </w:p>
    <w:p w:rsidR="00FC036A" w:rsidRPr="006C5466" w:rsidRDefault="00FC036A" w:rsidP="002E2DA8">
      <w:pPr>
        <w:tabs>
          <w:tab w:val="clear" w:pos="567"/>
        </w:tabs>
        <w:autoSpaceDE w:val="0"/>
        <w:autoSpaceDN w:val="0"/>
        <w:adjustRightInd w:val="0"/>
        <w:jc w:val="both"/>
        <w:rPr>
          <w:rFonts w:cs="Gill Sans MT"/>
          <w:lang w:eastAsia="en-AU"/>
        </w:rPr>
      </w:pPr>
      <w:r>
        <w:rPr>
          <w:rFonts w:cs="GillSans Light"/>
          <w:color w:val="000000"/>
        </w:rPr>
        <w:t>C</w:t>
      </w:r>
      <w:r>
        <w:t xml:space="preserve">onsumer and community engagement practices will be developed further to ensure the </w:t>
      </w:r>
      <w:r w:rsidR="00882A92">
        <w:t xml:space="preserve">voices </w:t>
      </w:r>
      <w:r>
        <w:t xml:space="preserve">of the Tasmanian community are central to health service planning and health care decisions, </w:t>
      </w:r>
      <w:r>
        <w:rPr>
          <w:rFonts w:cs="Gill Sans MT"/>
          <w:color w:val="000000"/>
          <w:lang w:eastAsia="en-AU"/>
        </w:rPr>
        <w:t>and</w:t>
      </w:r>
      <w:r w:rsidRPr="006B3DE1">
        <w:rPr>
          <w:rFonts w:cs="Gill Sans MT"/>
          <w:color w:val="000000"/>
          <w:lang w:eastAsia="en-AU"/>
        </w:rPr>
        <w:t xml:space="preserve"> to better meet the </w:t>
      </w:r>
      <w:r w:rsidR="00882A92">
        <w:rPr>
          <w:rFonts w:cs="Gill Sans MT"/>
          <w:color w:val="000000"/>
          <w:lang w:eastAsia="en-AU"/>
        </w:rPr>
        <w:t>legitimate needs</w:t>
      </w:r>
      <w:r w:rsidRPr="006B3DE1">
        <w:rPr>
          <w:rFonts w:cs="Gill Sans MT"/>
          <w:color w:val="000000"/>
          <w:lang w:eastAsia="en-AU"/>
        </w:rPr>
        <w:t xml:space="preserve"> of the community</w:t>
      </w:r>
      <w:r w:rsidRPr="004656B9">
        <w:rPr>
          <w:rFonts w:cs="Gill Sans MT"/>
          <w:color w:val="000000"/>
          <w:lang w:eastAsia="en-AU"/>
        </w:rPr>
        <w:t xml:space="preserve">. </w:t>
      </w:r>
    </w:p>
    <w:p w:rsidR="00FB1D2E" w:rsidRDefault="009C0EF1" w:rsidP="002E2DA8">
      <w:pPr>
        <w:pStyle w:val="BulletedListLevel1"/>
        <w:numPr>
          <w:ilvl w:val="0"/>
          <w:numId w:val="0"/>
        </w:numPr>
        <w:jc w:val="both"/>
        <w:rPr>
          <w:szCs w:val="22"/>
        </w:rPr>
      </w:pPr>
      <w:r w:rsidRPr="004656B9">
        <w:rPr>
          <w:szCs w:val="22"/>
        </w:rPr>
        <w:t xml:space="preserve">In order to better support sector </w:t>
      </w:r>
      <w:r w:rsidR="004C0986" w:rsidRPr="004656B9">
        <w:rPr>
          <w:szCs w:val="22"/>
        </w:rPr>
        <w:t>purchasing and</w:t>
      </w:r>
      <w:r w:rsidRPr="004656B9">
        <w:rPr>
          <w:szCs w:val="22"/>
        </w:rPr>
        <w:t xml:space="preserve"> reform, the D</w:t>
      </w:r>
      <w:r w:rsidR="004C0986" w:rsidRPr="004656B9">
        <w:rPr>
          <w:szCs w:val="22"/>
        </w:rPr>
        <w:t>epartment</w:t>
      </w:r>
      <w:r w:rsidRPr="004656B9">
        <w:rPr>
          <w:szCs w:val="22"/>
        </w:rPr>
        <w:t xml:space="preserve"> </w:t>
      </w:r>
      <w:r w:rsidR="004C0986" w:rsidRPr="004656B9">
        <w:rPr>
          <w:szCs w:val="22"/>
        </w:rPr>
        <w:t xml:space="preserve">will take a greater lead in consumer engagement </w:t>
      </w:r>
      <w:r w:rsidR="00515AF1">
        <w:rPr>
          <w:szCs w:val="22"/>
        </w:rPr>
        <w:t>with the</w:t>
      </w:r>
      <w:r w:rsidR="004C0986" w:rsidRPr="004656B9">
        <w:rPr>
          <w:szCs w:val="22"/>
        </w:rPr>
        <w:t xml:space="preserve"> people of Tasmania, </w:t>
      </w:r>
      <w:r w:rsidR="00FB1D2E">
        <w:rPr>
          <w:szCs w:val="22"/>
        </w:rPr>
        <w:t xml:space="preserve">to share responsibility </w:t>
      </w:r>
      <w:r w:rsidR="006D0D95">
        <w:rPr>
          <w:szCs w:val="22"/>
        </w:rPr>
        <w:t xml:space="preserve">and </w:t>
      </w:r>
      <w:r w:rsidR="00FB1D2E">
        <w:rPr>
          <w:szCs w:val="22"/>
        </w:rPr>
        <w:t>recognis</w:t>
      </w:r>
      <w:r w:rsidR="006D0D95">
        <w:rPr>
          <w:szCs w:val="22"/>
        </w:rPr>
        <w:t>e</w:t>
      </w:r>
      <w:r w:rsidR="00FB1D2E">
        <w:rPr>
          <w:szCs w:val="22"/>
        </w:rPr>
        <w:t xml:space="preserve"> their role as joint decision mak</w:t>
      </w:r>
      <w:r w:rsidR="006D0D95">
        <w:rPr>
          <w:szCs w:val="22"/>
        </w:rPr>
        <w:t xml:space="preserve">ers </w:t>
      </w:r>
      <w:r w:rsidR="00C83E8F">
        <w:rPr>
          <w:szCs w:val="22"/>
        </w:rPr>
        <w:t>in service planning and delivery</w:t>
      </w:r>
      <w:r w:rsidR="005324CC">
        <w:rPr>
          <w:szCs w:val="22"/>
        </w:rPr>
        <w:t>,</w:t>
      </w:r>
      <w:r w:rsidR="00C83E8F">
        <w:rPr>
          <w:szCs w:val="22"/>
        </w:rPr>
        <w:t xml:space="preserve"> </w:t>
      </w:r>
      <w:r w:rsidR="006D0D95">
        <w:rPr>
          <w:szCs w:val="22"/>
        </w:rPr>
        <w:t>t</w:t>
      </w:r>
      <w:r w:rsidR="00FB1D2E">
        <w:rPr>
          <w:szCs w:val="22"/>
        </w:rPr>
        <w:t>o</w:t>
      </w:r>
      <w:r w:rsidR="006D0D95">
        <w:rPr>
          <w:szCs w:val="22"/>
        </w:rPr>
        <w:t xml:space="preserve"> improve</w:t>
      </w:r>
      <w:r w:rsidR="00FB1D2E">
        <w:rPr>
          <w:szCs w:val="22"/>
        </w:rPr>
        <w:t xml:space="preserve"> health outcomes</w:t>
      </w:r>
      <w:r w:rsidR="006D0D95">
        <w:rPr>
          <w:szCs w:val="22"/>
        </w:rPr>
        <w:t>.</w:t>
      </w:r>
      <w:r w:rsidR="00FB1D2E">
        <w:rPr>
          <w:szCs w:val="22"/>
        </w:rPr>
        <w:t xml:space="preserve"> </w:t>
      </w:r>
    </w:p>
    <w:p w:rsidR="009C0EF1" w:rsidRDefault="00645F91" w:rsidP="002E2DA8">
      <w:pPr>
        <w:jc w:val="both"/>
        <w:rPr>
          <w:rFonts w:cs="Arial"/>
        </w:rPr>
      </w:pPr>
      <w:r w:rsidRPr="004656B9">
        <w:rPr>
          <w:rFonts w:cs="Arial"/>
        </w:rPr>
        <w:t>To enhance the level of engagement it is essential to ensure that appropriate engagement measures are used</w:t>
      </w:r>
      <w:r w:rsidR="00464544">
        <w:rPr>
          <w:rFonts w:cs="Arial"/>
        </w:rPr>
        <w:t>.</w:t>
      </w:r>
      <w:r w:rsidR="009375E9">
        <w:rPr>
          <w:rFonts w:cs="Arial"/>
        </w:rPr>
        <w:t xml:space="preserve"> </w:t>
      </w:r>
      <w:r w:rsidR="00464544">
        <w:rPr>
          <w:rFonts w:cs="Arial"/>
        </w:rPr>
        <w:t>T</w:t>
      </w:r>
      <w:r w:rsidRPr="004656B9">
        <w:rPr>
          <w:rFonts w:cs="Arial"/>
        </w:rPr>
        <w:t xml:space="preserve">he below </w:t>
      </w:r>
      <w:r w:rsidR="00651E4B">
        <w:rPr>
          <w:rFonts w:cs="Arial"/>
        </w:rPr>
        <w:t>figure on the S</w:t>
      </w:r>
      <w:r w:rsidRPr="004656B9">
        <w:rPr>
          <w:rFonts w:cs="Arial"/>
        </w:rPr>
        <w:t xml:space="preserve">pectrum of </w:t>
      </w:r>
      <w:r w:rsidR="00651E4B">
        <w:rPr>
          <w:rFonts w:cs="Arial"/>
        </w:rPr>
        <w:t>S</w:t>
      </w:r>
      <w:r w:rsidRPr="004656B9">
        <w:rPr>
          <w:rFonts w:cs="Arial"/>
        </w:rPr>
        <w:t xml:space="preserve">takeholder </w:t>
      </w:r>
      <w:r w:rsidR="00651E4B">
        <w:rPr>
          <w:rFonts w:cs="Arial"/>
        </w:rPr>
        <w:t>E</w:t>
      </w:r>
      <w:r w:rsidRPr="004656B9">
        <w:rPr>
          <w:rFonts w:cs="Arial"/>
        </w:rPr>
        <w:t xml:space="preserve">ngagement </w:t>
      </w:r>
      <w:sdt>
        <w:sdtPr>
          <w:rPr>
            <w:rFonts w:cs="Arial"/>
          </w:rPr>
          <w:id w:val="138698001"/>
          <w:citation/>
        </w:sdtPr>
        <w:sdtEndPr/>
        <w:sdtContent>
          <w:r w:rsidR="00D47EC3">
            <w:rPr>
              <w:rFonts w:cs="Arial"/>
            </w:rPr>
            <w:fldChar w:fldCharType="begin"/>
          </w:r>
          <w:r w:rsidR="00D47EC3">
            <w:rPr>
              <w:rFonts w:cs="Arial"/>
            </w:rPr>
            <w:instrText xml:space="preserve">CITATION NTDoH15 \l 3081 </w:instrText>
          </w:r>
          <w:r w:rsidR="00D47EC3">
            <w:rPr>
              <w:rFonts w:cs="Arial"/>
            </w:rPr>
            <w:fldChar w:fldCharType="separate"/>
          </w:r>
          <w:r w:rsidR="00355CA9" w:rsidRPr="00355CA9">
            <w:rPr>
              <w:rFonts w:cs="Arial"/>
              <w:noProof/>
            </w:rPr>
            <w:t>(Health, 2015)</w:t>
          </w:r>
          <w:r w:rsidR="00D47EC3">
            <w:rPr>
              <w:rFonts w:cs="Arial"/>
            </w:rPr>
            <w:fldChar w:fldCharType="end"/>
          </w:r>
        </w:sdtContent>
      </w:sdt>
      <w:r w:rsidR="00F26E89">
        <w:rPr>
          <w:rFonts w:cs="Arial"/>
        </w:rPr>
        <w:t xml:space="preserve"> </w:t>
      </w:r>
      <w:r w:rsidRPr="004656B9">
        <w:rPr>
          <w:rFonts w:cs="Arial"/>
        </w:rPr>
        <w:t>outlines the five levels of engagement and provides guidance on which level would be to ensure the most meaningful engagement</w:t>
      </w:r>
      <w:r w:rsidR="00F26E89">
        <w:rPr>
          <w:rFonts w:cs="Arial"/>
        </w:rPr>
        <w:t xml:space="preserve"> in healthcare service planning</w:t>
      </w:r>
      <w:r w:rsidR="00CC12BB">
        <w:rPr>
          <w:rFonts w:cs="Arial"/>
        </w:rPr>
        <w:t xml:space="preserve"> and delivery</w:t>
      </w:r>
      <w:r w:rsidRPr="004656B9">
        <w:rPr>
          <w:rFonts w:cs="Arial"/>
        </w:rPr>
        <w:t>.</w:t>
      </w:r>
    </w:p>
    <w:p w:rsidR="00CA3EAA" w:rsidRPr="004656B9" w:rsidRDefault="00CA3EAA" w:rsidP="00A913D9">
      <w:pPr>
        <w:rPr>
          <w:rFonts w:cs="Arial"/>
        </w:rPr>
      </w:pPr>
    </w:p>
    <w:p w:rsidR="00645F91" w:rsidRDefault="00981913" w:rsidP="00800735">
      <w:pPr>
        <w:jc w:val="center"/>
      </w:pPr>
      <w:r w:rsidRPr="00981913">
        <w:rPr>
          <w:noProof/>
          <w:lang w:eastAsia="en-AU"/>
        </w:rPr>
        <w:t>4. Collaborate - participation</w:t>
      </w:r>
      <w:r w:rsidR="00CA3EAA">
        <w:rPr>
          <w:noProof/>
          <w:lang w:eastAsia="en-AU"/>
        </w:rPr>
        <w:drawing>
          <wp:inline distT="0" distB="0" distL="0" distR="0" wp14:anchorId="4B02EE0C" wp14:editId="530B698C">
            <wp:extent cx="5817213" cy="5153025"/>
            <wp:effectExtent l="0" t="0" r="0" b="0"/>
            <wp:docPr id="10" name="Picture 10" descr="Spectrum of Stakeholder Engagement (increasing levels of impact)&#10;1. Inform - information giving&#10;2. Consult - information seeking&#10;3. Involve - information sharing and joint planning&#10;4. Collaborate - participation&#10;5. Empower - leader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48662" cy="5180883"/>
                    </a:xfrm>
                    <a:prstGeom prst="rect">
                      <a:avLst/>
                    </a:prstGeom>
                  </pic:spPr>
                </pic:pic>
              </a:graphicData>
            </a:graphic>
          </wp:inline>
        </w:drawing>
      </w:r>
    </w:p>
    <w:p w:rsidR="00006E98" w:rsidRPr="004656B9" w:rsidRDefault="00006E98" w:rsidP="00A913D9">
      <w:pPr>
        <w:sectPr w:rsidR="00006E98" w:rsidRPr="004656B9" w:rsidSect="007637BB">
          <w:headerReference w:type="even" r:id="rId56"/>
          <w:headerReference w:type="default" r:id="rId57"/>
          <w:footerReference w:type="even" r:id="rId58"/>
          <w:footerReference w:type="default" r:id="rId59"/>
          <w:headerReference w:type="first" r:id="rId60"/>
          <w:footerReference w:type="first" r:id="rId61"/>
          <w:type w:val="continuous"/>
          <w:pgSz w:w="11907" w:h="16839" w:code="9"/>
          <w:pgMar w:top="567" w:right="851" w:bottom="851" w:left="1134" w:header="709" w:footer="709" w:gutter="0"/>
          <w:cols w:space="708"/>
          <w:docGrid w:linePitch="360"/>
        </w:sectPr>
      </w:pPr>
    </w:p>
    <w:p w:rsidR="000A1196" w:rsidRPr="00F51AB2" w:rsidRDefault="000A1196" w:rsidP="000A1196">
      <w:pPr>
        <w:pStyle w:val="Heading1numbered"/>
        <w:tabs>
          <w:tab w:val="clear" w:pos="1276"/>
        </w:tabs>
        <w:ind w:left="851"/>
      </w:pPr>
      <w:bookmarkStart w:id="20" w:name="_Toc463254935"/>
      <w:r>
        <w:t>Purchasing Actions 2017</w:t>
      </w:r>
      <w:r w:rsidR="0049607E">
        <w:t>-</w:t>
      </w:r>
      <w:r>
        <w:t>18</w:t>
      </w:r>
      <w:bookmarkEnd w:id="20"/>
    </w:p>
    <w:p w:rsidR="0078592E" w:rsidRDefault="0078592E" w:rsidP="0078592E">
      <w:pPr>
        <w:spacing w:line="240" w:lineRule="auto"/>
        <w:ind w:hanging="142"/>
        <w:rPr>
          <w:b/>
          <w:color w:val="1F497D" w:themeColor="text2"/>
          <w:sz w:val="32"/>
        </w:rPr>
      </w:pPr>
      <w:r>
        <w:rPr>
          <w:b/>
          <w:color w:val="1F497D" w:themeColor="text2"/>
          <w:sz w:val="32"/>
        </w:rPr>
        <w:t>Chronic Disease</w:t>
      </w:r>
    </w:p>
    <w:tbl>
      <w:tblPr>
        <w:tblStyle w:val="TableGrid"/>
        <w:tblW w:w="0" w:type="auto"/>
        <w:tblInd w:w="-34" w:type="dxa"/>
        <w:tblCellMar>
          <w:top w:w="113" w:type="dxa"/>
          <w:bottom w:w="113" w:type="dxa"/>
        </w:tblCellMar>
        <w:tblLook w:val="04A0" w:firstRow="1" w:lastRow="0" w:firstColumn="1" w:lastColumn="0" w:noHBand="0" w:noVBand="1"/>
        <w:tblCaption w:val="Purchasing Actions 2017-18 - Chronic Disease"/>
      </w:tblPr>
      <w:tblGrid>
        <w:gridCol w:w="1129"/>
        <w:gridCol w:w="874"/>
        <w:gridCol w:w="191"/>
        <w:gridCol w:w="1786"/>
        <w:gridCol w:w="10"/>
        <w:gridCol w:w="1940"/>
        <w:gridCol w:w="38"/>
        <w:gridCol w:w="1989"/>
        <w:gridCol w:w="47"/>
        <w:gridCol w:w="1942"/>
      </w:tblGrid>
      <w:tr w:rsidR="0078592E" w:rsidRPr="009D612A" w:rsidTr="00C70A4D">
        <w:trPr>
          <w:cantSplit/>
          <w:trHeight w:val="2470"/>
          <w:tblHeader/>
        </w:trPr>
        <w:tc>
          <w:tcPr>
            <w:tcW w:w="1134" w:type="dxa"/>
            <w:shd w:val="clear" w:color="auto" w:fill="1F497D" w:themeFill="text2"/>
            <w:vAlign w:val="center"/>
          </w:tcPr>
          <w:p w:rsidR="0078592E" w:rsidRPr="009D612A" w:rsidRDefault="0078592E" w:rsidP="00E9699C">
            <w:pPr>
              <w:jc w:val="center"/>
              <w:rPr>
                <w:b/>
              </w:rPr>
            </w:pPr>
            <w:r w:rsidRPr="009D612A">
              <w:rPr>
                <w:b/>
                <w:color w:val="FFFFFF" w:themeColor="background1"/>
              </w:rPr>
              <w:t>5.1.1</w:t>
            </w:r>
          </w:p>
        </w:tc>
        <w:tc>
          <w:tcPr>
            <w:tcW w:w="9038" w:type="dxa"/>
            <w:gridSpan w:val="9"/>
            <w:vAlign w:val="center"/>
          </w:tcPr>
          <w:p w:rsidR="00D62E87" w:rsidRDefault="00D62E87" w:rsidP="00085346">
            <w:pPr>
              <w:spacing w:after="0"/>
            </w:pPr>
            <w:r>
              <w:rPr>
                <w:u w:val="single"/>
              </w:rPr>
              <w:t>Purchaser intent</w:t>
            </w:r>
            <w:r w:rsidRPr="008D526A">
              <w:rPr>
                <w:u w:val="single"/>
              </w:rPr>
              <w:t>:</w:t>
            </w:r>
            <w:r>
              <w:t xml:space="preserve"> </w:t>
            </w:r>
          </w:p>
          <w:p w:rsidR="00CB1142" w:rsidRDefault="00CB1142" w:rsidP="00E9699C">
            <w:pPr>
              <w:rPr>
                <w:rFonts w:cs="Calibri"/>
                <w:color w:val="000000"/>
                <w:lang w:eastAsia="en-AU"/>
              </w:rPr>
            </w:pPr>
            <w:r>
              <w:rPr>
                <w:rFonts w:cs="Calibri"/>
                <w:color w:val="000000"/>
                <w:lang w:eastAsia="en-AU"/>
              </w:rPr>
              <w:t xml:space="preserve">Purchase activity </w:t>
            </w:r>
            <w:r w:rsidRPr="00CB1142">
              <w:rPr>
                <w:rFonts w:cs="Calibri"/>
                <w:color w:val="000000"/>
                <w:lang w:eastAsia="en-AU"/>
              </w:rPr>
              <w:t xml:space="preserve">(acute admitted </w:t>
            </w:r>
            <w:r w:rsidR="00402640">
              <w:rPr>
                <w:rFonts w:cs="Calibri"/>
                <w:color w:val="000000"/>
                <w:lang w:eastAsia="en-AU"/>
              </w:rPr>
              <w:t xml:space="preserve">RAW </w:t>
            </w:r>
            <w:r w:rsidRPr="00CB1142">
              <w:rPr>
                <w:rFonts w:cs="Calibri"/>
                <w:color w:val="000000"/>
                <w:lang w:eastAsia="en-AU"/>
              </w:rPr>
              <w:t>episodes</w:t>
            </w:r>
            <w:r w:rsidR="0035353C">
              <w:rPr>
                <w:rFonts w:cs="Calibri"/>
                <w:color w:val="000000"/>
                <w:lang w:eastAsia="en-AU"/>
              </w:rPr>
              <w:t xml:space="preserve"> – refer ‘</w:t>
            </w:r>
            <w:r w:rsidR="0035353C" w:rsidRPr="0035353C">
              <w:rPr>
                <w:rFonts w:cs="Calibri"/>
                <w:i/>
                <w:color w:val="000000"/>
                <w:lang w:eastAsia="en-AU"/>
              </w:rPr>
              <w:t>Appendix B: Chronic Disease – Mapping’</w:t>
            </w:r>
            <w:r w:rsidR="0035353C">
              <w:rPr>
                <w:rFonts w:cs="Calibri"/>
                <w:color w:val="000000"/>
                <w:lang w:eastAsia="en-AU"/>
              </w:rPr>
              <w:t xml:space="preserve"> definition)</w:t>
            </w:r>
            <w:r>
              <w:rPr>
                <w:rFonts w:cs="Calibri"/>
                <w:color w:val="000000"/>
                <w:lang w:eastAsia="en-AU"/>
              </w:rPr>
              <w:t xml:space="preserve"> </w:t>
            </w:r>
            <w:r w:rsidR="0078592E" w:rsidRPr="009D612A">
              <w:rPr>
                <w:rFonts w:cs="Calibri"/>
                <w:color w:val="000000"/>
                <w:lang w:eastAsia="en-AU"/>
              </w:rPr>
              <w:t>for the following chronic diseases that contribute to 80% of the burden in Tasmania</w:t>
            </w:r>
            <w:r>
              <w:rPr>
                <w:rFonts w:cs="Calibri"/>
                <w:color w:val="000000"/>
                <w:lang w:eastAsia="en-AU"/>
              </w:rPr>
              <w:t xml:space="preserve">. </w:t>
            </w:r>
          </w:p>
          <w:p w:rsidR="0078592E" w:rsidRPr="00AA6634" w:rsidRDefault="00CB1142" w:rsidP="00E9699C">
            <w:pPr>
              <w:rPr>
                <w:rFonts w:cs="Calibri"/>
                <w:color w:val="000000"/>
              </w:rPr>
            </w:pPr>
            <w:r>
              <w:rPr>
                <w:rFonts w:cs="Calibri"/>
                <w:color w:val="000000"/>
                <w:lang w:eastAsia="en-AU"/>
              </w:rPr>
              <w:t xml:space="preserve">Forecasting </w:t>
            </w:r>
            <w:r w:rsidR="00D312CE">
              <w:rPr>
                <w:rFonts w:cs="Calibri"/>
                <w:color w:val="000000"/>
                <w:lang w:eastAsia="en-AU"/>
              </w:rPr>
              <w:t xml:space="preserve">based on the </w:t>
            </w:r>
            <w:r w:rsidR="00FF25FA">
              <w:rPr>
                <w:rFonts w:cs="Calibri"/>
                <w:color w:val="000000"/>
                <w:lang w:eastAsia="en-AU"/>
              </w:rPr>
              <w:t>p</w:t>
            </w:r>
            <w:r w:rsidR="00D312CE">
              <w:rPr>
                <w:rFonts w:cs="Calibri"/>
                <w:color w:val="000000"/>
                <w:lang w:eastAsia="en-AU"/>
              </w:rPr>
              <w:t xml:space="preserve">rojection </w:t>
            </w:r>
            <w:r w:rsidR="00FF25FA">
              <w:rPr>
                <w:rFonts w:cs="Calibri"/>
                <w:color w:val="000000"/>
                <w:lang w:eastAsia="en-AU"/>
              </w:rPr>
              <w:t>m</w:t>
            </w:r>
            <w:r w:rsidR="00D312CE">
              <w:rPr>
                <w:rFonts w:cs="Calibri"/>
                <w:color w:val="000000"/>
                <w:lang w:eastAsia="en-AU"/>
              </w:rPr>
              <w:t>odelling tool</w:t>
            </w:r>
            <w:r>
              <w:rPr>
                <w:rFonts w:cs="Calibri"/>
                <w:color w:val="000000"/>
                <w:lang w:eastAsia="en-AU"/>
              </w:rPr>
              <w:t>.</w:t>
            </w:r>
            <w:r w:rsidR="0078592E" w:rsidRPr="009D612A">
              <w:rPr>
                <w:rFonts w:cs="Calibri"/>
                <w:color w:val="000000"/>
                <w:lang w:eastAsia="en-AU"/>
              </w:rPr>
              <w:t xml:space="preserve"> </w:t>
            </w:r>
            <w:r>
              <w:rPr>
                <w:rFonts w:cs="Calibri"/>
                <w:color w:val="000000"/>
                <w:lang w:eastAsia="en-AU"/>
              </w:rPr>
              <w:t xml:space="preserve">For full mapping of SRGs refer </w:t>
            </w:r>
            <w:r w:rsidR="00D006BD">
              <w:rPr>
                <w:rFonts w:cs="Calibri"/>
                <w:color w:val="000000"/>
                <w:lang w:eastAsia="en-AU"/>
              </w:rPr>
              <w:t>‘</w:t>
            </w:r>
            <w:r w:rsidRPr="00687589">
              <w:rPr>
                <w:rFonts w:cs="Calibri"/>
                <w:i/>
                <w:color w:val="000000"/>
                <w:lang w:eastAsia="en-AU"/>
              </w:rPr>
              <w:t xml:space="preserve">Appendix B: Chronic Disease – </w:t>
            </w:r>
            <w:r>
              <w:rPr>
                <w:rFonts w:cs="Calibri"/>
                <w:i/>
                <w:color w:val="000000"/>
                <w:lang w:eastAsia="en-AU"/>
              </w:rPr>
              <w:t>Mapping</w:t>
            </w:r>
            <w:r w:rsidR="00D006BD">
              <w:rPr>
                <w:rFonts w:cs="Calibri"/>
                <w:i/>
                <w:color w:val="000000"/>
                <w:lang w:eastAsia="en-AU"/>
              </w:rPr>
              <w:t>’</w:t>
            </w:r>
            <w:r>
              <w:rPr>
                <w:rFonts w:cs="Calibri"/>
                <w:i/>
                <w:color w:val="000000"/>
                <w:lang w:eastAsia="en-AU"/>
              </w:rPr>
              <w:t>.</w:t>
            </w:r>
          </w:p>
          <w:p w:rsidR="00D62E87" w:rsidRDefault="0078592E" w:rsidP="00085346">
            <w:pPr>
              <w:spacing w:after="0"/>
            </w:pPr>
            <w:r w:rsidRPr="009D612A">
              <w:rPr>
                <w:u w:val="single"/>
              </w:rPr>
              <w:t>Provider obligation</w:t>
            </w:r>
            <w:r w:rsidRPr="009D612A">
              <w:t xml:space="preserve">: </w:t>
            </w:r>
          </w:p>
          <w:p w:rsidR="0078592E" w:rsidRPr="00D62E87" w:rsidRDefault="00D62E87" w:rsidP="00D62E87">
            <w:r>
              <w:t xml:space="preserve">To provide acute admitted </w:t>
            </w:r>
            <w:r w:rsidR="0078592E" w:rsidRPr="009D612A">
              <w:t xml:space="preserve">activity </w:t>
            </w:r>
            <w:r>
              <w:t>(episodes) as specified below:</w:t>
            </w:r>
          </w:p>
        </w:tc>
      </w:tr>
      <w:tr w:rsidR="0078592E" w:rsidRPr="009D612A" w:rsidTr="00C70A4D">
        <w:trPr>
          <w:cantSplit/>
          <w:tblHeader/>
        </w:trPr>
        <w:tc>
          <w:tcPr>
            <w:tcW w:w="10172" w:type="dxa"/>
            <w:gridSpan w:val="10"/>
            <w:shd w:val="clear" w:color="auto" w:fill="auto"/>
            <w:vAlign w:val="center"/>
          </w:tcPr>
          <w:p w:rsidR="007D09C8" w:rsidRPr="00D62E87" w:rsidRDefault="0078592E" w:rsidP="00F7690A">
            <w:pPr>
              <w:spacing w:after="60" w:line="240" w:lineRule="auto"/>
              <w:rPr>
                <w:rFonts w:cs="Calibri"/>
                <w:b/>
                <w:color w:val="000000"/>
              </w:rPr>
            </w:pPr>
            <w:r w:rsidRPr="009D612A">
              <w:rPr>
                <w:rFonts w:cs="Calibri"/>
                <w:b/>
                <w:color w:val="000000"/>
              </w:rPr>
              <w:t>Cardiovascular Disease</w:t>
            </w:r>
          </w:p>
        </w:tc>
      </w:tr>
      <w:tr w:rsidR="0078592E" w:rsidRPr="009D612A" w:rsidTr="00C70A4D">
        <w:trPr>
          <w:cantSplit/>
          <w:tblHeader/>
        </w:trPr>
        <w:tc>
          <w:tcPr>
            <w:tcW w:w="2262" w:type="dxa"/>
            <w:gridSpan w:val="3"/>
            <w:shd w:val="clear" w:color="auto" w:fill="CCECFF"/>
            <w:vAlign w:val="center"/>
          </w:tcPr>
          <w:p w:rsidR="0078592E" w:rsidRPr="009D612A" w:rsidRDefault="0078592E" w:rsidP="00F7690A">
            <w:pPr>
              <w:spacing w:after="60" w:line="240" w:lineRule="auto"/>
              <w:jc w:val="center"/>
            </w:pPr>
            <w:r w:rsidRPr="009D612A">
              <w:t>2017-18</w:t>
            </w:r>
          </w:p>
        </w:tc>
        <w:tc>
          <w:tcPr>
            <w:tcW w:w="1837" w:type="dxa"/>
            <w:gridSpan w:val="2"/>
            <w:shd w:val="clear" w:color="auto" w:fill="CCECFF"/>
            <w:vAlign w:val="center"/>
          </w:tcPr>
          <w:p w:rsidR="0078592E" w:rsidRPr="009D612A" w:rsidRDefault="0078592E" w:rsidP="00F7690A">
            <w:pPr>
              <w:spacing w:after="60" w:line="240" w:lineRule="auto"/>
              <w:jc w:val="center"/>
            </w:pPr>
            <w:r w:rsidRPr="009D612A">
              <w:t>2018-19</w:t>
            </w:r>
          </w:p>
        </w:tc>
        <w:tc>
          <w:tcPr>
            <w:tcW w:w="1977" w:type="dxa"/>
            <w:shd w:val="clear" w:color="auto" w:fill="CCECFF"/>
            <w:vAlign w:val="center"/>
          </w:tcPr>
          <w:p w:rsidR="0078592E" w:rsidRPr="009D612A" w:rsidRDefault="0078592E" w:rsidP="00F7690A">
            <w:pPr>
              <w:spacing w:after="60" w:line="240" w:lineRule="auto"/>
              <w:jc w:val="center"/>
            </w:pPr>
            <w:r w:rsidRPr="009D612A">
              <w:t>2019-20</w:t>
            </w:r>
          </w:p>
        </w:tc>
        <w:tc>
          <w:tcPr>
            <w:tcW w:w="2118" w:type="dxa"/>
            <w:gridSpan w:val="3"/>
            <w:shd w:val="clear" w:color="auto" w:fill="CCECFF"/>
            <w:vAlign w:val="center"/>
          </w:tcPr>
          <w:p w:rsidR="0078592E" w:rsidRPr="009D612A" w:rsidRDefault="0078592E" w:rsidP="00F7690A">
            <w:pPr>
              <w:spacing w:after="60" w:line="240" w:lineRule="auto"/>
              <w:jc w:val="center"/>
            </w:pPr>
            <w:r w:rsidRPr="009D612A">
              <w:t>2020-21</w:t>
            </w:r>
          </w:p>
        </w:tc>
        <w:tc>
          <w:tcPr>
            <w:tcW w:w="1978" w:type="dxa"/>
            <w:shd w:val="clear" w:color="auto" w:fill="CCECFF"/>
            <w:vAlign w:val="center"/>
          </w:tcPr>
          <w:p w:rsidR="0078592E" w:rsidRPr="009D612A" w:rsidRDefault="0078592E" w:rsidP="00F7690A">
            <w:pPr>
              <w:spacing w:after="60" w:line="240" w:lineRule="auto"/>
              <w:jc w:val="center"/>
            </w:pPr>
            <w:r w:rsidRPr="009D612A">
              <w:t>2021-22</w:t>
            </w:r>
          </w:p>
        </w:tc>
      </w:tr>
      <w:tr w:rsidR="0074787A" w:rsidRPr="009D612A" w:rsidTr="00C70A4D">
        <w:trPr>
          <w:cantSplit/>
          <w:tblHeader/>
        </w:trPr>
        <w:tc>
          <w:tcPr>
            <w:tcW w:w="2262" w:type="dxa"/>
            <w:gridSpan w:val="3"/>
          </w:tcPr>
          <w:p w:rsidR="0074787A" w:rsidRPr="00C62B87" w:rsidRDefault="00F947F1" w:rsidP="00CB1142">
            <w:pPr>
              <w:spacing w:after="60" w:line="240" w:lineRule="auto"/>
              <w:jc w:val="center"/>
              <w:rPr>
                <w:highlight w:val="yellow"/>
              </w:rPr>
            </w:pPr>
            <w:r>
              <w:t>6149</w:t>
            </w:r>
          </w:p>
        </w:tc>
        <w:tc>
          <w:tcPr>
            <w:tcW w:w="1837" w:type="dxa"/>
            <w:gridSpan w:val="2"/>
          </w:tcPr>
          <w:p w:rsidR="0074787A" w:rsidRPr="00C62B87" w:rsidRDefault="00F947F1" w:rsidP="00CB1142">
            <w:pPr>
              <w:spacing w:after="60" w:line="240" w:lineRule="auto"/>
              <w:jc w:val="center"/>
              <w:rPr>
                <w:highlight w:val="yellow"/>
              </w:rPr>
            </w:pPr>
            <w:r>
              <w:t>6318</w:t>
            </w:r>
          </w:p>
        </w:tc>
        <w:tc>
          <w:tcPr>
            <w:tcW w:w="1977" w:type="dxa"/>
          </w:tcPr>
          <w:p w:rsidR="0074787A" w:rsidRPr="00C62B87" w:rsidRDefault="00F947F1" w:rsidP="00CB1142">
            <w:pPr>
              <w:spacing w:after="60" w:line="240" w:lineRule="auto"/>
              <w:jc w:val="center"/>
              <w:rPr>
                <w:highlight w:val="yellow"/>
              </w:rPr>
            </w:pPr>
            <w:r>
              <w:t>6486</w:t>
            </w:r>
          </w:p>
        </w:tc>
        <w:tc>
          <w:tcPr>
            <w:tcW w:w="2118" w:type="dxa"/>
            <w:gridSpan w:val="3"/>
          </w:tcPr>
          <w:p w:rsidR="0074787A" w:rsidRPr="00C62B87" w:rsidRDefault="00F947F1" w:rsidP="00CB1142">
            <w:pPr>
              <w:spacing w:after="60" w:line="240" w:lineRule="auto"/>
              <w:jc w:val="center"/>
              <w:rPr>
                <w:highlight w:val="yellow"/>
              </w:rPr>
            </w:pPr>
            <w:r>
              <w:t>6655</w:t>
            </w:r>
          </w:p>
        </w:tc>
        <w:tc>
          <w:tcPr>
            <w:tcW w:w="1978" w:type="dxa"/>
          </w:tcPr>
          <w:p w:rsidR="0074787A" w:rsidRPr="00C62B87" w:rsidRDefault="00F947F1" w:rsidP="00CB1142">
            <w:pPr>
              <w:spacing w:after="60" w:line="240" w:lineRule="auto"/>
              <w:jc w:val="center"/>
              <w:rPr>
                <w:highlight w:val="yellow"/>
              </w:rPr>
            </w:pPr>
            <w:r>
              <w:t>6823</w:t>
            </w:r>
          </w:p>
        </w:tc>
      </w:tr>
      <w:tr w:rsidR="0078592E" w:rsidRPr="009D612A" w:rsidTr="00C70A4D">
        <w:trPr>
          <w:cantSplit/>
          <w:tblHeader/>
        </w:trPr>
        <w:tc>
          <w:tcPr>
            <w:tcW w:w="10172" w:type="dxa"/>
            <w:gridSpan w:val="10"/>
            <w:shd w:val="clear" w:color="auto" w:fill="auto"/>
            <w:vAlign w:val="center"/>
          </w:tcPr>
          <w:p w:rsidR="007D09C8" w:rsidRPr="00D62E87" w:rsidRDefault="0078592E" w:rsidP="00F7690A">
            <w:pPr>
              <w:spacing w:after="60" w:line="240" w:lineRule="auto"/>
              <w:rPr>
                <w:rFonts w:cs="Calibri"/>
                <w:b/>
                <w:color w:val="000000"/>
              </w:rPr>
            </w:pPr>
            <w:r w:rsidRPr="009D612A">
              <w:rPr>
                <w:rFonts w:cs="Calibri"/>
                <w:b/>
                <w:color w:val="000000"/>
              </w:rPr>
              <w:t>Neurological conditions</w:t>
            </w:r>
          </w:p>
        </w:tc>
      </w:tr>
      <w:tr w:rsidR="0078592E" w:rsidRPr="009D612A" w:rsidTr="00C70A4D">
        <w:trPr>
          <w:cantSplit/>
          <w:tblHeader/>
        </w:trPr>
        <w:tc>
          <w:tcPr>
            <w:tcW w:w="2262" w:type="dxa"/>
            <w:gridSpan w:val="3"/>
            <w:shd w:val="clear" w:color="auto" w:fill="CCECFF"/>
            <w:vAlign w:val="center"/>
          </w:tcPr>
          <w:p w:rsidR="0078592E" w:rsidRPr="009D612A" w:rsidRDefault="0078592E" w:rsidP="00F7690A">
            <w:pPr>
              <w:spacing w:after="60" w:line="240" w:lineRule="auto"/>
              <w:jc w:val="center"/>
            </w:pPr>
            <w:r w:rsidRPr="009D612A">
              <w:t>2017-18</w:t>
            </w:r>
          </w:p>
        </w:tc>
        <w:tc>
          <w:tcPr>
            <w:tcW w:w="1837" w:type="dxa"/>
            <w:gridSpan w:val="2"/>
            <w:shd w:val="clear" w:color="auto" w:fill="CCECFF"/>
            <w:vAlign w:val="center"/>
          </w:tcPr>
          <w:p w:rsidR="0078592E" w:rsidRPr="009D612A" w:rsidRDefault="0078592E" w:rsidP="00F7690A">
            <w:pPr>
              <w:spacing w:after="60" w:line="240" w:lineRule="auto"/>
              <w:jc w:val="center"/>
            </w:pPr>
            <w:r w:rsidRPr="009D612A">
              <w:t>2018-19</w:t>
            </w:r>
          </w:p>
        </w:tc>
        <w:tc>
          <w:tcPr>
            <w:tcW w:w="1977" w:type="dxa"/>
            <w:shd w:val="clear" w:color="auto" w:fill="CCECFF"/>
            <w:vAlign w:val="center"/>
          </w:tcPr>
          <w:p w:rsidR="0078592E" w:rsidRPr="009D612A" w:rsidRDefault="0078592E" w:rsidP="00F7690A">
            <w:pPr>
              <w:spacing w:after="60" w:line="240" w:lineRule="auto"/>
              <w:jc w:val="center"/>
            </w:pPr>
            <w:r w:rsidRPr="009D612A">
              <w:t>2019-20</w:t>
            </w:r>
          </w:p>
        </w:tc>
        <w:tc>
          <w:tcPr>
            <w:tcW w:w="2118" w:type="dxa"/>
            <w:gridSpan w:val="3"/>
            <w:shd w:val="clear" w:color="auto" w:fill="CCECFF"/>
            <w:vAlign w:val="center"/>
          </w:tcPr>
          <w:p w:rsidR="0078592E" w:rsidRPr="009D612A" w:rsidRDefault="0078592E" w:rsidP="00F7690A">
            <w:pPr>
              <w:spacing w:after="60" w:line="240" w:lineRule="auto"/>
              <w:jc w:val="center"/>
            </w:pPr>
            <w:r w:rsidRPr="009D612A">
              <w:t>2020-21</w:t>
            </w:r>
          </w:p>
        </w:tc>
        <w:tc>
          <w:tcPr>
            <w:tcW w:w="1978" w:type="dxa"/>
            <w:shd w:val="clear" w:color="auto" w:fill="CCECFF"/>
            <w:vAlign w:val="center"/>
          </w:tcPr>
          <w:p w:rsidR="0078592E" w:rsidRPr="009D612A" w:rsidRDefault="0078592E" w:rsidP="00F7690A">
            <w:pPr>
              <w:spacing w:after="60" w:line="240" w:lineRule="auto"/>
              <w:jc w:val="center"/>
            </w:pPr>
            <w:r w:rsidRPr="009D612A">
              <w:t>2021-22</w:t>
            </w:r>
          </w:p>
        </w:tc>
      </w:tr>
      <w:tr w:rsidR="009B2AEA" w:rsidRPr="009D612A" w:rsidTr="00C70A4D">
        <w:trPr>
          <w:cantSplit/>
          <w:tblHeader/>
        </w:trPr>
        <w:tc>
          <w:tcPr>
            <w:tcW w:w="2262" w:type="dxa"/>
            <w:gridSpan w:val="3"/>
          </w:tcPr>
          <w:p w:rsidR="009B2AEA" w:rsidRPr="00C62B87" w:rsidRDefault="009B2AEA" w:rsidP="0077107C">
            <w:pPr>
              <w:spacing w:after="60" w:line="240" w:lineRule="auto"/>
              <w:jc w:val="center"/>
              <w:rPr>
                <w:highlight w:val="yellow"/>
              </w:rPr>
            </w:pPr>
            <w:r>
              <w:t>5418</w:t>
            </w:r>
          </w:p>
        </w:tc>
        <w:tc>
          <w:tcPr>
            <w:tcW w:w="1837" w:type="dxa"/>
            <w:gridSpan w:val="2"/>
          </w:tcPr>
          <w:p w:rsidR="009B2AEA" w:rsidRPr="00C62B87" w:rsidRDefault="009B2AEA" w:rsidP="0077107C">
            <w:pPr>
              <w:spacing w:after="60" w:line="240" w:lineRule="auto"/>
              <w:jc w:val="center"/>
              <w:rPr>
                <w:highlight w:val="yellow"/>
              </w:rPr>
            </w:pPr>
            <w:r>
              <w:t>5582</w:t>
            </w:r>
          </w:p>
        </w:tc>
        <w:tc>
          <w:tcPr>
            <w:tcW w:w="1977" w:type="dxa"/>
          </w:tcPr>
          <w:p w:rsidR="009B2AEA" w:rsidRPr="00C62B87" w:rsidRDefault="009B2AEA" w:rsidP="0077107C">
            <w:pPr>
              <w:spacing w:after="60" w:line="240" w:lineRule="auto"/>
              <w:jc w:val="center"/>
              <w:rPr>
                <w:highlight w:val="yellow"/>
              </w:rPr>
            </w:pPr>
            <w:r>
              <w:t>5745</w:t>
            </w:r>
          </w:p>
        </w:tc>
        <w:tc>
          <w:tcPr>
            <w:tcW w:w="2118" w:type="dxa"/>
            <w:gridSpan w:val="3"/>
          </w:tcPr>
          <w:p w:rsidR="009B2AEA" w:rsidRPr="00C62B87" w:rsidRDefault="009B2AEA" w:rsidP="0077107C">
            <w:pPr>
              <w:spacing w:after="60" w:line="240" w:lineRule="auto"/>
              <w:jc w:val="center"/>
              <w:rPr>
                <w:highlight w:val="yellow"/>
              </w:rPr>
            </w:pPr>
            <w:r>
              <w:t>5909</w:t>
            </w:r>
          </w:p>
        </w:tc>
        <w:tc>
          <w:tcPr>
            <w:tcW w:w="1978" w:type="dxa"/>
          </w:tcPr>
          <w:p w:rsidR="009B2AEA" w:rsidRPr="00C62B87" w:rsidRDefault="0077107C" w:rsidP="00CB1142">
            <w:pPr>
              <w:spacing w:after="60" w:line="240" w:lineRule="auto"/>
              <w:jc w:val="center"/>
              <w:rPr>
                <w:highlight w:val="yellow"/>
              </w:rPr>
            </w:pPr>
            <w:r>
              <w:t>6</w:t>
            </w:r>
            <w:r w:rsidR="009B2AEA">
              <w:t>072</w:t>
            </w:r>
          </w:p>
        </w:tc>
      </w:tr>
      <w:tr w:rsidR="0078592E" w:rsidRPr="009D612A" w:rsidTr="00C70A4D">
        <w:trPr>
          <w:cantSplit/>
          <w:tblHeader/>
        </w:trPr>
        <w:tc>
          <w:tcPr>
            <w:tcW w:w="10172" w:type="dxa"/>
            <w:gridSpan w:val="10"/>
            <w:shd w:val="clear" w:color="auto" w:fill="auto"/>
            <w:vAlign w:val="center"/>
          </w:tcPr>
          <w:p w:rsidR="007D09C8" w:rsidRPr="00D62E87" w:rsidRDefault="0078592E" w:rsidP="0045643B">
            <w:pPr>
              <w:spacing w:after="60" w:line="240" w:lineRule="auto"/>
              <w:rPr>
                <w:rFonts w:cs="Calibri"/>
                <w:b/>
                <w:color w:val="000000"/>
              </w:rPr>
            </w:pPr>
            <w:r w:rsidRPr="009D612A">
              <w:rPr>
                <w:rFonts w:cs="Calibri"/>
                <w:b/>
                <w:color w:val="000000"/>
              </w:rPr>
              <w:t>Respiratory Disease</w:t>
            </w:r>
          </w:p>
        </w:tc>
      </w:tr>
      <w:tr w:rsidR="0078592E" w:rsidRPr="009D612A" w:rsidTr="00C70A4D">
        <w:trPr>
          <w:cantSplit/>
          <w:tblHeader/>
        </w:trPr>
        <w:tc>
          <w:tcPr>
            <w:tcW w:w="2262" w:type="dxa"/>
            <w:gridSpan w:val="3"/>
            <w:shd w:val="clear" w:color="auto" w:fill="CCECFF"/>
            <w:vAlign w:val="center"/>
          </w:tcPr>
          <w:p w:rsidR="0078592E" w:rsidRPr="009D612A" w:rsidRDefault="0078592E" w:rsidP="00F7690A">
            <w:pPr>
              <w:spacing w:after="60" w:line="240" w:lineRule="auto"/>
              <w:jc w:val="center"/>
            </w:pPr>
            <w:r w:rsidRPr="009D612A">
              <w:t>2017-18</w:t>
            </w:r>
          </w:p>
        </w:tc>
        <w:tc>
          <w:tcPr>
            <w:tcW w:w="1837" w:type="dxa"/>
            <w:gridSpan w:val="2"/>
            <w:shd w:val="clear" w:color="auto" w:fill="CCECFF"/>
            <w:vAlign w:val="center"/>
          </w:tcPr>
          <w:p w:rsidR="0078592E" w:rsidRPr="009D612A" w:rsidRDefault="0078592E" w:rsidP="00F7690A">
            <w:pPr>
              <w:spacing w:after="60" w:line="240" w:lineRule="auto"/>
              <w:jc w:val="center"/>
            </w:pPr>
            <w:r w:rsidRPr="009D612A">
              <w:t>2018-19</w:t>
            </w:r>
          </w:p>
        </w:tc>
        <w:tc>
          <w:tcPr>
            <w:tcW w:w="1977" w:type="dxa"/>
            <w:shd w:val="clear" w:color="auto" w:fill="CCECFF"/>
            <w:vAlign w:val="center"/>
          </w:tcPr>
          <w:p w:rsidR="0078592E" w:rsidRPr="009D612A" w:rsidRDefault="0078592E" w:rsidP="00F7690A">
            <w:pPr>
              <w:spacing w:after="60" w:line="240" w:lineRule="auto"/>
              <w:jc w:val="center"/>
            </w:pPr>
            <w:r w:rsidRPr="009D612A">
              <w:t>2019-20</w:t>
            </w:r>
          </w:p>
        </w:tc>
        <w:tc>
          <w:tcPr>
            <w:tcW w:w="2118" w:type="dxa"/>
            <w:gridSpan w:val="3"/>
            <w:shd w:val="clear" w:color="auto" w:fill="CCECFF"/>
            <w:vAlign w:val="center"/>
          </w:tcPr>
          <w:p w:rsidR="0078592E" w:rsidRPr="009D612A" w:rsidRDefault="0078592E" w:rsidP="00F7690A">
            <w:pPr>
              <w:spacing w:after="60" w:line="240" w:lineRule="auto"/>
              <w:jc w:val="center"/>
            </w:pPr>
            <w:r w:rsidRPr="009D612A">
              <w:t>2020-21</w:t>
            </w:r>
          </w:p>
        </w:tc>
        <w:tc>
          <w:tcPr>
            <w:tcW w:w="1978" w:type="dxa"/>
            <w:shd w:val="clear" w:color="auto" w:fill="CCECFF"/>
            <w:vAlign w:val="center"/>
          </w:tcPr>
          <w:p w:rsidR="0078592E" w:rsidRPr="009D612A" w:rsidRDefault="0078592E" w:rsidP="00F7690A">
            <w:pPr>
              <w:spacing w:after="60" w:line="240" w:lineRule="auto"/>
              <w:jc w:val="center"/>
            </w:pPr>
            <w:r w:rsidRPr="009D612A">
              <w:t>2021-22</w:t>
            </w:r>
          </w:p>
        </w:tc>
      </w:tr>
      <w:tr w:rsidR="00781494" w:rsidRPr="009D612A" w:rsidTr="00C70A4D">
        <w:trPr>
          <w:cantSplit/>
          <w:tblHeader/>
        </w:trPr>
        <w:tc>
          <w:tcPr>
            <w:tcW w:w="2262" w:type="dxa"/>
            <w:gridSpan w:val="3"/>
          </w:tcPr>
          <w:p w:rsidR="00781494" w:rsidRPr="00C62B87" w:rsidRDefault="00781494" w:rsidP="0077107C">
            <w:pPr>
              <w:spacing w:after="60" w:line="240" w:lineRule="auto"/>
              <w:jc w:val="center"/>
              <w:rPr>
                <w:highlight w:val="yellow"/>
              </w:rPr>
            </w:pPr>
            <w:r>
              <w:t>5228</w:t>
            </w:r>
          </w:p>
        </w:tc>
        <w:tc>
          <w:tcPr>
            <w:tcW w:w="1837" w:type="dxa"/>
            <w:gridSpan w:val="2"/>
          </w:tcPr>
          <w:p w:rsidR="00781494" w:rsidRPr="00C62B87" w:rsidRDefault="00781494" w:rsidP="0077107C">
            <w:pPr>
              <w:spacing w:after="60" w:line="240" w:lineRule="auto"/>
              <w:jc w:val="center"/>
              <w:rPr>
                <w:highlight w:val="yellow"/>
              </w:rPr>
            </w:pPr>
            <w:r>
              <w:t>5392</w:t>
            </w:r>
          </w:p>
        </w:tc>
        <w:tc>
          <w:tcPr>
            <w:tcW w:w="1977" w:type="dxa"/>
          </w:tcPr>
          <w:p w:rsidR="00781494" w:rsidRPr="00C62B87" w:rsidRDefault="00781494" w:rsidP="0077107C">
            <w:pPr>
              <w:spacing w:after="60" w:line="240" w:lineRule="auto"/>
              <w:jc w:val="center"/>
              <w:rPr>
                <w:highlight w:val="yellow"/>
              </w:rPr>
            </w:pPr>
            <w:r>
              <w:t>5555</w:t>
            </w:r>
          </w:p>
        </w:tc>
        <w:tc>
          <w:tcPr>
            <w:tcW w:w="2118" w:type="dxa"/>
            <w:gridSpan w:val="3"/>
          </w:tcPr>
          <w:p w:rsidR="00781494" w:rsidRPr="00C62B87" w:rsidRDefault="00781494" w:rsidP="0077107C">
            <w:pPr>
              <w:spacing w:after="60" w:line="240" w:lineRule="auto"/>
              <w:jc w:val="center"/>
              <w:rPr>
                <w:highlight w:val="yellow"/>
              </w:rPr>
            </w:pPr>
            <w:r>
              <w:t>5719</w:t>
            </w:r>
          </w:p>
        </w:tc>
        <w:tc>
          <w:tcPr>
            <w:tcW w:w="1978" w:type="dxa"/>
          </w:tcPr>
          <w:p w:rsidR="00781494" w:rsidRPr="00C62B87" w:rsidRDefault="0077107C" w:rsidP="0077107C">
            <w:pPr>
              <w:spacing w:after="60" w:line="240" w:lineRule="auto"/>
              <w:jc w:val="center"/>
              <w:rPr>
                <w:highlight w:val="yellow"/>
              </w:rPr>
            </w:pPr>
            <w:r>
              <w:t>5</w:t>
            </w:r>
            <w:r w:rsidR="00781494">
              <w:t>883</w:t>
            </w:r>
          </w:p>
        </w:tc>
      </w:tr>
      <w:tr w:rsidR="0078592E" w:rsidRPr="009D612A" w:rsidTr="00C70A4D">
        <w:trPr>
          <w:cantSplit/>
          <w:tblHeader/>
        </w:trPr>
        <w:tc>
          <w:tcPr>
            <w:tcW w:w="10172" w:type="dxa"/>
            <w:gridSpan w:val="10"/>
            <w:shd w:val="clear" w:color="auto" w:fill="auto"/>
            <w:vAlign w:val="center"/>
          </w:tcPr>
          <w:p w:rsidR="0078592E" w:rsidRDefault="0078592E" w:rsidP="00F7690A">
            <w:pPr>
              <w:spacing w:after="60" w:line="240" w:lineRule="auto"/>
              <w:rPr>
                <w:rFonts w:cs="Calibri"/>
                <w:b/>
                <w:color w:val="000000"/>
              </w:rPr>
            </w:pPr>
            <w:r w:rsidRPr="009D612A">
              <w:rPr>
                <w:rFonts w:cs="Calibri"/>
                <w:b/>
                <w:color w:val="000000"/>
              </w:rPr>
              <w:t>Musculoskeletal conditions</w:t>
            </w:r>
          </w:p>
          <w:p w:rsidR="007D09C8" w:rsidRPr="00D62E87" w:rsidRDefault="00370B21" w:rsidP="00D62E87">
            <w:r>
              <w:rPr>
                <w:rFonts w:cs="Calibri"/>
                <w:color w:val="000000"/>
                <w:u w:val="single"/>
              </w:rPr>
              <w:t xml:space="preserve">Additional </w:t>
            </w:r>
            <w:r w:rsidR="0078592E" w:rsidRPr="006E55A6">
              <w:rPr>
                <w:rFonts w:cs="Calibri"/>
                <w:color w:val="000000"/>
                <w:u w:val="single"/>
              </w:rPr>
              <w:t>P</w:t>
            </w:r>
            <w:r w:rsidR="00AF68F9">
              <w:rPr>
                <w:rFonts w:cs="Calibri"/>
                <w:color w:val="000000"/>
                <w:u w:val="single"/>
              </w:rPr>
              <w:t>urchaser</w:t>
            </w:r>
            <w:r w:rsidR="0078592E" w:rsidRPr="006E55A6">
              <w:rPr>
                <w:rFonts w:cs="Calibri"/>
                <w:color w:val="000000"/>
                <w:u w:val="single"/>
              </w:rPr>
              <w:t xml:space="preserve"> </w:t>
            </w:r>
            <w:r w:rsidR="00945885">
              <w:rPr>
                <w:rFonts w:cs="Calibri"/>
                <w:color w:val="000000"/>
                <w:u w:val="single"/>
              </w:rPr>
              <w:t>intent</w:t>
            </w:r>
            <w:r w:rsidR="0078592E" w:rsidRPr="006E55A6">
              <w:rPr>
                <w:rFonts w:cs="Calibri"/>
                <w:color w:val="000000"/>
                <w:u w:val="single"/>
              </w:rPr>
              <w:t>:</w:t>
            </w:r>
            <w:r w:rsidR="0078592E" w:rsidRPr="00370B21">
              <w:rPr>
                <w:rFonts w:cs="Calibri"/>
                <w:color w:val="000000"/>
              </w:rPr>
              <w:t xml:space="preserve"> </w:t>
            </w:r>
            <w:r w:rsidR="0078592E" w:rsidRPr="00C26736">
              <w:t>In</w:t>
            </w:r>
            <w:r w:rsidR="0045643B">
              <w:t xml:space="preserve"> accordance with TCSP</w:t>
            </w:r>
            <w:r w:rsidR="000C58E0">
              <w:t>/TRDF</w:t>
            </w:r>
            <w:r w:rsidR="0045643B">
              <w:t>, inc</w:t>
            </w:r>
            <w:r w:rsidR="0078592E" w:rsidRPr="00C26736">
              <w:t>rease Rheumatology services in the NW Region from a no level service to a Level 4 service</w:t>
            </w:r>
            <w:r w:rsidR="0078592E" w:rsidRPr="00C26736">
              <w:rPr>
                <w:rFonts w:cs="Gill Sans MT"/>
                <w:color w:val="000000"/>
                <w:lang w:eastAsia="en-AU"/>
              </w:rPr>
              <w:t xml:space="preserve">. </w:t>
            </w:r>
            <w:r w:rsidR="00612D02">
              <w:rPr>
                <w:rFonts w:cs="Gill Sans MT"/>
                <w:color w:val="000000"/>
                <w:lang w:eastAsia="en-AU"/>
              </w:rPr>
              <w:t>It is anticipated t</w:t>
            </w:r>
            <w:r w:rsidR="0078592E" w:rsidRPr="00C26736">
              <w:rPr>
                <w:rFonts w:cs="Gill Sans MT"/>
                <w:color w:val="000000"/>
                <w:lang w:eastAsia="en-AU"/>
              </w:rPr>
              <w:t>his service will be more</w:t>
            </w:r>
            <w:r w:rsidR="0078592E" w:rsidRPr="00C26736">
              <w:t xml:space="preserve"> cost effective, reduce waiting time and possibly eliminate the need for surgery.</w:t>
            </w:r>
          </w:p>
        </w:tc>
      </w:tr>
      <w:tr w:rsidR="0078592E" w:rsidRPr="009D612A" w:rsidTr="00C70A4D">
        <w:trPr>
          <w:cantSplit/>
          <w:tblHeader/>
        </w:trPr>
        <w:tc>
          <w:tcPr>
            <w:tcW w:w="2262" w:type="dxa"/>
            <w:gridSpan w:val="3"/>
            <w:shd w:val="clear" w:color="auto" w:fill="CCECFF"/>
            <w:vAlign w:val="center"/>
          </w:tcPr>
          <w:p w:rsidR="0078592E" w:rsidRPr="009D612A" w:rsidRDefault="0078592E" w:rsidP="00F7690A">
            <w:pPr>
              <w:spacing w:after="60" w:line="240" w:lineRule="auto"/>
              <w:jc w:val="center"/>
            </w:pPr>
            <w:r w:rsidRPr="009D612A">
              <w:t>2017-18</w:t>
            </w:r>
          </w:p>
        </w:tc>
        <w:tc>
          <w:tcPr>
            <w:tcW w:w="1837" w:type="dxa"/>
            <w:gridSpan w:val="2"/>
            <w:shd w:val="clear" w:color="auto" w:fill="CCECFF"/>
            <w:vAlign w:val="center"/>
          </w:tcPr>
          <w:p w:rsidR="0078592E" w:rsidRPr="009D612A" w:rsidRDefault="0078592E" w:rsidP="00F7690A">
            <w:pPr>
              <w:spacing w:after="60" w:line="240" w:lineRule="auto"/>
              <w:jc w:val="center"/>
            </w:pPr>
            <w:r w:rsidRPr="009D612A">
              <w:t>2018-19</w:t>
            </w:r>
          </w:p>
        </w:tc>
        <w:tc>
          <w:tcPr>
            <w:tcW w:w="1977" w:type="dxa"/>
            <w:shd w:val="clear" w:color="auto" w:fill="CCECFF"/>
            <w:vAlign w:val="center"/>
          </w:tcPr>
          <w:p w:rsidR="0078592E" w:rsidRPr="009D612A" w:rsidRDefault="0078592E" w:rsidP="00F7690A">
            <w:pPr>
              <w:spacing w:after="60" w:line="240" w:lineRule="auto"/>
              <w:jc w:val="center"/>
            </w:pPr>
            <w:r w:rsidRPr="009D612A">
              <w:t>2019-20</w:t>
            </w:r>
          </w:p>
        </w:tc>
        <w:tc>
          <w:tcPr>
            <w:tcW w:w="2118" w:type="dxa"/>
            <w:gridSpan w:val="3"/>
            <w:shd w:val="clear" w:color="auto" w:fill="CCECFF"/>
            <w:vAlign w:val="center"/>
          </w:tcPr>
          <w:p w:rsidR="0078592E" w:rsidRPr="009D612A" w:rsidRDefault="0078592E" w:rsidP="00F7690A">
            <w:pPr>
              <w:spacing w:after="60" w:line="240" w:lineRule="auto"/>
              <w:jc w:val="center"/>
            </w:pPr>
            <w:r w:rsidRPr="009D612A">
              <w:t>2020-21</w:t>
            </w:r>
          </w:p>
        </w:tc>
        <w:tc>
          <w:tcPr>
            <w:tcW w:w="1978" w:type="dxa"/>
            <w:shd w:val="clear" w:color="auto" w:fill="CCECFF"/>
            <w:vAlign w:val="center"/>
          </w:tcPr>
          <w:p w:rsidR="0078592E" w:rsidRPr="009D612A" w:rsidRDefault="0078592E" w:rsidP="00F7690A">
            <w:pPr>
              <w:spacing w:after="60" w:line="240" w:lineRule="auto"/>
              <w:jc w:val="center"/>
            </w:pPr>
            <w:r w:rsidRPr="009D612A">
              <w:t>2021-22</w:t>
            </w:r>
          </w:p>
        </w:tc>
      </w:tr>
      <w:tr w:rsidR="00042312" w:rsidRPr="009D612A" w:rsidTr="00C70A4D">
        <w:trPr>
          <w:cantSplit/>
          <w:tblHeader/>
        </w:trPr>
        <w:tc>
          <w:tcPr>
            <w:tcW w:w="2262" w:type="dxa"/>
            <w:gridSpan w:val="3"/>
          </w:tcPr>
          <w:p w:rsidR="00042312" w:rsidRPr="00C62B87" w:rsidRDefault="0077107C" w:rsidP="00F7690A">
            <w:pPr>
              <w:spacing w:after="60" w:line="240" w:lineRule="auto"/>
              <w:jc w:val="center"/>
              <w:rPr>
                <w:highlight w:val="yellow"/>
              </w:rPr>
            </w:pPr>
            <w:r>
              <w:t>3466</w:t>
            </w:r>
          </w:p>
        </w:tc>
        <w:tc>
          <w:tcPr>
            <w:tcW w:w="1837" w:type="dxa"/>
            <w:gridSpan w:val="2"/>
          </w:tcPr>
          <w:p w:rsidR="00042312" w:rsidRPr="00C62B87" w:rsidRDefault="0077107C" w:rsidP="00F7690A">
            <w:pPr>
              <w:spacing w:after="60" w:line="240" w:lineRule="auto"/>
              <w:jc w:val="center"/>
              <w:rPr>
                <w:highlight w:val="yellow"/>
              </w:rPr>
            </w:pPr>
            <w:r>
              <w:t>3523</w:t>
            </w:r>
          </w:p>
        </w:tc>
        <w:tc>
          <w:tcPr>
            <w:tcW w:w="1977" w:type="dxa"/>
          </w:tcPr>
          <w:p w:rsidR="00042312" w:rsidRPr="00C62B87" w:rsidRDefault="0077107C" w:rsidP="00F7690A">
            <w:pPr>
              <w:spacing w:after="60" w:line="240" w:lineRule="auto"/>
              <w:jc w:val="center"/>
              <w:rPr>
                <w:highlight w:val="yellow"/>
              </w:rPr>
            </w:pPr>
            <w:r>
              <w:t>3580</w:t>
            </w:r>
          </w:p>
        </w:tc>
        <w:tc>
          <w:tcPr>
            <w:tcW w:w="2118" w:type="dxa"/>
            <w:gridSpan w:val="3"/>
          </w:tcPr>
          <w:p w:rsidR="00042312" w:rsidRPr="00C62B87" w:rsidRDefault="0077107C" w:rsidP="00F7690A">
            <w:pPr>
              <w:spacing w:after="60" w:line="240" w:lineRule="auto"/>
              <w:jc w:val="center"/>
              <w:rPr>
                <w:highlight w:val="yellow"/>
              </w:rPr>
            </w:pPr>
            <w:r>
              <w:t>3637</w:t>
            </w:r>
          </w:p>
        </w:tc>
        <w:tc>
          <w:tcPr>
            <w:tcW w:w="1978" w:type="dxa"/>
          </w:tcPr>
          <w:p w:rsidR="00042312" w:rsidRPr="00C62B87" w:rsidRDefault="0077107C" w:rsidP="00F7690A">
            <w:pPr>
              <w:spacing w:after="60" w:line="240" w:lineRule="auto"/>
              <w:jc w:val="center"/>
              <w:rPr>
                <w:highlight w:val="yellow"/>
              </w:rPr>
            </w:pPr>
            <w:r>
              <w:t>3695</w:t>
            </w:r>
          </w:p>
        </w:tc>
      </w:tr>
      <w:tr w:rsidR="0078592E" w:rsidRPr="009D612A" w:rsidTr="00C70A4D">
        <w:trPr>
          <w:cantSplit/>
          <w:tblHeader/>
        </w:trPr>
        <w:tc>
          <w:tcPr>
            <w:tcW w:w="10172" w:type="dxa"/>
            <w:gridSpan w:val="10"/>
            <w:shd w:val="clear" w:color="auto" w:fill="auto"/>
            <w:vAlign w:val="center"/>
          </w:tcPr>
          <w:p w:rsidR="007D09C8" w:rsidRPr="00C62B87" w:rsidRDefault="0078592E" w:rsidP="00F7690A">
            <w:pPr>
              <w:spacing w:after="60" w:line="240" w:lineRule="auto"/>
              <w:rPr>
                <w:rFonts w:cs="Calibri"/>
                <w:color w:val="000000"/>
                <w:u w:val="single"/>
              </w:rPr>
            </w:pPr>
            <w:r w:rsidRPr="009D612A">
              <w:rPr>
                <w:rFonts w:cs="Calibri"/>
                <w:b/>
                <w:color w:val="000000"/>
              </w:rPr>
              <w:t>Mental Health and Substance Abuse</w:t>
            </w:r>
            <w:r w:rsidRPr="006E55A6">
              <w:rPr>
                <w:rFonts w:cs="Calibri"/>
                <w:color w:val="000000"/>
                <w:u w:val="single"/>
              </w:rPr>
              <w:t xml:space="preserve"> </w:t>
            </w:r>
          </w:p>
        </w:tc>
      </w:tr>
      <w:tr w:rsidR="0078592E" w:rsidRPr="009D612A" w:rsidTr="00C70A4D">
        <w:trPr>
          <w:cantSplit/>
          <w:tblHeader/>
        </w:trPr>
        <w:tc>
          <w:tcPr>
            <w:tcW w:w="2262" w:type="dxa"/>
            <w:gridSpan w:val="3"/>
            <w:shd w:val="clear" w:color="auto" w:fill="CCECFF"/>
            <w:vAlign w:val="center"/>
          </w:tcPr>
          <w:p w:rsidR="0078592E" w:rsidRPr="009D612A" w:rsidRDefault="0078592E" w:rsidP="00F7690A">
            <w:pPr>
              <w:spacing w:after="60" w:line="240" w:lineRule="auto"/>
              <w:jc w:val="center"/>
            </w:pPr>
            <w:r w:rsidRPr="009D612A">
              <w:t>2017-18</w:t>
            </w:r>
          </w:p>
        </w:tc>
        <w:tc>
          <w:tcPr>
            <w:tcW w:w="1837" w:type="dxa"/>
            <w:gridSpan w:val="2"/>
            <w:shd w:val="clear" w:color="auto" w:fill="CCECFF"/>
            <w:vAlign w:val="center"/>
          </w:tcPr>
          <w:p w:rsidR="0078592E" w:rsidRPr="009D612A" w:rsidRDefault="0078592E" w:rsidP="00F7690A">
            <w:pPr>
              <w:spacing w:after="60" w:line="240" w:lineRule="auto"/>
              <w:jc w:val="center"/>
            </w:pPr>
            <w:r w:rsidRPr="009D612A">
              <w:t>2018-19</w:t>
            </w:r>
          </w:p>
        </w:tc>
        <w:tc>
          <w:tcPr>
            <w:tcW w:w="1977" w:type="dxa"/>
            <w:shd w:val="clear" w:color="auto" w:fill="CCECFF"/>
            <w:vAlign w:val="center"/>
          </w:tcPr>
          <w:p w:rsidR="0078592E" w:rsidRPr="009D612A" w:rsidRDefault="0078592E" w:rsidP="00F7690A">
            <w:pPr>
              <w:spacing w:after="60" w:line="240" w:lineRule="auto"/>
              <w:jc w:val="center"/>
            </w:pPr>
            <w:r w:rsidRPr="009D612A">
              <w:t>2019-20</w:t>
            </w:r>
          </w:p>
        </w:tc>
        <w:tc>
          <w:tcPr>
            <w:tcW w:w="2118" w:type="dxa"/>
            <w:gridSpan w:val="3"/>
            <w:shd w:val="clear" w:color="auto" w:fill="CCECFF"/>
            <w:vAlign w:val="center"/>
          </w:tcPr>
          <w:p w:rsidR="0078592E" w:rsidRPr="009D612A" w:rsidRDefault="0078592E" w:rsidP="00F7690A">
            <w:pPr>
              <w:spacing w:after="60" w:line="240" w:lineRule="auto"/>
              <w:jc w:val="center"/>
            </w:pPr>
            <w:r w:rsidRPr="009D612A">
              <w:t>2020-21</w:t>
            </w:r>
          </w:p>
        </w:tc>
        <w:tc>
          <w:tcPr>
            <w:tcW w:w="1978" w:type="dxa"/>
            <w:shd w:val="clear" w:color="auto" w:fill="CCECFF"/>
            <w:vAlign w:val="center"/>
          </w:tcPr>
          <w:p w:rsidR="0078592E" w:rsidRPr="009D612A" w:rsidRDefault="0078592E" w:rsidP="00F7690A">
            <w:pPr>
              <w:spacing w:after="60" w:line="240" w:lineRule="auto"/>
              <w:jc w:val="center"/>
            </w:pPr>
            <w:r w:rsidRPr="009D612A">
              <w:t>2021-22</w:t>
            </w:r>
          </w:p>
        </w:tc>
      </w:tr>
      <w:tr w:rsidR="000C274E" w:rsidRPr="009D612A" w:rsidTr="00C70A4D">
        <w:trPr>
          <w:cantSplit/>
          <w:tblHeader/>
        </w:trPr>
        <w:tc>
          <w:tcPr>
            <w:tcW w:w="2262" w:type="dxa"/>
            <w:gridSpan w:val="3"/>
          </w:tcPr>
          <w:p w:rsidR="000C274E" w:rsidRPr="00C62B87" w:rsidRDefault="000C274E" w:rsidP="0077107C">
            <w:pPr>
              <w:spacing w:after="60" w:line="240" w:lineRule="auto"/>
              <w:jc w:val="center"/>
              <w:rPr>
                <w:highlight w:val="yellow"/>
              </w:rPr>
            </w:pPr>
            <w:r>
              <w:t>3207</w:t>
            </w:r>
          </w:p>
        </w:tc>
        <w:tc>
          <w:tcPr>
            <w:tcW w:w="1837" w:type="dxa"/>
            <w:gridSpan w:val="2"/>
          </w:tcPr>
          <w:p w:rsidR="000C274E" w:rsidRPr="00C62B87" w:rsidRDefault="000C274E" w:rsidP="0077107C">
            <w:pPr>
              <w:spacing w:after="60" w:line="240" w:lineRule="auto"/>
              <w:jc w:val="center"/>
              <w:rPr>
                <w:highlight w:val="yellow"/>
              </w:rPr>
            </w:pPr>
            <w:r>
              <w:t>3244</w:t>
            </w:r>
          </w:p>
        </w:tc>
        <w:tc>
          <w:tcPr>
            <w:tcW w:w="1977" w:type="dxa"/>
          </w:tcPr>
          <w:p w:rsidR="000C274E" w:rsidRPr="00C62B87" w:rsidRDefault="000C274E" w:rsidP="0077107C">
            <w:pPr>
              <w:spacing w:after="60" w:line="240" w:lineRule="auto"/>
              <w:jc w:val="center"/>
              <w:rPr>
                <w:highlight w:val="yellow"/>
              </w:rPr>
            </w:pPr>
            <w:r>
              <w:t>3282</w:t>
            </w:r>
          </w:p>
        </w:tc>
        <w:tc>
          <w:tcPr>
            <w:tcW w:w="2118" w:type="dxa"/>
            <w:gridSpan w:val="3"/>
          </w:tcPr>
          <w:p w:rsidR="000C274E" w:rsidRPr="00C62B87" w:rsidRDefault="000C274E" w:rsidP="0077107C">
            <w:pPr>
              <w:spacing w:after="60" w:line="240" w:lineRule="auto"/>
              <w:jc w:val="center"/>
              <w:rPr>
                <w:highlight w:val="yellow"/>
              </w:rPr>
            </w:pPr>
            <w:r>
              <w:t>3319</w:t>
            </w:r>
          </w:p>
        </w:tc>
        <w:tc>
          <w:tcPr>
            <w:tcW w:w="1978" w:type="dxa"/>
          </w:tcPr>
          <w:p w:rsidR="000C274E" w:rsidRPr="00C62B87" w:rsidRDefault="000C274E" w:rsidP="0077107C">
            <w:pPr>
              <w:spacing w:after="60" w:line="240" w:lineRule="auto"/>
              <w:jc w:val="center"/>
              <w:rPr>
                <w:highlight w:val="yellow"/>
              </w:rPr>
            </w:pPr>
            <w:r>
              <w:t>3357</w:t>
            </w:r>
          </w:p>
        </w:tc>
      </w:tr>
      <w:tr w:rsidR="0078592E" w:rsidRPr="009D612A" w:rsidTr="00C70A4D">
        <w:trPr>
          <w:cantSplit/>
          <w:tblHeader/>
        </w:trPr>
        <w:tc>
          <w:tcPr>
            <w:tcW w:w="10172" w:type="dxa"/>
            <w:gridSpan w:val="10"/>
            <w:shd w:val="clear" w:color="auto" w:fill="auto"/>
            <w:vAlign w:val="center"/>
          </w:tcPr>
          <w:p w:rsidR="007D09C8" w:rsidRPr="00D62E87" w:rsidRDefault="0078592E" w:rsidP="00451C1A">
            <w:pPr>
              <w:spacing w:after="60" w:line="240" w:lineRule="auto"/>
              <w:rPr>
                <w:rFonts w:cs="Calibri"/>
                <w:b/>
                <w:color w:val="000000"/>
              </w:rPr>
            </w:pPr>
            <w:r w:rsidRPr="009D612A">
              <w:rPr>
                <w:rFonts w:cs="Calibri"/>
                <w:b/>
                <w:color w:val="000000"/>
              </w:rPr>
              <w:t>Cancer and other Neoplasms</w:t>
            </w:r>
          </w:p>
        </w:tc>
      </w:tr>
      <w:tr w:rsidR="0078592E" w:rsidRPr="009D612A" w:rsidTr="00C70A4D">
        <w:trPr>
          <w:cantSplit/>
          <w:tblHeader/>
        </w:trPr>
        <w:tc>
          <w:tcPr>
            <w:tcW w:w="2262" w:type="dxa"/>
            <w:gridSpan w:val="3"/>
            <w:shd w:val="clear" w:color="auto" w:fill="CCECFF"/>
            <w:vAlign w:val="center"/>
          </w:tcPr>
          <w:p w:rsidR="0078592E" w:rsidRPr="009D612A" w:rsidRDefault="0078592E" w:rsidP="00F7690A">
            <w:pPr>
              <w:spacing w:after="60" w:line="240" w:lineRule="auto"/>
              <w:jc w:val="center"/>
            </w:pPr>
            <w:r w:rsidRPr="009D612A">
              <w:t>2017-18</w:t>
            </w:r>
          </w:p>
        </w:tc>
        <w:tc>
          <w:tcPr>
            <w:tcW w:w="1837" w:type="dxa"/>
            <w:gridSpan w:val="2"/>
            <w:shd w:val="clear" w:color="auto" w:fill="CCECFF"/>
            <w:vAlign w:val="center"/>
          </w:tcPr>
          <w:p w:rsidR="0078592E" w:rsidRPr="009D612A" w:rsidRDefault="0078592E" w:rsidP="00F7690A">
            <w:pPr>
              <w:spacing w:after="60" w:line="240" w:lineRule="auto"/>
              <w:jc w:val="center"/>
            </w:pPr>
            <w:r w:rsidRPr="009D612A">
              <w:t>2018-19</w:t>
            </w:r>
          </w:p>
        </w:tc>
        <w:tc>
          <w:tcPr>
            <w:tcW w:w="1977" w:type="dxa"/>
            <w:shd w:val="clear" w:color="auto" w:fill="CCECFF"/>
            <w:vAlign w:val="center"/>
          </w:tcPr>
          <w:p w:rsidR="0078592E" w:rsidRPr="009D612A" w:rsidRDefault="0078592E" w:rsidP="00F7690A">
            <w:pPr>
              <w:spacing w:after="60" w:line="240" w:lineRule="auto"/>
              <w:jc w:val="center"/>
            </w:pPr>
            <w:r w:rsidRPr="009D612A">
              <w:t>2019-20</w:t>
            </w:r>
          </w:p>
        </w:tc>
        <w:tc>
          <w:tcPr>
            <w:tcW w:w="2118" w:type="dxa"/>
            <w:gridSpan w:val="3"/>
            <w:shd w:val="clear" w:color="auto" w:fill="CCECFF"/>
            <w:vAlign w:val="center"/>
          </w:tcPr>
          <w:p w:rsidR="0078592E" w:rsidRPr="009D612A" w:rsidRDefault="0078592E" w:rsidP="00F7690A">
            <w:pPr>
              <w:spacing w:after="60" w:line="240" w:lineRule="auto"/>
              <w:jc w:val="center"/>
            </w:pPr>
            <w:r w:rsidRPr="009D612A">
              <w:t>2020-21</w:t>
            </w:r>
          </w:p>
        </w:tc>
        <w:tc>
          <w:tcPr>
            <w:tcW w:w="1978" w:type="dxa"/>
            <w:shd w:val="clear" w:color="auto" w:fill="CCECFF"/>
            <w:vAlign w:val="center"/>
          </w:tcPr>
          <w:p w:rsidR="0078592E" w:rsidRPr="009D612A" w:rsidRDefault="0078592E" w:rsidP="00F7690A">
            <w:pPr>
              <w:spacing w:after="60" w:line="240" w:lineRule="auto"/>
              <w:jc w:val="center"/>
            </w:pPr>
            <w:r w:rsidRPr="009D612A">
              <w:t>2021-22</w:t>
            </w:r>
          </w:p>
        </w:tc>
      </w:tr>
      <w:tr w:rsidR="0078592E" w:rsidRPr="009D612A" w:rsidTr="00C70A4D">
        <w:trPr>
          <w:cantSplit/>
          <w:trHeight w:val="263"/>
          <w:tblHeader/>
        </w:trPr>
        <w:tc>
          <w:tcPr>
            <w:tcW w:w="2262" w:type="dxa"/>
            <w:gridSpan w:val="3"/>
            <w:shd w:val="clear" w:color="auto" w:fill="auto"/>
          </w:tcPr>
          <w:p w:rsidR="0078592E" w:rsidRPr="00C62B87" w:rsidRDefault="00B738F8" w:rsidP="0077107C">
            <w:pPr>
              <w:spacing w:after="60" w:line="240" w:lineRule="auto"/>
              <w:jc w:val="center"/>
              <w:rPr>
                <w:highlight w:val="yellow"/>
              </w:rPr>
            </w:pPr>
            <w:r w:rsidRPr="00B738F8">
              <w:t>8603</w:t>
            </w:r>
          </w:p>
        </w:tc>
        <w:tc>
          <w:tcPr>
            <w:tcW w:w="1837" w:type="dxa"/>
            <w:gridSpan w:val="2"/>
            <w:shd w:val="clear" w:color="auto" w:fill="auto"/>
          </w:tcPr>
          <w:p w:rsidR="0078592E" w:rsidRPr="00B738F8" w:rsidRDefault="00B738F8" w:rsidP="0077107C">
            <w:pPr>
              <w:spacing w:after="60" w:line="240" w:lineRule="auto"/>
              <w:jc w:val="center"/>
            </w:pPr>
            <w:r>
              <w:t>8905</w:t>
            </w:r>
          </w:p>
        </w:tc>
        <w:tc>
          <w:tcPr>
            <w:tcW w:w="1977" w:type="dxa"/>
            <w:shd w:val="clear" w:color="auto" w:fill="auto"/>
          </w:tcPr>
          <w:p w:rsidR="0078592E" w:rsidRPr="00B738F8" w:rsidRDefault="00B738F8" w:rsidP="0077107C">
            <w:pPr>
              <w:spacing w:after="60" w:line="240" w:lineRule="auto"/>
              <w:jc w:val="center"/>
            </w:pPr>
            <w:r>
              <w:t>9207</w:t>
            </w:r>
          </w:p>
        </w:tc>
        <w:tc>
          <w:tcPr>
            <w:tcW w:w="2118" w:type="dxa"/>
            <w:gridSpan w:val="3"/>
            <w:shd w:val="clear" w:color="auto" w:fill="auto"/>
          </w:tcPr>
          <w:p w:rsidR="0078592E" w:rsidRPr="00B738F8" w:rsidRDefault="00B738F8" w:rsidP="0077107C">
            <w:pPr>
              <w:spacing w:after="60" w:line="240" w:lineRule="auto"/>
              <w:jc w:val="center"/>
            </w:pPr>
            <w:r>
              <w:t>9509</w:t>
            </w:r>
          </w:p>
        </w:tc>
        <w:tc>
          <w:tcPr>
            <w:tcW w:w="1978" w:type="dxa"/>
            <w:shd w:val="clear" w:color="auto" w:fill="auto"/>
          </w:tcPr>
          <w:p w:rsidR="0078592E" w:rsidRPr="00B738F8" w:rsidRDefault="00B738F8" w:rsidP="0077107C">
            <w:pPr>
              <w:spacing w:after="60" w:line="240" w:lineRule="auto"/>
              <w:jc w:val="center"/>
            </w:pPr>
            <w:r>
              <w:t>9810</w:t>
            </w:r>
          </w:p>
        </w:tc>
      </w:tr>
      <w:tr w:rsidR="00C439B6" w:rsidRPr="009D612A" w:rsidTr="00C70A4D">
        <w:trPr>
          <w:cantSplit/>
          <w:tblHeader/>
        </w:trPr>
        <w:tc>
          <w:tcPr>
            <w:tcW w:w="10172" w:type="dxa"/>
            <w:gridSpan w:val="10"/>
            <w:shd w:val="clear" w:color="auto" w:fill="auto"/>
            <w:vAlign w:val="center"/>
          </w:tcPr>
          <w:p w:rsidR="007D09C8" w:rsidRPr="009D612A" w:rsidRDefault="00C439B6" w:rsidP="00AB0564">
            <w:pPr>
              <w:spacing w:after="60" w:line="240" w:lineRule="auto"/>
              <w:rPr>
                <w:rFonts w:cs="Calibri"/>
                <w:b/>
                <w:color w:val="000000"/>
              </w:rPr>
            </w:pPr>
            <w:r w:rsidRPr="009D612A">
              <w:rPr>
                <w:rFonts w:cs="Calibri"/>
                <w:b/>
                <w:color w:val="000000"/>
              </w:rPr>
              <w:t>Injuries</w:t>
            </w:r>
          </w:p>
        </w:tc>
      </w:tr>
      <w:tr w:rsidR="00C439B6" w:rsidRPr="009D612A" w:rsidTr="00C70A4D">
        <w:trPr>
          <w:cantSplit/>
          <w:tblHeader/>
        </w:trPr>
        <w:tc>
          <w:tcPr>
            <w:tcW w:w="2262" w:type="dxa"/>
            <w:gridSpan w:val="3"/>
            <w:shd w:val="clear" w:color="auto" w:fill="CCECFF"/>
            <w:vAlign w:val="center"/>
          </w:tcPr>
          <w:p w:rsidR="00C439B6" w:rsidRPr="009D612A" w:rsidRDefault="00C439B6" w:rsidP="00F7690A">
            <w:pPr>
              <w:spacing w:after="60" w:line="240" w:lineRule="auto"/>
              <w:jc w:val="center"/>
              <w:rPr>
                <w:rFonts w:cs="Calibri"/>
                <w:b/>
                <w:color w:val="000000"/>
              </w:rPr>
            </w:pPr>
            <w:r w:rsidRPr="009D612A">
              <w:t>2017-18</w:t>
            </w:r>
          </w:p>
        </w:tc>
        <w:tc>
          <w:tcPr>
            <w:tcW w:w="1827" w:type="dxa"/>
            <w:shd w:val="clear" w:color="auto" w:fill="CCECFF"/>
            <w:vAlign w:val="center"/>
          </w:tcPr>
          <w:p w:rsidR="00C439B6" w:rsidRPr="009D612A" w:rsidRDefault="00C439B6" w:rsidP="00F7690A">
            <w:pPr>
              <w:spacing w:after="60" w:line="240" w:lineRule="auto"/>
              <w:jc w:val="center"/>
              <w:rPr>
                <w:rFonts w:cs="Calibri"/>
                <w:b/>
                <w:color w:val="000000"/>
              </w:rPr>
            </w:pPr>
            <w:r w:rsidRPr="009D612A">
              <w:t>2018-19</w:t>
            </w:r>
          </w:p>
        </w:tc>
        <w:tc>
          <w:tcPr>
            <w:tcW w:w="2027" w:type="dxa"/>
            <w:gridSpan w:val="3"/>
            <w:shd w:val="clear" w:color="auto" w:fill="CCECFF"/>
            <w:vAlign w:val="center"/>
          </w:tcPr>
          <w:p w:rsidR="00C439B6" w:rsidRPr="009D612A" w:rsidRDefault="00C439B6" w:rsidP="00F7690A">
            <w:pPr>
              <w:spacing w:after="60" w:line="240" w:lineRule="auto"/>
              <w:jc w:val="center"/>
              <w:rPr>
                <w:rFonts w:cs="Calibri"/>
                <w:b/>
                <w:color w:val="000000"/>
              </w:rPr>
            </w:pPr>
            <w:r w:rsidRPr="009D612A">
              <w:t>2019-20</w:t>
            </w:r>
          </w:p>
        </w:tc>
        <w:tc>
          <w:tcPr>
            <w:tcW w:w="2078" w:type="dxa"/>
            <w:gridSpan w:val="2"/>
            <w:shd w:val="clear" w:color="auto" w:fill="CCECFF"/>
            <w:vAlign w:val="center"/>
          </w:tcPr>
          <w:p w:rsidR="00C439B6" w:rsidRPr="009D612A" w:rsidRDefault="00C439B6" w:rsidP="00F7690A">
            <w:pPr>
              <w:spacing w:after="60" w:line="240" w:lineRule="auto"/>
              <w:jc w:val="center"/>
              <w:rPr>
                <w:rFonts w:cs="Calibri"/>
                <w:b/>
                <w:color w:val="000000"/>
              </w:rPr>
            </w:pPr>
            <w:r w:rsidRPr="009D612A">
              <w:t>2020-21</w:t>
            </w:r>
          </w:p>
        </w:tc>
        <w:tc>
          <w:tcPr>
            <w:tcW w:w="1978" w:type="dxa"/>
            <w:shd w:val="clear" w:color="auto" w:fill="CCECFF"/>
            <w:vAlign w:val="center"/>
          </w:tcPr>
          <w:p w:rsidR="00C439B6" w:rsidRPr="009D612A" w:rsidRDefault="00C439B6" w:rsidP="00F7690A">
            <w:pPr>
              <w:spacing w:after="60" w:line="240" w:lineRule="auto"/>
              <w:jc w:val="center"/>
              <w:rPr>
                <w:rFonts w:cs="Calibri"/>
                <w:b/>
                <w:color w:val="000000"/>
              </w:rPr>
            </w:pPr>
            <w:r w:rsidRPr="009D612A">
              <w:t>2021-22</w:t>
            </w:r>
          </w:p>
        </w:tc>
      </w:tr>
      <w:tr w:rsidR="00C439B6" w:rsidRPr="009D612A" w:rsidTr="00C70A4D">
        <w:trPr>
          <w:cantSplit/>
          <w:trHeight w:val="276"/>
          <w:tblHeader/>
        </w:trPr>
        <w:tc>
          <w:tcPr>
            <w:tcW w:w="2262" w:type="dxa"/>
            <w:gridSpan w:val="3"/>
            <w:shd w:val="clear" w:color="auto" w:fill="auto"/>
          </w:tcPr>
          <w:p w:rsidR="00C439B6" w:rsidRPr="009D612A" w:rsidRDefault="0057270F" w:rsidP="0077107C">
            <w:pPr>
              <w:spacing w:after="60" w:line="240" w:lineRule="auto"/>
              <w:jc w:val="center"/>
              <w:rPr>
                <w:rFonts w:cs="Calibri"/>
                <w:b/>
                <w:color w:val="000000"/>
              </w:rPr>
            </w:pPr>
            <w:r>
              <w:t>1781</w:t>
            </w:r>
          </w:p>
        </w:tc>
        <w:tc>
          <w:tcPr>
            <w:tcW w:w="1827" w:type="dxa"/>
            <w:shd w:val="clear" w:color="auto" w:fill="auto"/>
          </w:tcPr>
          <w:p w:rsidR="00C439B6" w:rsidRPr="009D612A" w:rsidRDefault="0057270F" w:rsidP="0077107C">
            <w:pPr>
              <w:spacing w:after="60" w:line="240" w:lineRule="auto"/>
              <w:jc w:val="center"/>
              <w:rPr>
                <w:rFonts w:cs="Calibri"/>
                <w:b/>
                <w:color w:val="000000"/>
              </w:rPr>
            </w:pPr>
            <w:r>
              <w:t>1840</w:t>
            </w:r>
          </w:p>
        </w:tc>
        <w:tc>
          <w:tcPr>
            <w:tcW w:w="2027" w:type="dxa"/>
            <w:gridSpan w:val="3"/>
            <w:shd w:val="clear" w:color="auto" w:fill="auto"/>
          </w:tcPr>
          <w:p w:rsidR="00C439B6" w:rsidRPr="009D612A" w:rsidRDefault="0057270F" w:rsidP="0077107C">
            <w:pPr>
              <w:spacing w:after="60" w:line="240" w:lineRule="auto"/>
              <w:jc w:val="center"/>
              <w:rPr>
                <w:rFonts w:cs="Calibri"/>
                <w:b/>
                <w:color w:val="000000"/>
              </w:rPr>
            </w:pPr>
            <w:r>
              <w:t>1899</w:t>
            </w:r>
          </w:p>
        </w:tc>
        <w:tc>
          <w:tcPr>
            <w:tcW w:w="2078" w:type="dxa"/>
            <w:gridSpan w:val="2"/>
            <w:shd w:val="clear" w:color="auto" w:fill="auto"/>
          </w:tcPr>
          <w:p w:rsidR="00C439B6" w:rsidRPr="009D612A" w:rsidRDefault="0057270F" w:rsidP="0077107C">
            <w:pPr>
              <w:spacing w:after="60" w:line="240" w:lineRule="auto"/>
              <w:jc w:val="center"/>
              <w:rPr>
                <w:rFonts w:cs="Calibri"/>
                <w:b/>
                <w:color w:val="000000"/>
              </w:rPr>
            </w:pPr>
            <w:r>
              <w:t>1959</w:t>
            </w:r>
          </w:p>
        </w:tc>
        <w:tc>
          <w:tcPr>
            <w:tcW w:w="1978" w:type="dxa"/>
            <w:shd w:val="clear" w:color="auto" w:fill="auto"/>
          </w:tcPr>
          <w:p w:rsidR="00C439B6" w:rsidRPr="009D612A" w:rsidRDefault="0057270F" w:rsidP="0077107C">
            <w:pPr>
              <w:spacing w:after="60" w:line="240" w:lineRule="auto"/>
              <w:jc w:val="center"/>
              <w:rPr>
                <w:rFonts w:cs="Calibri"/>
                <w:b/>
                <w:color w:val="000000"/>
              </w:rPr>
            </w:pPr>
            <w:r>
              <w:t>2018</w:t>
            </w:r>
          </w:p>
        </w:tc>
      </w:tr>
      <w:tr w:rsidR="0078592E" w:rsidRPr="009D612A" w:rsidTr="00C70A4D">
        <w:trPr>
          <w:cantSplit/>
          <w:tblHeader/>
        </w:trPr>
        <w:tc>
          <w:tcPr>
            <w:tcW w:w="10172" w:type="dxa"/>
            <w:gridSpan w:val="10"/>
            <w:shd w:val="clear" w:color="auto" w:fill="auto"/>
            <w:vAlign w:val="center"/>
          </w:tcPr>
          <w:p w:rsidR="0065333B" w:rsidRDefault="0078592E" w:rsidP="00F7690A">
            <w:pPr>
              <w:spacing w:after="60" w:line="240" w:lineRule="auto"/>
              <w:rPr>
                <w:rFonts w:cs="Calibri"/>
                <w:b/>
                <w:color w:val="000000"/>
              </w:rPr>
            </w:pPr>
            <w:r w:rsidRPr="009D612A">
              <w:rPr>
                <w:rFonts w:cs="Calibri"/>
                <w:b/>
                <w:color w:val="000000"/>
              </w:rPr>
              <w:t>Injuries</w:t>
            </w:r>
            <w:r w:rsidR="00097E74">
              <w:rPr>
                <w:rFonts w:cs="Calibri"/>
                <w:b/>
                <w:color w:val="000000"/>
              </w:rPr>
              <w:t xml:space="preserve"> - </w:t>
            </w:r>
            <w:r w:rsidR="0065333B">
              <w:rPr>
                <w:rFonts w:cs="Calibri"/>
                <w:b/>
                <w:color w:val="000000"/>
              </w:rPr>
              <w:t>Deliberate Self Harm</w:t>
            </w:r>
          </w:p>
          <w:p w:rsidR="00055451" w:rsidRDefault="00370B21" w:rsidP="0065333B">
            <w:pPr>
              <w:rPr>
                <w:rFonts w:cs="Calibri"/>
                <w:color w:val="000000"/>
              </w:rPr>
            </w:pPr>
            <w:r>
              <w:rPr>
                <w:rFonts w:cs="Calibri"/>
                <w:color w:val="000000"/>
                <w:u w:val="single"/>
              </w:rPr>
              <w:t xml:space="preserve">Additional </w:t>
            </w:r>
            <w:r w:rsidR="00AF68F9">
              <w:rPr>
                <w:rFonts w:cs="Calibri"/>
                <w:color w:val="000000"/>
                <w:u w:val="single"/>
              </w:rPr>
              <w:t xml:space="preserve">Purchaser </w:t>
            </w:r>
            <w:r w:rsidR="004C1C0B">
              <w:rPr>
                <w:rFonts w:cs="Calibri"/>
                <w:color w:val="000000"/>
                <w:u w:val="single"/>
              </w:rPr>
              <w:t>intent</w:t>
            </w:r>
            <w:r w:rsidR="0078592E" w:rsidRPr="006E55A6">
              <w:rPr>
                <w:rFonts w:cs="Calibri"/>
                <w:color w:val="000000"/>
                <w:u w:val="single"/>
              </w:rPr>
              <w:t>:</w:t>
            </w:r>
            <w:r w:rsidR="0078592E" w:rsidRPr="006E55A6">
              <w:rPr>
                <w:rFonts w:cs="Calibri"/>
                <w:color w:val="000000"/>
              </w:rPr>
              <w:t xml:space="preserve"> </w:t>
            </w:r>
          </w:p>
          <w:p w:rsidR="00AF68F9" w:rsidRPr="00D62E87" w:rsidRDefault="0078592E" w:rsidP="00D62E87">
            <w:pPr>
              <w:rPr>
                <w:rFonts w:cs="Calibri"/>
                <w:color w:val="000000"/>
                <w:lang w:eastAsia="en-AU"/>
              </w:rPr>
            </w:pPr>
            <w:r w:rsidRPr="006E55A6">
              <w:rPr>
                <w:rFonts w:cs="Calibri"/>
                <w:color w:val="000000"/>
                <w:lang w:eastAsia="en-AU"/>
              </w:rPr>
              <w:t>Deliberate self-harm or suicide attempt patients, when discharged from the Acute Hospital (either Emergency Department or inpatient setting</w:t>
            </w:r>
            <w:r w:rsidRPr="00BE6A84">
              <w:rPr>
                <w:rFonts w:cs="Calibri"/>
                <w:color w:val="000000"/>
                <w:lang w:eastAsia="en-AU"/>
              </w:rPr>
              <w:t>), are assessed and referred</w:t>
            </w:r>
            <w:r w:rsidRPr="006E55A6">
              <w:rPr>
                <w:rFonts w:cs="Calibri"/>
                <w:color w:val="000000"/>
                <w:lang w:eastAsia="en-AU"/>
              </w:rPr>
              <w:t xml:space="preserve"> for follow up post discharge community care within 48 hours of discharge.</w:t>
            </w:r>
          </w:p>
        </w:tc>
      </w:tr>
      <w:tr w:rsidR="0078592E" w:rsidRPr="009D612A" w:rsidTr="00C70A4D">
        <w:trPr>
          <w:cantSplit/>
          <w:tblHeader/>
        </w:trPr>
        <w:tc>
          <w:tcPr>
            <w:tcW w:w="2262" w:type="dxa"/>
            <w:gridSpan w:val="3"/>
            <w:shd w:val="clear" w:color="auto" w:fill="CCECFF"/>
            <w:vAlign w:val="center"/>
          </w:tcPr>
          <w:p w:rsidR="0078592E" w:rsidRPr="009D612A" w:rsidRDefault="0078592E" w:rsidP="00F7690A">
            <w:pPr>
              <w:spacing w:after="60" w:line="240" w:lineRule="auto"/>
              <w:jc w:val="center"/>
            </w:pPr>
            <w:r w:rsidRPr="009D612A">
              <w:t>2017-18</w:t>
            </w:r>
          </w:p>
        </w:tc>
        <w:tc>
          <w:tcPr>
            <w:tcW w:w="1837" w:type="dxa"/>
            <w:gridSpan w:val="2"/>
            <w:shd w:val="clear" w:color="auto" w:fill="CCECFF"/>
            <w:vAlign w:val="center"/>
          </w:tcPr>
          <w:p w:rsidR="0078592E" w:rsidRPr="009D612A" w:rsidRDefault="0078592E" w:rsidP="00F7690A">
            <w:pPr>
              <w:spacing w:after="60" w:line="240" w:lineRule="auto"/>
              <w:jc w:val="center"/>
            </w:pPr>
            <w:r w:rsidRPr="009D612A">
              <w:t>2018-19</w:t>
            </w:r>
          </w:p>
        </w:tc>
        <w:tc>
          <w:tcPr>
            <w:tcW w:w="1977" w:type="dxa"/>
            <w:shd w:val="clear" w:color="auto" w:fill="CCECFF"/>
            <w:vAlign w:val="center"/>
          </w:tcPr>
          <w:p w:rsidR="0078592E" w:rsidRPr="009D612A" w:rsidRDefault="0078592E" w:rsidP="00F7690A">
            <w:pPr>
              <w:spacing w:after="60" w:line="240" w:lineRule="auto"/>
              <w:jc w:val="center"/>
            </w:pPr>
            <w:r w:rsidRPr="009D612A">
              <w:t>2019-20</w:t>
            </w:r>
          </w:p>
        </w:tc>
        <w:tc>
          <w:tcPr>
            <w:tcW w:w="2118" w:type="dxa"/>
            <w:gridSpan w:val="3"/>
            <w:shd w:val="clear" w:color="auto" w:fill="CCECFF"/>
            <w:vAlign w:val="center"/>
          </w:tcPr>
          <w:p w:rsidR="0078592E" w:rsidRPr="009D612A" w:rsidRDefault="0078592E" w:rsidP="00F7690A">
            <w:pPr>
              <w:spacing w:after="60" w:line="240" w:lineRule="auto"/>
              <w:jc w:val="center"/>
            </w:pPr>
            <w:r w:rsidRPr="009D612A">
              <w:t>2020-21</w:t>
            </w:r>
          </w:p>
        </w:tc>
        <w:tc>
          <w:tcPr>
            <w:tcW w:w="1978" w:type="dxa"/>
            <w:shd w:val="clear" w:color="auto" w:fill="CCECFF"/>
            <w:vAlign w:val="center"/>
          </w:tcPr>
          <w:p w:rsidR="0078592E" w:rsidRPr="009D612A" w:rsidRDefault="0078592E" w:rsidP="00F7690A">
            <w:pPr>
              <w:spacing w:after="60" w:line="240" w:lineRule="auto"/>
              <w:jc w:val="center"/>
            </w:pPr>
            <w:r w:rsidRPr="009D612A">
              <w:t>2021-22</w:t>
            </w:r>
          </w:p>
        </w:tc>
      </w:tr>
      <w:tr w:rsidR="00DA3B6B" w:rsidRPr="009D612A" w:rsidTr="00C70A4D">
        <w:trPr>
          <w:cantSplit/>
          <w:tblHeader/>
        </w:trPr>
        <w:tc>
          <w:tcPr>
            <w:tcW w:w="2262" w:type="dxa"/>
            <w:gridSpan w:val="3"/>
          </w:tcPr>
          <w:p w:rsidR="00DA3B6B" w:rsidRPr="00C62B87" w:rsidRDefault="00DA3B6B" w:rsidP="00F7690A">
            <w:pPr>
              <w:spacing w:after="60" w:line="240" w:lineRule="auto"/>
              <w:jc w:val="center"/>
              <w:rPr>
                <w:highlight w:val="yellow"/>
              </w:rPr>
            </w:pPr>
            <w:r w:rsidRPr="00640AB4">
              <w:rPr>
                <w:rFonts w:cs="Calibri"/>
                <w:color w:val="000000"/>
              </w:rPr>
              <w:t>Monitoring &amp; Reporting</w:t>
            </w:r>
          </w:p>
        </w:tc>
        <w:tc>
          <w:tcPr>
            <w:tcW w:w="1837" w:type="dxa"/>
            <w:gridSpan w:val="2"/>
          </w:tcPr>
          <w:p w:rsidR="00DA3B6B" w:rsidRPr="00C62B87" w:rsidRDefault="00DA3B6B" w:rsidP="00F7690A">
            <w:pPr>
              <w:spacing w:after="60" w:line="240" w:lineRule="auto"/>
              <w:jc w:val="center"/>
              <w:rPr>
                <w:highlight w:val="yellow"/>
              </w:rPr>
            </w:pPr>
            <w:r w:rsidRPr="00D3337F">
              <w:rPr>
                <w:rFonts w:cs="Calibri"/>
                <w:color w:val="000000"/>
              </w:rPr>
              <w:t>Monitoring &amp; Reporting</w:t>
            </w:r>
          </w:p>
        </w:tc>
        <w:tc>
          <w:tcPr>
            <w:tcW w:w="1977" w:type="dxa"/>
          </w:tcPr>
          <w:p w:rsidR="00DA3B6B" w:rsidRPr="00C62B87" w:rsidRDefault="00DA3B6B" w:rsidP="00F7690A">
            <w:pPr>
              <w:spacing w:after="60" w:line="240" w:lineRule="auto"/>
              <w:jc w:val="center"/>
              <w:rPr>
                <w:highlight w:val="yellow"/>
              </w:rPr>
            </w:pPr>
            <w:r w:rsidRPr="00D3337F">
              <w:rPr>
                <w:rFonts w:cs="Calibri"/>
                <w:color w:val="000000"/>
              </w:rPr>
              <w:t>Monitoring &amp; Reporting</w:t>
            </w:r>
          </w:p>
        </w:tc>
        <w:tc>
          <w:tcPr>
            <w:tcW w:w="2118" w:type="dxa"/>
            <w:gridSpan w:val="3"/>
          </w:tcPr>
          <w:p w:rsidR="00DA3B6B" w:rsidRPr="00C62B87" w:rsidRDefault="00DA3B6B" w:rsidP="00F7690A">
            <w:pPr>
              <w:spacing w:after="60" w:line="240" w:lineRule="auto"/>
              <w:jc w:val="center"/>
              <w:rPr>
                <w:highlight w:val="yellow"/>
              </w:rPr>
            </w:pPr>
            <w:r w:rsidRPr="00D3337F">
              <w:rPr>
                <w:rFonts w:cs="Calibri"/>
                <w:color w:val="000000"/>
              </w:rPr>
              <w:t>Monitoring &amp; Reporting</w:t>
            </w:r>
          </w:p>
        </w:tc>
        <w:tc>
          <w:tcPr>
            <w:tcW w:w="1978" w:type="dxa"/>
          </w:tcPr>
          <w:p w:rsidR="00DA3B6B" w:rsidRPr="00C62B87" w:rsidRDefault="00DA3B6B" w:rsidP="00F7690A">
            <w:pPr>
              <w:spacing w:after="60" w:line="240" w:lineRule="auto"/>
              <w:jc w:val="center"/>
              <w:rPr>
                <w:highlight w:val="yellow"/>
              </w:rPr>
            </w:pPr>
            <w:r w:rsidRPr="00D3337F">
              <w:rPr>
                <w:rFonts w:cs="Calibri"/>
                <w:color w:val="000000"/>
              </w:rPr>
              <w:t>Monitoring &amp; Reporting</w:t>
            </w:r>
          </w:p>
        </w:tc>
      </w:tr>
      <w:tr w:rsidR="0065333B" w:rsidRPr="009D612A" w:rsidTr="00C70A4D">
        <w:trPr>
          <w:cantSplit/>
          <w:trHeight w:val="1732"/>
          <w:tblHeader/>
        </w:trPr>
        <w:tc>
          <w:tcPr>
            <w:tcW w:w="10172" w:type="dxa"/>
            <w:gridSpan w:val="10"/>
          </w:tcPr>
          <w:p w:rsidR="0065333B" w:rsidRPr="0028453D" w:rsidRDefault="00097E74" w:rsidP="00F7690A">
            <w:pPr>
              <w:pStyle w:val="Intro"/>
              <w:spacing w:after="60"/>
              <w:jc w:val="both"/>
              <w:rPr>
                <w:rFonts w:ascii="Gill Sans MT" w:hAnsi="Gill Sans MT" w:cs="Calibri"/>
                <w:b/>
                <w:color w:val="000000"/>
                <w:sz w:val="22"/>
                <w:szCs w:val="22"/>
              </w:rPr>
            </w:pPr>
            <w:r w:rsidRPr="0028453D">
              <w:rPr>
                <w:rFonts w:ascii="Gill Sans MT" w:hAnsi="Gill Sans MT" w:cs="Calibri"/>
                <w:b/>
                <w:color w:val="000000"/>
                <w:sz w:val="22"/>
                <w:szCs w:val="22"/>
              </w:rPr>
              <w:t>Injuries</w:t>
            </w:r>
            <w:r w:rsidRPr="0028453D">
              <w:rPr>
                <w:rFonts w:cs="Calibri"/>
                <w:b/>
                <w:color w:val="000000"/>
                <w:sz w:val="22"/>
                <w:szCs w:val="22"/>
              </w:rPr>
              <w:t xml:space="preserve"> -</w:t>
            </w:r>
            <w:r w:rsidRPr="0028453D">
              <w:rPr>
                <w:rFonts w:cs="Calibri"/>
                <w:b/>
                <w:color w:val="000000"/>
              </w:rPr>
              <w:t xml:space="preserve"> </w:t>
            </w:r>
            <w:r w:rsidR="0065333B" w:rsidRPr="0028453D">
              <w:rPr>
                <w:rFonts w:ascii="Gill Sans MT" w:hAnsi="Gill Sans MT" w:cs="Calibri"/>
                <w:b/>
                <w:color w:val="000000"/>
                <w:sz w:val="22"/>
                <w:szCs w:val="22"/>
              </w:rPr>
              <w:t>Trauma</w:t>
            </w:r>
          </w:p>
          <w:p w:rsidR="00AF68F9" w:rsidRDefault="00370B21" w:rsidP="00AF68F9">
            <w:pPr>
              <w:rPr>
                <w:rFonts w:cs="Calibri"/>
                <w:color w:val="000000"/>
              </w:rPr>
            </w:pPr>
            <w:r>
              <w:rPr>
                <w:rFonts w:cs="Calibri"/>
                <w:color w:val="000000"/>
                <w:u w:val="single"/>
              </w:rPr>
              <w:t xml:space="preserve">Additional </w:t>
            </w:r>
            <w:r w:rsidR="00AF68F9">
              <w:rPr>
                <w:rFonts w:cs="Calibri"/>
                <w:color w:val="000000"/>
                <w:u w:val="single"/>
              </w:rPr>
              <w:t>Purchaser intent</w:t>
            </w:r>
            <w:r w:rsidR="00AF68F9" w:rsidRPr="006E55A6">
              <w:rPr>
                <w:rFonts w:cs="Calibri"/>
                <w:color w:val="000000"/>
                <w:u w:val="single"/>
              </w:rPr>
              <w:t>:</w:t>
            </w:r>
            <w:r w:rsidR="00AF68F9" w:rsidRPr="006E55A6">
              <w:rPr>
                <w:rFonts w:cs="Calibri"/>
                <w:color w:val="000000"/>
              </w:rPr>
              <w:t xml:space="preserve"> </w:t>
            </w:r>
          </w:p>
          <w:p w:rsidR="00AF68F9" w:rsidRPr="00D62E87" w:rsidRDefault="000C0AC6" w:rsidP="00D62E87">
            <w:pPr>
              <w:pStyle w:val="Intro"/>
              <w:spacing w:after="140" w:line="300" w:lineRule="atLeast"/>
              <w:jc w:val="both"/>
              <w:rPr>
                <w:rFonts w:ascii="Gill Sans MT" w:eastAsiaTheme="minorHAnsi" w:hAnsi="Gill Sans MT"/>
                <w:sz w:val="22"/>
                <w:szCs w:val="22"/>
                <w:lang w:val="en-AU"/>
              </w:rPr>
            </w:pPr>
            <w:r w:rsidRPr="00BE22FF">
              <w:rPr>
                <w:rFonts w:ascii="Gill Sans MT" w:eastAsiaTheme="minorHAnsi" w:hAnsi="Gill Sans MT"/>
                <w:sz w:val="22"/>
                <w:szCs w:val="22"/>
                <w:lang w:val="en-AU"/>
              </w:rPr>
              <w:t>Provision of funding for resources</w:t>
            </w:r>
            <w:r w:rsidR="0010037C" w:rsidRPr="00BE22FF">
              <w:rPr>
                <w:rFonts w:ascii="Gill Sans MT" w:eastAsiaTheme="minorHAnsi" w:hAnsi="Gill Sans MT"/>
                <w:sz w:val="22"/>
                <w:szCs w:val="22"/>
                <w:lang w:val="en-AU"/>
              </w:rPr>
              <w:t xml:space="preserve"> </w:t>
            </w:r>
            <w:r w:rsidRPr="00BE22FF">
              <w:rPr>
                <w:rFonts w:ascii="Gill Sans MT" w:eastAsiaTheme="minorHAnsi" w:hAnsi="Gill Sans MT"/>
                <w:sz w:val="22"/>
                <w:szCs w:val="22"/>
                <w:lang w:val="en-AU"/>
              </w:rPr>
              <w:t>to establish and i</w:t>
            </w:r>
            <w:r w:rsidR="0065333B" w:rsidRPr="00BE22FF">
              <w:rPr>
                <w:rFonts w:ascii="Gill Sans MT" w:eastAsiaTheme="minorHAnsi" w:hAnsi="Gill Sans MT"/>
                <w:sz w:val="22"/>
                <w:szCs w:val="22"/>
                <w:lang w:val="en-AU"/>
              </w:rPr>
              <w:t xml:space="preserve">mplement a </w:t>
            </w:r>
            <w:r w:rsidR="0065333B" w:rsidRPr="00BE22FF">
              <w:rPr>
                <w:rFonts w:ascii="Gill Sans MT" w:hAnsi="Gill Sans MT"/>
                <w:sz w:val="22"/>
                <w:szCs w:val="22"/>
              </w:rPr>
              <w:t xml:space="preserve">safe, high quality and evidence based state-wide </w:t>
            </w:r>
            <w:r w:rsidR="0010037C" w:rsidRPr="00BE22FF">
              <w:rPr>
                <w:rFonts w:ascii="Gill Sans MT" w:eastAsiaTheme="minorHAnsi" w:hAnsi="Gill Sans MT"/>
                <w:sz w:val="22"/>
                <w:szCs w:val="22"/>
                <w:lang w:val="en-AU"/>
              </w:rPr>
              <w:t xml:space="preserve">Trauma Service and </w:t>
            </w:r>
            <w:r w:rsidR="0065333B" w:rsidRPr="00BE22FF">
              <w:rPr>
                <w:rFonts w:ascii="Gill Sans MT" w:eastAsiaTheme="minorHAnsi" w:hAnsi="Gill Sans MT"/>
                <w:sz w:val="22"/>
                <w:szCs w:val="22"/>
                <w:lang w:val="en-AU"/>
              </w:rPr>
              <w:t>clinical governance framework</w:t>
            </w:r>
            <w:r w:rsidR="00877615">
              <w:rPr>
                <w:rFonts w:ascii="Gill Sans MT" w:eastAsiaTheme="minorHAnsi" w:hAnsi="Gill Sans MT"/>
                <w:sz w:val="22"/>
                <w:szCs w:val="22"/>
                <w:lang w:val="en-AU"/>
              </w:rPr>
              <w:t xml:space="preserve">, underpinned by </w:t>
            </w:r>
            <w:r w:rsidR="0065333B" w:rsidRPr="00BE22FF">
              <w:rPr>
                <w:rFonts w:ascii="Gill Sans MT" w:eastAsiaTheme="minorHAnsi" w:hAnsi="Gill Sans MT"/>
                <w:sz w:val="22"/>
                <w:szCs w:val="22"/>
                <w:lang w:val="en-AU"/>
              </w:rPr>
              <w:t>major trauma cr</w:t>
            </w:r>
            <w:r w:rsidR="00D62E87">
              <w:rPr>
                <w:rFonts w:ascii="Gill Sans MT" w:eastAsiaTheme="minorHAnsi" w:hAnsi="Gill Sans MT"/>
                <w:sz w:val="22"/>
                <w:szCs w:val="22"/>
                <w:lang w:val="en-AU"/>
              </w:rPr>
              <w:t>iteria, guidelines and policies</w:t>
            </w:r>
            <w:r w:rsidR="0065333B" w:rsidRPr="00BE22FF">
              <w:rPr>
                <w:rFonts w:ascii="Gill Sans MT" w:eastAsiaTheme="minorHAnsi" w:hAnsi="Gill Sans MT"/>
                <w:sz w:val="22"/>
                <w:szCs w:val="22"/>
                <w:lang w:val="en-AU"/>
              </w:rPr>
              <w:t xml:space="preserve"> </w:t>
            </w:r>
            <w:r w:rsidR="00877615">
              <w:rPr>
                <w:rFonts w:ascii="Gill Sans MT" w:eastAsiaTheme="minorHAnsi" w:hAnsi="Gill Sans MT"/>
                <w:sz w:val="22"/>
                <w:szCs w:val="22"/>
                <w:lang w:val="en-AU"/>
              </w:rPr>
              <w:t xml:space="preserve">and </w:t>
            </w:r>
            <w:r w:rsidR="00D62E87">
              <w:rPr>
                <w:rFonts w:ascii="Gill Sans MT" w:eastAsiaTheme="minorHAnsi" w:hAnsi="Gill Sans MT"/>
                <w:sz w:val="22"/>
                <w:szCs w:val="22"/>
                <w:lang w:val="en-AU"/>
              </w:rPr>
              <w:t xml:space="preserve">supply of </w:t>
            </w:r>
            <w:proofErr w:type="spellStart"/>
            <w:r w:rsidR="00877615">
              <w:rPr>
                <w:rFonts w:ascii="Gill Sans MT" w:eastAsiaTheme="minorHAnsi" w:hAnsi="Gill Sans MT"/>
                <w:sz w:val="22"/>
                <w:szCs w:val="22"/>
                <w:lang w:val="en-AU"/>
              </w:rPr>
              <w:t>statewide</w:t>
            </w:r>
            <w:proofErr w:type="spellEnd"/>
            <w:r w:rsidR="00877615">
              <w:rPr>
                <w:rFonts w:ascii="Gill Sans MT" w:eastAsiaTheme="minorHAnsi" w:hAnsi="Gill Sans MT"/>
                <w:sz w:val="22"/>
                <w:szCs w:val="22"/>
                <w:lang w:val="en-AU"/>
              </w:rPr>
              <w:t xml:space="preserve"> training programs</w:t>
            </w:r>
            <w:r w:rsidR="00D62E87">
              <w:rPr>
                <w:rFonts w:ascii="Gill Sans MT" w:eastAsiaTheme="minorHAnsi" w:hAnsi="Gill Sans MT"/>
                <w:sz w:val="22"/>
                <w:szCs w:val="22"/>
                <w:lang w:val="en-AU"/>
              </w:rPr>
              <w:t xml:space="preserve"> to build trauma capability along the full continuum of care for trauma patients</w:t>
            </w:r>
            <w:r w:rsidR="00877615">
              <w:rPr>
                <w:rFonts w:ascii="Gill Sans MT" w:eastAsiaTheme="minorHAnsi" w:hAnsi="Gill Sans MT"/>
                <w:sz w:val="22"/>
                <w:szCs w:val="22"/>
                <w:lang w:val="en-AU"/>
              </w:rPr>
              <w:t>.</w:t>
            </w:r>
          </w:p>
        </w:tc>
      </w:tr>
      <w:tr w:rsidR="00640AB4" w:rsidRPr="009D612A" w:rsidTr="00C70A4D">
        <w:trPr>
          <w:cantSplit/>
          <w:tblHeader/>
        </w:trPr>
        <w:tc>
          <w:tcPr>
            <w:tcW w:w="2061" w:type="dxa"/>
            <w:gridSpan w:val="2"/>
            <w:shd w:val="clear" w:color="auto" w:fill="CCECFF"/>
            <w:vAlign w:val="center"/>
          </w:tcPr>
          <w:p w:rsidR="00640AB4" w:rsidRPr="00640AB4" w:rsidRDefault="00640AB4" w:rsidP="00F7690A">
            <w:pPr>
              <w:pStyle w:val="Intro"/>
              <w:spacing w:after="60"/>
              <w:jc w:val="center"/>
              <w:rPr>
                <w:rFonts w:ascii="Gill Sans MT" w:hAnsi="Gill Sans MT" w:cs="Calibri"/>
                <w:b/>
                <w:color w:val="000000"/>
                <w:sz w:val="22"/>
                <w:szCs w:val="22"/>
              </w:rPr>
            </w:pPr>
            <w:r w:rsidRPr="00640AB4">
              <w:rPr>
                <w:rFonts w:ascii="Gill Sans MT" w:hAnsi="Gill Sans MT"/>
                <w:sz w:val="22"/>
                <w:szCs w:val="22"/>
              </w:rPr>
              <w:t>2017-18</w:t>
            </w:r>
          </w:p>
        </w:tc>
        <w:tc>
          <w:tcPr>
            <w:tcW w:w="2028" w:type="dxa"/>
            <w:gridSpan w:val="2"/>
            <w:shd w:val="clear" w:color="auto" w:fill="CCECFF"/>
            <w:vAlign w:val="center"/>
          </w:tcPr>
          <w:p w:rsidR="00640AB4" w:rsidRPr="00640AB4" w:rsidRDefault="00640AB4" w:rsidP="00F7690A">
            <w:pPr>
              <w:pStyle w:val="Intro"/>
              <w:spacing w:after="60"/>
              <w:jc w:val="center"/>
              <w:rPr>
                <w:rFonts w:ascii="Gill Sans MT" w:hAnsi="Gill Sans MT" w:cs="Calibri"/>
                <w:b/>
                <w:color w:val="000000"/>
                <w:sz w:val="22"/>
                <w:szCs w:val="22"/>
              </w:rPr>
            </w:pPr>
            <w:r w:rsidRPr="00640AB4">
              <w:rPr>
                <w:rFonts w:ascii="Gill Sans MT" w:hAnsi="Gill Sans MT"/>
                <w:sz w:val="22"/>
                <w:szCs w:val="22"/>
              </w:rPr>
              <w:t>2018-19</w:t>
            </w:r>
          </w:p>
        </w:tc>
        <w:tc>
          <w:tcPr>
            <w:tcW w:w="2027" w:type="dxa"/>
            <w:gridSpan w:val="3"/>
            <w:shd w:val="clear" w:color="auto" w:fill="CCECFF"/>
            <w:vAlign w:val="center"/>
          </w:tcPr>
          <w:p w:rsidR="00640AB4" w:rsidRPr="00640AB4" w:rsidRDefault="00640AB4" w:rsidP="00F7690A">
            <w:pPr>
              <w:pStyle w:val="Intro"/>
              <w:spacing w:after="60"/>
              <w:jc w:val="center"/>
              <w:rPr>
                <w:rFonts w:ascii="Gill Sans MT" w:hAnsi="Gill Sans MT" w:cs="Calibri"/>
                <w:b/>
                <w:color w:val="000000"/>
                <w:sz w:val="22"/>
                <w:szCs w:val="22"/>
              </w:rPr>
            </w:pPr>
            <w:r w:rsidRPr="00640AB4">
              <w:rPr>
                <w:rFonts w:ascii="Gill Sans MT" w:hAnsi="Gill Sans MT"/>
                <w:sz w:val="22"/>
                <w:szCs w:val="22"/>
              </w:rPr>
              <w:t>2019-20</w:t>
            </w:r>
          </w:p>
        </w:tc>
        <w:tc>
          <w:tcPr>
            <w:tcW w:w="2028" w:type="dxa"/>
            <w:shd w:val="clear" w:color="auto" w:fill="CCECFF"/>
            <w:vAlign w:val="center"/>
          </w:tcPr>
          <w:p w:rsidR="00640AB4" w:rsidRPr="00640AB4" w:rsidRDefault="00640AB4" w:rsidP="00F7690A">
            <w:pPr>
              <w:pStyle w:val="Intro"/>
              <w:spacing w:after="60"/>
              <w:jc w:val="center"/>
              <w:rPr>
                <w:rFonts w:ascii="Gill Sans MT" w:hAnsi="Gill Sans MT" w:cs="Calibri"/>
                <w:b/>
                <w:color w:val="000000"/>
                <w:sz w:val="22"/>
                <w:szCs w:val="22"/>
              </w:rPr>
            </w:pPr>
            <w:r w:rsidRPr="00640AB4">
              <w:rPr>
                <w:rFonts w:ascii="Gill Sans MT" w:hAnsi="Gill Sans MT"/>
                <w:sz w:val="22"/>
                <w:szCs w:val="22"/>
              </w:rPr>
              <w:t>2020-21</w:t>
            </w:r>
          </w:p>
        </w:tc>
        <w:tc>
          <w:tcPr>
            <w:tcW w:w="2028" w:type="dxa"/>
            <w:gridSpan w:val="2"/>
            <w:shd w:val="clear" w:color="auto" w:fill="CCECFF"/>
            <w:vAlign w:val="center"/>
          </w:tcPr>
          <w:p w:rsidR="00640AB4" w:rsidRPr="00640AB4" w:rsidRDefault="00640AB4" w:rsidP="00F7690A">
            <w:pPr>
              <w:pStyle w:val="Intro"/>
              <w:spacing w:after="60"/>
              <w:jc w:val="center"/>
              <w:rPr>
                <w:rFonts w:ascii="Gill Sans MT" w:hAnsi="Gill Sans MT" w:cs="Calibri"/>
                <w:b/>
                <w:color w:val="000000"/>
                <w:sz w:val="22"/>
                <w:szCs w:val="22"/>
              </w:rPr>
            </w:pPr>
            <w:r w:rsidRPr="00640AB4">
              <w:rPr>
                <w:rFonts w:ascii="Gill Sans MT" w:hAnsi="Gill Sans MT"/>
                <w:sz w:val="22"/>
                <w:szCs w:val="22"/>
              </w:rPr>
              <w:t>2021-22</w:t>
            </w:r>
          </w:p>
        </w:tc>
      </w:tr>
      <w:tr w:rsidR="00782927" w:rsidRPr="009D612A" w:rsidTr="00C70A4D">
        <w:trPr>
          <w:cantSplit/>
          <w:tblHeader/>
        </w:trPr>
        <w:tc>
          <w:tcPr>
            <w:tcW w:w="2061" w:type="dxa"/>
            <w:gridSpan w:val="2"/>
          </w:tcPr>
          <w:p w:rsidR="00653F17" w:rsidRDefault="00782927" w:rsidP="00653F17">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 xml:space="preserve">Resource </w:t>
            </w:r>
            <w:r w:rsidRPr="00B912C8">
              <w:rPr>
                <w:rFonts w:ascii="Gill Sans MT" w:hAnsi="Gill Sans MT" w:cs="Calibri"/>
                <w:color w:val="000000"/>
                <w:sz w:val="22"/>
                <w:szCs w:val="22"/>
              </w:rPr>
              <w:t>Funding</w:t>
            </w:r>
            <w:r w:rsidR="00505562">
              <w:rPr>
                <w:rFonts w:ascii="Gill Sans MT" w:hAnsi="Gill Sans MT" w:cs="Calibri"/>
                <w:color w:val="000000"/>
                <w:sz w:val="22"/>
                <w:szCs w:val="22"/>
              </w:rPr>
              <w:t xml:space="preserve"> - $</w:t>
            </w:r>
            <w:r w:rsidR="00C561BA">
              <w:rPr>
                <w:rFonts w:ascii="Gill Sans MT" w:hAnsi="Gill Sans MT" w:cs="Calibri"/>
                <w:color w:val="000000"/>
                <w:sz w:val="22"/>
                <w:szCs w:val="22"/>
              </w:rPr>
              <w:t>165,000</w:t>
            </w:r>
            <w:r w:rsidR="00880675">
              <w:rPr>
                <w:rFonts w:ascii="Gill Sans MT" w:hAnsi="Gill Sans MT" w:cs="Calibri"/>
                <w:color w:val="000000"/>
                <w:sz w:val="22"/>
                <w:szCs w:val="22"/>
              </w:rPr>
              <w:t xml:space="preserve"> </w:t>
            </w:r>
          </w:p>
          <w:p w:rsidR="00782927" w:rsidRPr="00640AB4" w:rsidRDefault="00653F17" w:rsidP="00653F17">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w:t>
            </w:r>
            <w:r w:rsidR="00880675">
              <w:rPr>
                <w:rFonts w:ascii="Gill Sans MT" w:hAnsi="Gill Sans MT" w:cs="Calibri"/>
                <w:color w:val="000000"/>
                <w:sz w:val="22"/>
                <w:szCs w:val="22"/>
              </w:rPr>
              <w:t>Capacity building</w:t>
            </w:r>
            <w:r>
              <w:rPr>
                <w:rFonts w:ascii="Gill Sans MT" w:hAnsi="Gill Sans MT" w:cs="Calibri"/>
                <w:color w:val="000000"/>
                <w:sz w:val="22"/>
                <w:szCs w:val="22"/>
              </w:rPr>
              <w:t>)</w:t>
            </w:r>
          </w:p>
        </w:tc>
        <w:tc>
          <w:tcPr>
            <w:tcW w:w="2028" w:type="dxa"/>
            <w:gridSpan w:val="2"/>
          </w:tcPr>
          <w:p w:rsidR="00880675" w:rsidRDefault="00782927" w:rsidP="00F7690A">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 xml:space="preserve">Resource </w:t>
            </w:r>
            <w:r w:rsidRPr="00B912C8">
              <w:rPr>
                <w:rFonts w:ascii="Gill Sans MT" w:hAnsi="Gill Sans MT" w:cs="Calibri"/>
                <w:color w:val="000000"/>
                <w:sz w:val="22"/>
                <w:szCs w:val="22"/>
              </w:rPr>
              <w:t>Funding</w:t>
            </w:r>
            <w:r w:rsidR="00505562">
              <w:rPr>
                <w:rFonts w:ascii="Gill Sans MT" w:hAnsi="Gill Sans MT" w:cs="Calibri"/>
                <w:color w:val="000000"/>
                <w:sz w:val="22"/>
                <w:szCs w:val="22"/>
              </w:rPr>
              <w:t xml:space="preserve"> - $</w:t>
            </w:r>
            <w:r w:rsidR="00C561BA">
              <w:rPr>
                <w:rFonts w:ascii="Gill Sans MT" w:hAnsi="Gill Sans MT" w:cs="Calibri"/>
                <w:color w:val="000000"/>
                <w:sz w:val="22"/>
                <w:szCs w:val="22"/>
              </w:rPr>
              <w:t>165,000</w:t>
            </w:r>
            <w:r w:rsidR="00880675">
              <w:rPr>
                <w:rFonts w:ascii="Gill Sans MT" w:hAnsi="Gill Sans MT" w:cs="Calibri"/>
                <w:color w:val="000000"/>
                <w:sz w:val="22"/>
                <w:szCs w:val="22"/>
              </w:rPr>
              <w:t xml:space="preserve"> </w:t>
            </w:r>
          </w:p>
          <w:p w:rsidR="00782927" w:rsidRPr="00B912C8" w:rsidRDefault="00653F17" w:rsidP="00F7690A">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w:t>
            </w:r>
            <w:r w:rsidR="00880675">
              <w:rPr>
                <w:rFonts w:ascii="Gill Sans MT" w:hAnsi="Gill Sans MT" w:cs="Calibri"/>
                <w:color w:val="000000"/>
                <w:sz w:val="22"/>
                <w:szCs w:val="22"/>
              </w:rPr>
              <w:t>Capacity Building</w:t>
            </w:r>
            <w:r>
              <w:rPr>
                <w:rFonts w:ascii="Gill Sans MT" w:hAnsi="Gill Sans MT" w:cs="Calibri"/>
                <w:color w:val="000000"/>
                <w:sz w:val="22"/>
                <w:szCs w:val="22"/>
              </w:rPr>
              <w:t>)</w:t>
            </w:r>
          </w:p>
        </w:tc>
        <w:tc>
          <w:tcPr>
            <w:tcW w:w="2027" w:type="dxa"/>
            <w:gridSpan w:val="3"/>
          </w:tcPr>
          <w:p w:rsidR="00880675" w:rsidRDefault="00880675" w:rsidP="00F7690A">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Achieve RACS – Trauma Accreditation</w:t>
            </w:r>
          </w:p>
          <w:p w:rsidR="00782927" w:rsidRPr="00DA3005" w:rsidRDefault="00782927" w:rsidP="00F7690A">
            <w:pPr>
              <w:pStyle w:val="Intro"/>
              <w:spacing w:after="60"/>
              <w:jc w:val="center"/>
              <w:rPr>
                <w:rFonts w:ascii="Gill Sans MT" w:hAnsi="Gill Sans MT" w:cs="Calibri"/>
                <w:color w:val="000000"/>
                <w:sz w:val="22"/>
                <w:szCs w:val="22"/>
              </w:rPr>
            </w:pPr>
          </w:p>
        </w:tc>
        <w:tc>
          <w:tcPr>
            <w:tcW w:w="2028" w:type="dxa"/>
          </w:tcPr>
          <w:p w:rsidR="00782927" w:rsidRPr="00DA3005" w:rsidRDefault="00880675" w:rsidP="00F7690A">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 xml:space="preserve">Maintain </w:t>
            </w:r>
            <w:r w:rsidRPr="00722AE6">
              <w:rPr>
                <w:rFonts w:ascii="Gill Sans MT" w:hAnsi="Gill Sans MT" w:cs="Calibri"/>
                <w:color w:val="000000"/>
                <w:sz w:val="22"/>
                <w:szCs w:val="22"/>
              </w:rPr>
              <w:t>RACS – Trauma Accreditation</w:t>
            </w:r>
          </w:p>
        </w:tc>
        <w:tc>
          <w:tcPr>
            <w:tcW w:w="2028" w:type="dxa"/>
            <w:gridSpan w:val="2"/>
          </w:tcPr>
          <w:p w:rsidR="00782927" w:rsidRPr="00DA3005" w:rsidRDefault="00102BC7" w:rsidP="00F7690A">
            <w:pPr>
              <w:pStyle w:val="Intro"/>
              <w:spacing w:after="60"/>
              <w:jc w:val="center"/>
              <w:rPr>
                <w:rFonts w:ascii="Gill Sans MT" w:hAnsi="Gill Sans MT" w:cs="Calibri"/>
                <w:color w:val="000000"/>
                <w:sz w:val="22"/>
                <w:szCs w:val="22"/>
              </w:rPr>
            </w:pPr>
            <w:r>
              <w:rPr>
                <w:rFonts w:ascii="Gill Sans MT" w:hAnsi="Gill Sans MT" w:cs="Calibri"/>
                <w:color w:val="000000"/>
                <w:sz w:val="22"/>
                <w:szCs w:val="22"/>
              </w:rPr>
              <w:t>Maintain</w:t>
            </w:r>
            <w:r w:rsidR="00880675">
              <w:rPr>
                <w:rFonts w:ascii="Gill Sans MT" w:hAnsi="Gill Sans MT" w:cs="Calibri"/>
                <w:color w:val="000000"/>
                <w:sz w:val="22"/>
                <w:szCs w:val="22"/>
              </w:rPr>
              <w:t xml:space="preserve"> </w:t>
            </w:r>
            <w:r w:rsidR="00880675" w:rsidRPr="00722AE6">
              <w:rPr>
                <w:rFonts w:ascii="Gill Sans MT" w:hAnsi="Gill Sans MT" w:cs="Calibri"/>
                <w:color w:val="000000"/>
                <w:sz w:val="22"/>
                <w:szCs w:val="22"/>
              </w:rPr>
              <w:t>RACS – Trauma Accreditation</w:t>
            </w:r>
          </w:p>
        </w:tc>
      </w:tr>
      <w:tr w:rsidR="00DA3005" w:rsidRPr="009D612A" w:rsidTr="00C70A4D">
        <w:trPr>
          <w:cantSplit/>
          <w:tblHeader/>
        </w:trPr>
        <w:tc>
          <w:tcPr>
            <w:tcW w:w="10172" w:type="dxa"/>
            <w:gridSpan w:val="10"/>
            <w:shd w:val="clear" w:color="auto" w:fill="auto"/>
            <w:vAlign w:val="center"/>
          </w:tcPr>
          <w:p w:rsidR="00DA3005" w:rsidRPr="00D62E87" w:rsidRDefault="00DA3005" w:rsidP="00F7690A">
            <w:pPr>
              <w:spacing w:after="60" w:line="240" w:lineRule="auto"/>
              <w:rPr>
                <w:rFonts w:cs="Calibri"/>
                <w:b/>
                <w:color w:val="000000"/>
              </w:rPr>
            </w:pPr>
            <w:r w:rsidRPr="009D612A">
              <w:rPr>
                <w:rFonts w:cs="Calibri"/>
                <w:b/>
                <w:color w:val="000000"/>
              </w:rPr>
              <w:t>Oral Disorders</w:t>
            </w:r>
          </w:p>
        </w:tc>
      </w:tr>
      <w:tr w:rsidR="00DA3005" w:rsidRPr="009D612A" w:rsidTr="00C70A4D">
        <w:trPr>
          <w:cantSplit/>
          <w:tblHeader/>
        </w:trPr>
        <w:tc>
          <w:tcPr>
            <w:tcW w:w="2262" w:type="dxa"/>
            <w:gridSpan w:val="3"/>
            <w:shd w:val="clear" w:color="auto" w:fill="CCECFF"/>
            <w:vAlign w:val="center"/>
          </w:tcPr>
          <w:p w:rsidR="00DA3005" w:rsidRPr="009D612A" w:rsidRDefault="00DA3005" w:rsidP="00F7690A">
            <w:pPr>
              <w:spacing w:after="60" w:line="240" w:lineRule="auto"/>
              <w:jc w:val="center"/>
            </w:pPr>
            <w:r w:rsidRPr="009D612A">
              <w:t>2017-18</w:t>
            </w:r>
          </w:p>
        </w:tc>
        <w:tc>
          <w:tcPr>
            <w:tcW w:w="1837" w:type="dxa"/>
            <w:gridSpan w:val="2"/>
            <w:shd w:val="clear" w:color="auto" w:fill="CCECFF"/>
            <w:vAlign w:val="center"/>
          </w:tcPr>
          <w:p w:rsidR="00DA3005" w:rsidRPr="009D612A" w:rsidRDefault="00DA3005" w:rsidP="00F7690A">
            <w:pPr>
              <w:spacing w:after="60" w:line="240" w:lineRule="auto"/>
              <w:jc w:val="center"/>
            </w:pPr>
            <w:r w:rsidRPr="009D612A">
              <w:t>2018-19</w:t>
            </w:r>
          </w:p>
        </w:tc>
        <w:tc>
          <w:tcPr>
            <w:tcW w:w="1977" w:type="dxa"/>
            <w:shd w:val="clear" w:color="auto" w:fill="CCECFF"/>
            <w:vAlign w:val="center"/>
          </w:tcPr>
          <w:p w:rsidR="00DA3005" w:rsidRPr="009D612A" w:rsidRDefault="00DA3005" w:rsidP="00F7690A">
            <w:pPr>
              <w:spacing w:after="60" w:line="240" w:lineRule="auto"/>
              <w:jc w:val="center"/>
            </w:pPr>
            <w:r w:rsidRPr="009D612A">
              <w:t>2019-20</w:t>
            </w:r>
          </w:p>
        </w:tc>
        <w:tc>
          <w:tcPr>
            <w:tcW w:w="2118" w:type="dxa"/>
            <w:gridSpan w:val="3"/>
            <w:shd w:val="clear" w:color="auto" w:fill="CCECFF"/>
            <w:vAlign w:val="center"/>
          </w:tcPr>
          <w:p w:rsidR="00DA3005" w:rsidRPr="009D612A" w:rsidRDefault="00DA3005" w:rsidP="00F7690A">
            <w:pPr>
              <w:spacing w:after="60" w:line="240" w:lineRule="auto"/>
              <w:jc w:val="center"/>
            </w:pPr>
            <w:r w:rsidRPr="009D612A">
              <w:t>2020-21</w:t>
            </w:r>
          </w:p>
        </w:tc>
        <w:tc>
          <w:tcPr>
            <w:tcW w:w="1978" w:type="dxa"/>
            <w:shd w:val="clear" w:color="auto" w:fill="CCECFF"/>
            <w:vAlign w:val="center"/>
          </w:tcPr>
          <w:p w:rsidR="00DA3005" w:rsidRPr="009D612A" w:rsidRDefault="00DA3005" w:rsidP="00F7690A">
            <w:pPr>
              <w:spacing w:after="60" w:line="240" w:lineRule="auto"/>
              <w:jc w:val="center"/>
            </w:pPr>
            <w:r w:rsidRPr="009D612A">
              <w:t>2021-22</w:t>
            </w:r>
          </w:p>
        </w:tc>
      </w:tr>
      <w:tr w:rsidR="00DA3005" w:rsidRPr="009D612A" w:rsidTr="00C70A4D">
        <w:trPr>
          <w:cantSplit/>
          <w:tblHeader/>
        </w:trPr>
        <w:tc>
          <w:tcPr>
            <w:tcW w:w="2262" w:type="dxa"/>
            <w:gridSpan w:val="3"/>
          </w:tcPr>
          <w:p w:rsidR="00DA3005" w:rsidRPr="00C62B87" w:rsidRDefault="00DA3005" w:rsidP="00BF0ED6">
            <w:pPr>
              <w:spacing w:after="60" w:line="240" w:lineRule="auto"/>
              <w:jc w:val="center"/>
              <w:rPr>
                <w:highlight w:val="yellow"/>
              </w:rPr>
            </w:pPr>
            <w:r>
              <w:t>451</w:t>
            </w:r>
          </w:p>
        </w:tc>
        <w:tc>
          <w:tcPr>
            <w:tcW w:w="1837" w:type="dxa"/>
            <w:gridSpan w:val="2"/>
          </w:tcPr>
          <w:p w:rsidR="00DA3005" w:rsidRPr="00C62B87" w:rsidRDefault="00DA3005" w:rsidP="00F7690A">
            <w:pPr>
              <w:spacing w:after="60" w:line="240" w:lineRule="auto"/>
              <w:jc w:val="center"/>
              <w:rPr>
                <w:highlight w:val="yellow"/>
              </w:rPr>
            </w:pPr>
            <w:r>
              <w:t>456</w:t>
            </w:r>
          </w:p>
        </w:tc>
        <w:tc>
          <w:tcPr>
            <w:tcW w:w="1977" w:type="dxa"/>
          </w:tcPr>
          <w:p w:rsidR="00DA3005" w:rsidRPr="00C62B87" w:rsidRDefault="00DA3005" w:rsidP="00F7690A">
            <w:pPr>
              <w:spacing w:after="60" w:line="240" w:lineRule="auto"/>
              <w:jc w:val="center"/>
              <w:rPr>
                <w:highlight w:val="yellow"/>
              </w:rPr>
            </w:pPr>
            <w:r>
              <w:t>462</w:t>
            </w:r>
          </w:p>
        </w:tc>
        <w:tc>
          <w:tcPr>
            <w:tcW w:w="2118" w:type="dxa"/>
            <w:gridSpan w:val="3"/>
          </w:tcPr>
          <w:p w:rsidR="00DA3005" w:rsidRPr="00C62B87" w:rsidRDefault="00DA3005" w:rsidP="00F7690A">
            <w:pPr>
              <w:spacing w:after="60" w:line="240" w:lineRule="auto"/>
              <w:jc w:val="center"/>
              <w:rPr>
                <w:highlight w:val="yellow"/>
              </w:rPr>
            </w:pPr>
            <w:r>
              <w:t>468</w:t>
            </w:r>
          </w:p>
        </w:tc>
        <w:tc>
          <w:tcPr>
            <w:tcW w:w="1978" w:type="dxa"/>
          </w:tcPr>
          <w:p w:rsidR="00DA3005" w:rsidRPr="00C62B87" w:rsidRDefault="00DA3005" w:rsidP="00F7690A">
            <w:pPr>
              <w:spacing w:after="60" w:line="240" w:lineRule="auto"/>
              <w:jc w:val="center"/>
              <w:rPr>
                <w:highlight w:val="yellow"/>
              </w:rPr>
            </w:pPr>
            <w:r>
              <w:t>473</w:t>
            </w:r>
          </w:p>
        </w:tc>
      </w:tr>
      <w:tr w:rsidR="00DA3005" w:rsidRPr="009D612A" w:rsidTr="00C70A4D">
        <w:trPr>
          <w:cantSplit/>
          <w:tblHeader/>
        </w:trPr>
        <w:tc>
          <w:tcPr>
            <w:tcW w:w="10172" w:type="dxa"/>
            <w:gridSpan w:val="10"/>
            <w:shd w:val="clear" w:color="auto" w:fill="auto"/>
            <w:vAlign w:val="center"/>
          </w:tcPr>
          <w:p w:rsidR="00DA3005" w:rsidRPr="00D62E87" w:rsidRDefault="00DA3005" w:rsidP="00F7690A">
            <w:pPr>
              <w:spacing w:after="60" w:line="240" w:lineRule="auto"/>
              <w:rPr>
                <w:rFonts w:cs="Calibri"/>
                <w:b/>
                <w:color w:val="000000"/>
              </w:rPr>
            </w:pPr>
            <w:r w:rsidRPr="009D612A">
              <w:rPr>
                <w:rFonts w:cs="Calibri"/>
                <w:b/>
                <w:color w:val="000000"/>
              </w:rPr>
              <w:t>Hearing and Vision Disorders</w:t>
            </w:r>
          </w:p>
        </w:tc>
      </w:tr>
      <w:tr w:rsidR="00DA3005" w:rsidRPr="009D612A" w:rsidTr="00C70A4D">
        <w:trPr>
          <w:cantSplit/>
          <w:tblHeader/>
        </w:trPr>
        <w:tc>
          <w:tcPr>
            <w:tcW w:w="2262" w:type="dxa"/>
            <w:gridSpan w:val="3"/>
            <w:shd w:val="clear" w:color="auto" w:fill="CCECFF"/>
            <w:vAlign w:val="center"/>
          </w:tcPr>
          <w:p w:rsidR="00DA3005" w:rsidRPr="009D612A" w:rsidRDefault="00DA3005" w:rsidP="00F7690A">
            <w:pPr>
              <w:spacing w:after="60" w:line="240" w:lineRule="auto"/>
              <w:jc w:val="center"/>
            </w:pPr>
            <w:r w:rsidRPr="009D612A">
              <w:t>2017-18</w:t>
            </w:r>
          </w:p>
        </w:tc>
        <w:tc>
          <w:tcPr>
            <w:tcW w:w="1837" w:type="dxa"/>
            <w:gridSpan w:val="2"/>
            <w:shd w:val="clear" w:color="auto" w:fill="CCECFF"/>
            <w:vAlign w:val="center"/>
          </w:tcPr>
          <w:p w:rsidR="00DA3005" w:rsidRPr="009D612A" w:rsidRDefault="00DA3005" w:rsidP="00F7690A">
            <w:pPr>
              <w:spacing w:after="60" w:line="240" w:lineRule="auto"/>
              <w:jc w:val="center"/>
            </w:pPr>
            <w:r w:rsidRPr="009D612A">
              <w:t>2018-19</w:t>
            </w:r>
          </w:p>
        </w:tc>
        <w:tc>
          <w:tcPr>
            <w:tcW w:w="1977" w:type="dxa"/>
            <w:shd w:val="clear" w:color="auto" w:fill="CCECFF"/>
            <w:vAlign w:val="center"/>
          </w:tcPr>
          <w:p w:rsidR="00DA3005" w:rsidRPr="009D612A" w:rsidRDefault="00DA3005" w:rsidP="00F7690A">
            <w:pPr>
              <w:spacing w:after="60" w:line="240" w:lineRule="auto"/>
              <w:jc w:val="center"/>
            </w:pPr>
            <w:r w:rsidRPr="009D612A">
              <w:t>2019-20</w:t>
            </w:r>
          </w:p>
        </w:tc>
        <w:tc>
          <w:tcPr>
            <w:tcW w:w="2118" w:type="dxa"/>
            <w:gridSpan w:val="3"/>
            <w:shd w:val="clear" w:color="auto" w:fill="CCECFF"/>
            <w:vAlign w:val="center"/>
          </w:tcPr>
          <w:p w:rsidR="00DA3005" w:rsidRPr="009D612A" w:rsidRDefault="00DA3005" w:rsidP="00F7690A">
            <w:pPr>
              <w:spacing w:after="60" w:line="240" w:lineRule="auto"/>
              <w:jc w:val="center"/>
            </w:pPr>
            <w:r w:rsidRPr="009D612A">
              <w:t>2020-21</w:t>
            </w:r>
          </w:p>
        </w:tc>
        <w:tc>
          <w:tcPr>
            <w:tcW w:w="1978" w:type="dxa"/>
            <w:shd w:val="clear" w:color="auto" w:fill="CCECFF"/>
            <w:vAlign w:val="center"/>
          </w:tcPr>
          <w:p w:rsidR="00DA3005" w:rsidRPr="009D612A" w:rsidRDefault="00DA3005" w:rsidP="00F7690A">
            <w:pPr>
              <w:spacing w:after="60" w:line="240" w:lineRule="auto"/>
              <w:jc w:val="center"/>
            </w:pPr>
            <w:r w:rsidRPr="009D612A">
              <w:t>2021-22</w:t>
            </w:r>
          </w:p>
        </w:tc>
      </w:tr>
      <w:tr w:rsidR="00DA3005" w:rsidRPr="009D612A" w:rsidTr="00C70A4D">
        <w:trPr>
          <w:cantSplit/>
          <w:tblHeader/>
        </w:trPr>
        <w:tc>
          <w:tcPr>
            <w:tcW w:w="2262" w:type="dxa"/>
            <w:gridSpan w:val="3"/>
          </w:tcPr>
          <w:p w:rsidR="00DA3005" w:rsidRPr="00C62B87" w:rsidRDefault="00DA3005" w:rsidP="00F7690A">
            <w:pPr>
              <w:spacing w:after="60" w:line="240" w:lineRule="auto"/>
              <w:jc w:val="center"/>
              <w:rPr>
                <w:highlight w:val="yellow"/>
              </w:rPr>
            </w:pPr>
            <w:r>
              <w:t>212</w:t>
            </w:r>
          </w:p>
        </w:tc>
        <w:tc>
          <w:tcPr>
            <w:tcW w:w="1837" w:type="dxa"/>
            <w:gridSpan w:val="2"/>
          </w:tcPr>
          <w:p w:rsidR="00DA3005" w:rsidRPr="00C62B87" w:rsidRDefault="00DA3005" w:rsidP="00F7690A">
            <w:pPr>
              <w:spacing w:after="60" w:line="240" w:lineRule="auto"/>
              <w:jc w:val="center"/>
              <w:rPr>
                <w:highlight w:val="yellow"/>
              </w:rPr>
            </w:pPr>
            <w:r>
              <w:t>221</w:t>
            </w:r>
          </w:p>
        </w:tc>
        <w:tc>
          <w:tcPr>
            <w:tcW w:w="1977" w:type="dxa"/>
          </w:tcPr>
          <w:p w:rsidR="00DA3005" w:rsidRPr="00C62B87" w:rsidRDefault="00DA3005" w:rsidP="00F7690A">
            <w:pPr>
              <w:spacing w:after="60" w:line="240" w:lineRule="auto"/>
              <w:jc w:val="center"/>
              <w:rPr>
                <w:highlight w:val="yellow"/>
              </w:rPr>
            </w:pPr>
            <w:r>
              <w:t>229</w:t>
            </w:r>
          </w:p>
        </w:tc>
        <w:tc>
          <w:tcPr>
            <w:tcW w:w="2118" w:type="dxa"/>
            <w:gridSpan w:val="3"/>
          </w:tcPr>
          <w:p w:rsidR="00DA3005" w:rsidRPr="00C62B87" w:rsidRDefault="00DA3005" w:rsidP="00F7690A">
            <w:pPr>
              <w:spacing w:after="60" w:line="240" w:lineRule="auto"/>
              <w:jc w:val="center"/>
              <w:rPr>
                <w:highlight w:val="yellow"/>
              </w:rPr>
            </w:pPr>
            <w:r>
              <w:t>238</w:t>
            </w:r>
          </w:p>
        </w:tc>
        <w:tc>
          <w:tcPr>
            <w:tcW w:w="1978" w:type="dxa"/>
          </w:tcPr>
          <w:p w:rsidR="00DA3005" w:rsidRPr="00C62B87" w:rsidRDefault="00DA3005" w:rsidP="00F7690A">
            <w:pPr>
              <w:spacing w:after="60" w:line="240" w:lineRule="auto"/>
              <w:jc w:val="center"/>
              <w:rPr>
                <w:highlight w:val="yellow"/>
              </w:rPr>
            </w:pPr>
            <w:r>
              <w:t>247</w:t>
            </w:r>
          </w:p>
        </w:tc>
      </w:tr>
    </w:tbl>
    <w:p w:rsidR="0078592E" w:rsidRDefault="0078592E" w:rsidP="0078592E">
      <w:pPr>
        <w:spacing w:after="0" w:line="240" w:lineRule="auto"/>
        <w:ind w:left="-851" w:right="-308"/>
        <w:rPr>
          <w:b/>
          <w:color w:val="1F497D" w:themeColor="text2"/>
        </w:rPr>
      </w:pPr>
    </w:p>
    <w:p w:rsidR="00D62E87" w:rsidRDefault="00D62E87">
      <w:pPr>
        <w:tabs>
          <w:tab w:val="clear" w:pos="567"/>
        </w:tabs>
        <w:spacing w:after="0" w:line="240" w:lineRule="auto"/>
        <w:rPr>
          <w:b/>
          <w:color w:val="1F497D" w:themeColor="text2"/>
          <w:sz w:val="32"/>
          <w:szCs w:val="32"/>
        </w:rPr>
      </w:pPr>
      <w:r>
        <w:rPr>
          <w:b/>
          <w:color w:val="1F497D" w:themeColor="text2"/>
          <w:sz w:val="32"/>
          <w:szCs w:val="32"/>
        </w:rPr>
        <w:br w:type="page"/>
      </w:r>
    </w:p>
    <w:p w:rsidR="0078592E" w:rsidRPr="009D612A" w:rsidRDefault="0078592E" w:rsidP="000F4EB9">
      <w:pPr>
        <w:spacing w:line="240" w:lineRule="auto"/>
        <w:ind w:hanging="142"/>
        <w:rPr>
          <w:b/>
          <w:color w:val="1F497D" w:themeColor="text2"/>
        </w:rPr>
      </w:pPr>
      <w:r w:rsidRPr="003C5309">
        <w:rPr>
          <w:b/>
          <w:color w:val="1F497D" w:themeColor="text2"/>
          <w:sz w:val="32"/>
          <w:szCs w:val="32"/>
        </w:rPr>
        <w:t>Elective Surgery</w:t>
      </w:r>
    </w:p>
    <w:tbl>
      <w:tblPr>
        <w:tblStyle w:val="TableGrid"/>
        <w:tblW w:w="0" w:type="auto"/>
        <w:tblCellMar>
          <w:top w:w="113" w:type="dxa"/>
          <w:bottom w:w="113" w:type="dxa"/>
        </w:tblCellMar>
        <w:tblLook w:val="04A0" w:firstRow="1" w:lastRow="0" w:firstColumn="1" w:lastColumn="0" w:noHBand="0" w:noVBand="1"/>
        <w:tblCaption w:val="Elective Surgery Waitlist"/>
      </w:tblPr>
      <w:tblGrid>
        <w:gridCol w:w="1101"/>
        <w:gridCol w:w="974"/>
        <w:gridCol w:w="1820"/>
        <w:gridCol w:w="1959"/>
        <w:gridCol w:w="2098"/>
        <w:gridCol w:w="1960"/>
      </w:tblGrid>
      <w:tr w:rsidR="0078592E" w:rsidRPr="009D612A" w:rsidTr="00BD6837">
        <w:trPr>
          <w:tblHeader/>
        </w:trPr>
        <w:tc>
          <w:tcPr>
            <w:tcW w:w="1101" w:type="dxa"/>
            <w:shd w:val="clear" w:color="auto" w:fill="1F497D" w:themeFill="text2"/>
            <w:vAlign w:val="center"/>
          </w:tcPr>
          <w:p w:rsidR="0078592E" w:rsidRPr="009D612A" w:rsidRDefault="0078592E" w:rsidP="00E9699C">
            <w:pPr>
              <w:jc w:val="center"/>
              <w:rPr>
                <w:b/>
              </w:rPr>
            </w:pPr>
            <w:r w:rsidRPr="009D612A">
              <w:rPr>
                <w:b/>
                <w:color w:val="FFFFFF" w:themeColor="background1"/>
              </w:rPr>
              <w:t>5.2.1.1</w:t>
            </w:r>
          </w:p>
        </w:tc>
        <w:tc>
          <w:tcPr>
            <w:tcW w:w="8930" w:type="dxa"/>
            <w:gridSpan w:val="5"/>
            <w:vAlign w:val="center"/>
          </w:tcPr>
          <w:p w:rsidR="00FE2A5A" w:rsidRPr="00FE2A5A" w:rsidRDefault="00FE2A5A" w:rsidP="00841869">
            <w:pPr>
              <w:jc w:val="both"/>
              <w:rPr>
                <w:b/>
              </w:rPr>
            </w:pPr>
            <w:r w:rsidRPr="00FE2A5A">
              <w:rPr>
                <w:b/>
              </w:rPr>
              <w:t xml:space="preserve">Elective Surgery Waitlist </w:t>
            </w:r>
          </w:p>
          <w:p w:rsidR="0053543B" w:rsidRDefault="0053543B" w:rsidP="00841869">
            <w:pPr>
              <w:jc w:val="both"/>
            </w:pPr>
            <w:r w:rsidRPr="0053543B">
              <w:rPr>
                <w:u w:val="single"/>
              </w:rPr>
              <w:t>Purchaser intent</w:t>
            </w:r>
            <w:r>
              <w:t>:</w:t>
            </w:r>
          </w:p>
          <w:p w:rsidR="0078592E" w:rsidRPr="009D612A" w:rsidRDefault="0078592E" w:rsidP="00841869">
            <w:pPr>
              <w:jc w:val="both"/>
            </w:pPr>
            <w:r w:rsidRPr="009D612A">
              <w:t>Utilise remaining RHST funds to remove long waiting patients from the Elective Surgery Waitlist (ESWL).</w:t>
            </w:r>
          </w:p>
          <w:p w:rsidR="0078592E" w:rsidRPr="009D612A" w:rsidRDefault="0078592E" w:rsidP="00425E49">
            <w:pPr>
              <w:rPr>
                <w:b/>
              </w:rPr>
            </w:pPr>
            <w:r w:rsidRPr="009D612A">
              <w:rPr>
                <w:u w:val="single"/>
              </w:rPr>
              <w:t xml:space="preserve">Provider obligation: </w:t>
            </w:r>
            <w:r w:rsidRPr="009D612A">
              <w:t>Remove the longest waiting patients from the ESWL either by</w:t>
            </w:r>
            <w:r w:rsidR="004B7203">
              <w:rPr>
                <w:lang w:val="en-US"/>
              </w:rPr>
              <w:t xml:space="preserve"> clinical</w:t>
            </w:r>
            <w:r w:rsidR="00425E49">
              <w:rPr>
                <w:lang w:val="en-US"/>
              </w:rPr>
              <w:t xml:space="preserve"> review</w:t>
            </w:r>
            <w:r w:rsidRPr="009D612A">
              <w:t xml:space="preserve"> or </w:t>
            </w:r>
            <w:r w:rsidR="00425E49">
              <w:rPr>
                <w:lang w:val="en-US"/>
              </w:rPr>
              <w:t xml:space="preserve">through </w:t>
            </w:r>
            <w:r w:rsidRPr="009D612A">
              <w:t xml:space="preserve">providing treatment. </w:t>
            </w:r>
          </w:p>
        </w:tc>
      </w:tr>
      <w:tr w:rsidR="0078592E" w:rsidRPr="009D612A" w:rsidTr="00E9699C">
        <w:tc>
          <w:tcPr>
            <w:tcW w:w="2093" w:type="dxa"/>
            <w:gridSpan w:val="2"/>
            <w:shd w:val="clear" w:color="auto" w:fill="CCECFF"/>
            <w:vAlign w:val="center"/>
          </w:tcPr>
          <w:p w:rsidR="0078592E" w:rsidRPr="009D612A" w:rsidRDefault="0078592E" w:rsidP="00F7690A">
            <w:pPr>
              <w:spacing w:after="60" w:line="240" w:lineRule="auto"/>
              <w:jc w:val="center"/>
            </w:pPr>
            <w:r w:rsidRPr="009D612A">
              <w:t>2017-18</w:t>
            </w:r>
          </w:p>
        </w:tc>
        <w:tc>
          <w:tcPr>
            <w:tcW w:w="1843" w:type="dxa"/>
            <w:shd w:val="clear" w:color="auto" w:fill="CCECFF"/>
            <w:vAlign w:val="center"/>
          </w:tcPr>
          <w:p w:rsidR="0078592E" w:rsidRPr="009D612A" w:rsidRDefault="0078592E" w:rsidP="00F7690A">
            <w:pPr>
              <w:spacing w:after="60" w:line="240" w:lineRule="auto"/>
              <w:jc w:val="center"/>
            </w:pPr>
            <w:r w:rsidRPr="009D612A">
              <w:t>2018-19</w:t>
            </w:r>
          </w:p>
        </w:tc>
        <w:tc>
          <w:tcPr>
            <w:tcW w:w="1984" w:type="dxa"/>
            <w:shd w:val="clear" w:color="auto" w:fill="CCECFF"/>
            <w:vAlign w:val="center"/>
          </w:tcPr>
          <w:p w:rsidR="0078592E" w:rsidRPr="009D612A" w:rsidRDefault="0078592E" w:rsidP="00F7690A">
            <w:pPr>
              <w:spacing w:after="60" w:line="240" w:lineRule="auto"/>
              <w:jc w:val="center"/>
            </w:pPr>
            <w:r w:rsidRPr="009D612A">
              <w:t>2019-20</w:t>
            </w:r>
          </w:p>
        </w:tc>
        <w:tc>
          <w:tcPr>
            <w:tcW w:w="2126" w:type="dxa"/>
            <w:shd w:val="clear" w:color="auto" w:fill="CCECFF"/>
            <w:vAlign w:val="center"/>
          </w:tcPr>
          <w:p w:rsidR="0078592E" w:rsidRPr="009D612A" w:rsidRDefault="0078592E" w:rsidP="00F7690A">
            <w:pPr>
              <w:spacing w:after="60" w:line="240" w:lineRule="auto"/>
              <w:jc w:val="center"/>
            </w:pPr>
            <w:r w:rsidRPr="009D612A">
              <w:t>2020-21</w:t>
            </w:r>
          </w:p>
        </w:tc>
        <w:tc>
          <w:tcPr>
            <w:tcW w:w="1985" w:type="dxa"/>
            <w:shd w:val="clear" w:color="auto" w:fill="CCECFF"/>
            <w:vAlign w:val="center"/>
          </w:tcPr>
          <w:p w:rsidR="0078592E" w:rsidRPr="009D612A" w:rsidRDefault="0078592E" w:rsidP="00F7690A">
            <w:pPr>
              <w:spacing w:after="60" w:line="240" w:lineRule="auto"/>
              <w:jc w:val="center"/>
            </w:pPr>
            <w:r w:rsidRPr="009D612A">
              <w:t>2021-22</w:t>
            </w:r>
          </w:p>
        </w:tc>
      </w:tr>
      <w:tr w:rsidR="0078592E" w:rsidRPr="009D612A" w:rsidTr="00841869">
        <w:trPr>
          <w:trHeight w:val="32"/>
        </w:trPr>
        <w:tc>
          <w:tcPr>
            <w:tcW w:w="2093" w:type="dxa"/>
            <w:gridSpan w:val="2"/>
            <w:vAlign w:val="center"/>
          </w:tcPr>
          <w:p w:rsidR="0078592E" w:rsidRPr="009D612A" w:rsidRDefault="0078592E" w:rsidP="00F7690A">
            <w:pPr>
              <w:spacing w:after="60" w:line="240" w:lineRule="auto"/>
              <w:jc w:val="center"/>
            </w:pPr>
            <w:r w:rsidRPr="009D612A">
              <w:t>RHST funds (remaining)</w:t>
            </w:r>
          </w:p>
        </w:tc>
        <w:tc>
          <w:tcPr>
            <w:tcW w:w="1843" w:type="dxa"/>
            <w:vAlign w:val="center"/>
          </w:tcPr>
          <w:p w:rsidR="0078592E" w:rsidRPr="009D612A" w:rsidRDefault="0078592E" w:rsidP="00F7690A">
            <w:pPr>
              <w:spacing w:after="60" w:line="240" w:lineRule="auto"/>
              <w:jc w:val="center"/>
            </w:pPr>
            <w:r w:rsidRPr="009D612A">
              <w:t>n/a</w:t>
            </w:r>
          </w:p>
        </w:tc>
        <w:tc>
          <w:tcPr>
            <w:tcW w:w="1984" w:type="dxa"/>
            <w:vAlign w:val="center"/>
          </w:tcPr>
          <w:p w:rsidR="0078592E" w:rsidRPr="009D612A" w:rsidRDefault="0078592E" w:rsidP="00F7690A">
            <w:pPr>
              <w:spacing w:after="60" w:line="240" w:lineRule="auto"/>
              <w:jc w:val="center"/>
            </w:pPr>
            <w:r w:rsidRPr="009D612A">
              <w:t>n/a</w:t>
            </w:r>
          </w:p>
        </w:tc>
        <w:tc>
          <w:tcPr>
            <w:tcW w:w="2126" w:type="dxa"/>
            <w:vAlign w:val="center"/>
          </w:tcPr>
          <w:p w:rsidR="0078592E" w:rsidRPr="009D612A" w:rsidRDefault="0078592E" w:rsidP="00F7690A">
            <w:pPr>
              <w:spacing w:after="60" w:line="240" w:lineRule="auto"/>
              <w:jc w:val="center"/>
            </w:pPr>
            <w:r w:rsidRPr="009D612A">
              <w:t>n/a</w:t>
            </w:r>
          </w:p>
        </w:tc>
        <w:tc>
          <w:tcPr>
            <w:tcW w:w="1985" w:type="dxa"/>
            <w:vAlign w:val="center"/>
          </w:tcPr>
          <w:p w:rsidR="0078592E" w:rsidRPr="009D612A" w:rsidRDefault="0078592E" w:rsidP="00F7690A">
            <w:pPr>
              <w:spacing w:after="60" w:line="240" w:lineRule="auto"/>
              <w:jc w:val="center"/>
            </w:pPr>
            <w:r w:rsidRPr="009D612A">
              <w:t>n/a</w:t>
            </w:r>
          </w:p>
        </w:tc>
      </w:tr>
    </w:tbl>
    <w:p w:rsidR="0078592E" w:rsidRPr="009D612A" w:rsidRDefault="0078592E" w:rsidP="0078592E"/>
    <w:tbl>
      <w:tblPr>
        <w:tblStyle w:val="TableGrid"/>
        <w:tblW w:w="0" w:type="auto"/>
        <w:tblCellMar>
          <w:top w:w="113" w:type="dxa"/>
          <w:bottom w:w="113" w:type="dxa"/>
        </w:tblCellMar>
        <w:tblLook w:val="04A0" w:firstRow="1" w:lastRow="0" w:firstColumn="1" w:lastColumn="0" w:noHBand="0" w:noVBand="1"/>
        <w:tblCaption w:val="Elective Surgery Volume"/>
      </w:tblPr>
      <w:tblGrid>
        <w:gridCol w:w="1098"/>
        <w:gridCol w:w="970"/>
        <w:gridCol w:w="1822"/>
        <w:gridCol w:w="1961"/>
        <w:gridCol w:w="2099"/>
        <w:gridCol w:w="1962"/>
      </w:tblGrid>
      <w:tr w:rsidR="0078592E" w:rsidRPr="009D612A" w:rsidTr="00BD6837">
        <w:trPr>
          <w:cantSplit/>
          <w:tblHeader/>
        </w:trPr>
        <w:tc>
          <w:tcPr>
            <w:tcW w:w="1101" w:type="dxa"/>
            <w:shd w:val="clear" w:color="auto" w:fill="1F497D" w:themeFill="text2"/>
            <w:vAlign w:val="center"/>
          </w:tcPr>
          <w:p w:rsidR="0078592E" w:rsidRPr="009D612A" w:rsidRDefault="0078592E" w:rsidP="00E9699C">
            <w:pPr>
              <w:jc w:val="center"/>
              <w:rPr>
                <w:b/>
              </w:rPr>
            </w:pPr>
            <w:r w:rsidRPr="009D612A">
              <w:rPr>
                <w:b/>
                <w:color w:val="FFFFFF" w:themeColor="background1"/>
              </w:rPr>
              <w:t>5.2.1.</w:t>
            </w:r>
            <w:r w:rsidR="004F7B69">
              <w:rPr>
                <w:b/>
                <w:color w:val="FFFFFF" w:themeColor="background1"/>
              </w:rPr>
              <w:t>2</w:t>
            </w:r>
          </w:p>
        </w:tc>
        <w:tc>
          <w:tcPr>
            <w:tcW w:w="8930" w:type="dxa"/>
            <w:gridSpan w:val="5"/>
            <w:vAlign w:val="center"/>
          </w:tcPr>
          <w:p w:rsidR="00E44A36" w:rsidRPr="00E44A36" w:rsidRDefault="00E44A36" w:rsidP="00E9699C">
            <w:pPr>
              <w:jc w:val="both"/>
              <w:rPr>
                <w:b/>
              </w:rPr>
            </w:pPr>
            <w:r>
              <w:rPr>
                <w:b/>
              </w:rPr>
              <w:t>Elective S</w:t>
            </w:r>
            <w:r w:rsidRPr="00E44A36">
              <w:rPr>
                <w:b/>
              </w:rPr>
              <w:t xml:space="preserve">urgery </w:t>
            </w:r>
            <w:r>
              <w:rPr>
                <w:b/>
              </w:rPr>
              <w:t>V</w:t>
            </w:r>
            <w:r w:rsidRPr="00E44A36">
              <w:rPr>
                <w:b/>
              </w:rPr>
              <w:t>olume</w:t>
            </w:r>
          </w:p>
          <w:p w:rsidR="0053543B" w:rsidRDefault="0053543B" w:rsidP="00E9699C">
            <w:pPr>
              <w:jc w:val="both"/>
            </w:pPr>
            <w:r w:rsidRPr="0053543B">
              <w:rPr>
                <w:u w:val="single"/>
              </w:rPr>
              <w:t>Purchaser intent</w:t>
            </w:r>
            <w:r>
              <w:t>:</w:t>
            </w:r>
          </w:p>
          <w:p w:rsidR="0078592E" w:rsidRPr="009D612A" w:rsidRDefault="0078592E" w:rsidP="00E9699C">
            <w:pPr>
              <w:jc w:val="both"/>
            </w:pPr>
            <w:r w:rsidRPr="009D612A">
              <w:t>Purchase sufficient Elective surgery activity volume to maintain a stable waiting list.</w:t>
            </w:r>
          </w:p>
          <w:p w:rsidR="0078592E" w:rsidRPr="009D612A" w:rsidRDefault="0078592E" w:rsidP="00E9699C">
            <w:pPr>
              <w:rPr>
                <w:b/>
              </w:rPr>
            </w:pPr>
            <w:r w:rsidRPr="009D612A">
              <w:rPr>
                <w:u w:val="single"/>
              </w:rPr>
              <w:t>Provider obligation</w:t>
            </w:r>
            <w:r w:rsidRPr="009D612A">
              <w:t>: Supply stated activity</w:t>
            </w:r>
          </w:p>
        </w:tc>
      </w:tr>
      <w:tr w:rsidR="0078592E" w:rsidRPr="009D612A" w:rsidTr="00E9699C">
        <w:trPr>
          <w:cantSplit/>
        </w:trPr>
        <w:tc>
          <w:tcPr>
            <w:tcW w:w="2093" w:type="dxa"/>
            <w:gridSpan w:val="2"/>
            <w:shd w:val="clear" w:color="auto" w:fill="CCECFF"/>
            <w:vAlign w:val="center"/>
          </w:tcPr>
          <w:p w:rsidR="0078592E" w:rsidRPr="009D612A" w:rsidRDefault="0078592E" w:rsidP="00F7690A">
            <w:pPr>
              <w:spacing w:after="60" w:line="240" w:lineRule="auto"/>
              <w:jc w:val="center"/>
            </w:pPr>
            <w:r w:rsidRPr="009D612A">
              <w:t>2017-18</w:t>
            </w:r>
          </w:p>
        </w:tc>
        <w:tc>
          <w:tcPr>
            <w:tcW w:w="1843" w:type="dxa"/>
            <w:shd w:val="clear" w:color="auto" w:fill="CCECFF"/>
            <w:vAlign w:val="center"/>
          </w:tcPr>
          <w:p w:rsidR="0078592E" w:rsidRPr="009D612A" w:rsidRDefault="0078592E" w:rsidP="00F7690A">
            <w:pPr>
              <w:spacing w:after="60" w:line="240" w:lineRule="auto"/>
              <w:jc w:val="center"/>
            </w:pPr>
            <w:r w:rsidRPr="009D612A">
              <w:t>2018-19</w:t>
            </w:r>
          </w:p>
        </w:tc>
        <w:tc>
          <w:tcPr>
            <w:tcW w:w="1984" w:type="dxa"/>
            <w:shd w:val="clear" w:color="auto" w:fill="CCECFF"/>
            <w:vAlign w:val="center"/>
          </w:tcPr>
          <w:p w:rsidR="0078592E" w:rsidRPr="009D612A" w:rsidRDefault="0078592E" w:rsidP="00F7690A">
            <w:pPr>
              <w:spacing w:after="60" w:line="240" w:lineRule="auto"/>
              <w:jc w:val="center"/>
            </w:pPr>
            <w:r w:rsidRPr="009D612A">
              <w:t>2019-20</w:t>
            </w:r>
          </w:p>
        </w:tc>
        <w:tc>
          <w:tcPr>
            <w:tcW w:w="2126" w:type="dxa"/>
            <w:shd w:val="clear" w:color="auto" w:fill="CCECFF"/>
            <w:vAlign w:val="center"/>
          </w:tcPr>
          <w:p w:rsidR="0078592E" w:rsidRPr="009D612A" w:rsidRDefault="0078592E" w:rsidP="00F7690A">
            <w:pPr>
              <w:spacing w:after="60" w:line="240" w:lineRule="auto"/>
              <w:jc w:val="center"/>
            </w:pPr>
            <w:r w:rsidRPr="009D612A">
              <w:t>2020-21</w:t>
            </w:r>
          </w:p>
        </w:tc>
        <w:tc>
          <w:tcPr>
            <w:tcW w:w="1985" w:type="dxa"/>
            <w:shd w:val="clear" w:color="auto" w:fill="CCECFF"/>
            <w:vAlign w:val="center"/>
          </w:tcPr>
          <w:p w:rsidR="0078592E" w:rsidRPr="009D612A" w:rsidRDefault="0078592E" w:rsidP="00F7690A">
            <w:pPr>
              <w:spacing w:after="60" w:line="240" w:lineRule="auto"/>
              <w:jc w:val="center"/>
            </w:pPr>
            <w:r w:rsidRPr="009D612A">
              <w:t>2021-22</w:t>
            </w:r>
          </w:p>
        </w:tc>
      </w:tr>
      <w:tr w:rsidR="0078592E" w:rsidRPr="009D612A" w:rsidTr="00E9699C">
        <w:trPr>
          <w:cantSplit/>
        </w:trPr>
        <w:tc>
          <w:tcPr>
            <w:tcW w:w="2093" w:type="dxa"/>
            <w:gridSpan w:val="2"/>
            <w:vAlign w:val="center"/>
          </w:tcPr>
          <w:p w:rsidR="0078592E" w:rsidRPr="009D612A" w:rsidRDefault="0078592E" w:rsidP="00F7690A">
            <w:pPr>
              <w:spacing w:after="60" w:line="240" w:lineRule="auto"/>
              <w:jc w:val="center"/>
            </w:pPr>
            <w:r w:rsidRPr="009D612A">
              <w:t>16 200 cases pa</w:t>
            </w:r>
          </w:p>
          <w:p w:rsidR="0078592E" w:rsidRPr="009D612A" w:rsidRDefault="0078592E" w:rsidP="00F7690A">
            <w:pPr>
              <w:spacing w:after="60" w:line="240" w:lineRule="auto"/>
              <w:jc w:val="center"/>
            </w:pPr>
            <w:r w:rsidRPr="009D612A">
              <w:t>(Baseline)</w:t>
            </w:r>
          </w:p>
        </w:tc>
        <w:tc>
          <w:tcPr>
            <w:tcW w:w="1843" w:type="dxa"/>
            <w:vAlign w:val="center"/>
          </w:tcPr>
          <w:p w:rsidR="0078592E" w:rsidRPr="009D612A" w:rsidRDefault="00CA0B29" w:rsidP="00F7690A">
            <w:pPr>
              <w:spacing w:after="60" w:line="240" w:lineRule="auto"/>
              <w:jc w:val="center"/>
            </w:pPr>
            <w:r>
              <w:t xml:space="preserve">16 200 </w:t>
            </w:r>
            <w:r w:rsidR="0078592E" w:rsidRPr="009D612A">
              <w:t>Baseline</w:t>
            </w:r>
          </w:p>
          <w:p w:rsidR="0078592E" w:rsidRPr="009D612A" w:rsidRDefault="0078592E" w:rsidP="00F7690A">
            <w:pPr>
              <w:spacing w:after="60" w:line="240" w:lineRule="auto"/>
              <w:jc w:val="center"/>
            </w:pPr>
            <w:r w:rsidRPr="009D612A">
              <w:t>+</w:t>
            </w:r>
          </w:p>
          <w:p w:rsidR="0078592E" w:rsidRPr="009D612A" w:rsidRDefault="0053543B" w:rsidP="00F7690A">
            <w:pPr>
              <w:spacing w:after="60" w:line="240" w:lineRule="auto"/>
              <w:jc w:val="center"/>
            </w:pPr>
            <w:r>
              <w:t>P</w:t>
            </w:r>
            <w:r w:rsidR="0078592E" w:rsidRPr="009D612A">
              <w:t>op growth</w:t>
            </w:r>
            <w:r>
              <w:t xml:space="preserve"> to be agreed</w:t>
            </w:r>
          </w:p>
        </w:tc>
        <w:tc>
          <w:tcPr>
            <w:tcW w:w="1984" w:type="dxa"/>
            <w:vAlign w:val="center"/>
          </w:tcPr>
          <w:p w:rsidR="0078592E" w:rsidRPr="009D612A" w:rsidRDefault="0078592E" w:rsidP="00F7690A">
            <w:pPr>
              <w:spacing w:after="60" w:line="240" w:lineRule="auto"/>
              <w:jc w:val="center"/>
            </w:pPr>
            <w:r w:rsidRPr="009D612A">
              <w:t>2018_19</w:t>
            </w:r>
          </w:p>
          <w:p w:rsidR="0078592E" w:rsidRPr="009D612A" w:rsidRDefault="0078592E" w:rsidP="00F7690A">
            <w:pPr>
              <w:spacing w:after="60" w:line="240" w:lineRule="auto"/>
              <w:jc w:val="center"/>
            </w:pPr>
            <w:r w:rsidRPr="009D612A">
              <w:t>+</w:t>
            </w:r>
          </w:p>
          <w:p w:rsidR="0078592E" w:rsidRPr="009D612A" w:rsidRDefault="0053543B" w:rsidP="00F7690A">
            <w:pPr>
              <w:spacing w:after="60" w:line="240" w:lineRule="auto"/>
              <w:jc w:val="center"/>
            </w:pPr>
            <w:r>
              <w:t>P</w:t>
            </w:r>
            <w:r w:rsidRPr="009D612A">
              <w:t>op growth</w:t>
            </w:r>
            <w:r>
              <w:t xml:space="preserve"> to be agreed</w:t>
            </w:r>
          </w:p>
        </w:tc>
        <w:tc>
          <w:tcPr>
            <w:tcW w:w="2126" w:type="dxa"/>
            <w:vAlign w:val="center"/>
          </w:tcPr>
          <w:p w:rsidR="0078592E" w:rsidRPr="009D612A" w:rsidRDefault="0078592E" w:rsidP="00F7690A">
            <w:pPr>
              <w:spacing w:after="60" w:line="240" w:lineRule="auto"/>
              <w:jc w:val="center"/>
            </w:pPr>
            <w:r w:rsidRPr="009D612A">
              <w:t>2019_20</w:t>
            </w:r>
          </w:p>
          <w:p w:rsidR="0078592E" w:rsidRPr="009D612A" w:rsidRDefault="0078592E" w:rsidP="00F7690A">
            <w:pPr>
              <w:spacing w:after="60" w:line="240" w:lineRule="auto"/>
              <w:jc w:val="center"/>
            </w:pPr>
            <w:r w:rsidRPr="009D612A">
              <w:t>+</w:t>
            </w:r>
          </w:p>
          <w:p w:rsidR="0078592E" w:rsidRPr="009D612A" w:rsidRDefault="0053543B" w:rsidP="00F7690A">
            <w:pPr>
              <w:spacing w:after="60" w:line="240" w:lineRule="auto"/>
              <w:jc w:val="center"/>
            </w:pPr>
            <w:r>
              <w:t>P</w:t>
            </w:r>
            <w:r w:rsidRPr="009D612A">
              <w:t>op growth</w:t>
            </w:r>
            <w:r>
              <w:t xml:space="preserve"> to be agreed</w:t>
            </w:r>
          </w:p>
        </w:tc>
        <w:tc>
          <w:tcPr>
            <w:tcW w:w="1985" w:type="dxa"/>
            <w:vAlign w:val="center"/>
          </w:tcPr>
          <w:p w:rsidR="0078592E" w:rsidRPr="009D612A" w:rsidRDefault="0078592E" w:rsidP="00F7690A">
            <w:pPr>
              <w:spacing w:after="60" w:line="240" w:lineRule="auto"/>
              <w:jc w:val="center"/>
            </w:pPr>
            <w:r w:rsidRPr="009D612A">
              <w:t>2020_21</w:t>
            </w:r>
          </w:p>
          <w:p w:rsidR="0078592E" w:rsidRPr="009D612A" w:rsidRDefault="0078592E" w:rsidP="00F7690A">
            <w:pPr>
              <w:spacing w:after="60" w:line="240" w:lineRule="auto"/>
              <w:jc w:val="center"/>
            </w:pPr>
            <w:r w:rsidRPr="009D612A">
              <w:t>+</w:t>
            </w:r>
          </w:p>
          <w:p w:rsidR="0078592E" w:rsidRPr="009D612A" w:rsidRDefault="0053543B" w:rsidP="00F7690A">
            <w:pPr>
              <w:spacing w:after="60" w:line="240" w:lineRule="auto"/>
              <w:jc w:val="center"/>
            </w:pPr>
            <w:r>
              <w:t>P</w:t>
            </w:r>
            <w:r w:rsidRPr="009D612A">
              <w:t>op growth</w:t>
            </w:r>
            <w:r>
              <w:t xml:space="preserve"> to be agreed</w:t>
            </w:r>
          </w:p>
        </w:tc>
      </w:tr>
    </w:tbl>
    <w:p w:rsidR="0078592E" w:rsidRDefault="0078592E" w:rsidP="0078592E"/>
    <w:tbl>
      <w:tblPr>
        <w:tblStyle w:val="TableGrid"/>
        <w:tblW w:w="0" w:type="auto"/>
        <w:tblCellMar>
          <w:top w:w="113" w:type="dxa"/>
          <w:bottom w:w="113" w:type="dxa"/>
        </w:tblCellMar>
        <w:tblLook w:val="04A0" w:firstRow="1" w:lastRow="0" w:firstColumn="1" w:lastColumn="0" w:noHBand="0" w:noVBand="1"/>
        <w:tblCaption w:val="Treat in Turn and Categorisation"/>
      </w:tblPr>
      <w:tblGrid>
        <w:gridCol w:w="1097"/>
        <w:gridCol w:w="973"/>
        <w:gridCol w:w="1960"/>
        <w:gridCol w:w="1961"/>
        <w:gridCol w:w="1960"/>
        <w:gridCol w:w="1961"/>
      </w:tblGrid>
      <w:tr w:rsidR="004F7B69" w:rsidRPr="009D612A" w:rsidTr="00BD6837">
        <w:trPr>
          <w:cantSplit/>
          <w:tblHeader/>
        </w:trPr>
        <w:tc>
          <w:tcPr>
            <w:tcW w:w="1101" w:type="dxa"/>
            <w:shd w:val="clear" w:color="auto" w:fill="1F497D" w:themeFill="text2"/>
            <w:vAlign w:val="center"/>
          </w:tcPr>
          <w:p w:rsidR="004F7B69" w:rsidRDefault="004F7B69" w:rsidP="00E9699C">
            <w:pPr>
              <w:jc w:val="center"/>
              <w:rPr>
                <w:b/>
                <w:color w:val="FFFFFF" w:themeColor="background1"/>
              </w:rPr>
            </w:pPr>
            <w:r>
              <w:rPr>
                <w:b/>
                <w:color w:val="FFFFFF" w:themeColor="background1"/>
              </w:rPr>
              <w:t>5.2.1.3</w:t>
            </w:r>
          </w:p>
          <w:p w:rsidR="004F7B69" w:rsidRPr="009D612A" w:rsidRDefault="004F7B69" w:rsidP="00E9699C">
            <w:pPr>
              <w:jc w:val="center"/>
              <w:rPr>
                <w:b/>
              </w:rPr>
            </w:pPr>
            <w:r>
              <w:rPr>
                <w:b/>
                <w:color w:val="FFFFFF" w:themeColor="background1"/>
              </w:rPr>
              <w:t>5.2.1.4</w:t>
            </w:r>
          </w:p>
        </w:tc>
        <w:tc>
          <w:tcPr>
            <w:tcW w:w="8930" w:type="dxa"/>
            <w:gridSpan w:val="5"/>
            <w:vAlign w:val="center"/>
          </w:tcPr>
          <w:p w:rsidR="00D34DF7" w:rsidRPr="00D34DF7" w:rsidRDefault="00BA3EE4" w:rsidP="00E9699C">
            <w:pPr>
              <w:jc w:val="both"/>
              <w:rPr>
                <w:b/>
              </w:rPr>
            </w:pPr>
            <w:r w:rsidRPr="00D34DF7">
              <w:rPr>
                <w:b/>
              </w:rPr>
              <w:t xml:space="preserve">Treat in Turn </w:t>
            </w:r>
            <w:r>
              <w:rPr>
                <w:b/>
              </w:rPr>
              <w:t xml:space="preserve">and </w:t>
            </w:r>
            <w:r w:rsidR="00D34DF7" w:rsidRPr="00D34DF7">
              <w:rPr>
                <w:b/>
              </w:rPr>
              <w:t>Categorisation</w:t>
            </w:r>
            <w:r>
              <w:rPr>
                <w:b/>
              </w:rPr>
              <w:t xml:space="preserve"> </w:t>
            </w:r>
          </w:p>
          <w:p w:rsidR="0053543B" w:rsidRDefault="0053543B" w:rsidP="00E9699C">
            <w:pPr>
              <w:jc w:val="both"/>
            </w:pPr>
            <w:r w:rsidRPr="0053543B">
              <w:rPr>
                <w:u w:val="single"/>
              </w:rPr>
              <w:t>Purchaser intent</w:t>
            </w:r>
            <w:r>
              <w:t>:</w:t>
            </w:r>
          </w:p>
          <w:p w:rsidR="004F7B69" w:rsidRPr="009D612A" w:rsidRDefault="004F7B69" w:rsidP="00E9699C">
            <w:pPr>
              <w:jc w:val="both"/>
            </w:pPr>
            <w:r w:rsidRPr="009D612A">
              <w:t xml:space="preserve">It is expected by the Purchaser that all patients on the Elective Surgery Waiting List will be categorised </w:t>
            </w:r>
            <w:r w:rsidR="003E06D1">
              <w:rPr>
                <w:lang w:val="en-US"/>
              </w:rPr>
              <w:t>consistent with</w:t>
            </w:r>
            <w:r w:rsidR="003E06D1" w:rsidRPr="009D612A">
              <w:t xml:space="preserve"> </w:t>
            </w:r>
            <w:r w:rsidRPr="009D612A">
              <w:t>the National Elective Surgery Urgency Categorisation Guideline</w:t>
            </w:r>
            <w:r w:rsidR="00B81637">
              <w:rPr>
                <w:lang w:val="en-US"/>
              </w:rPr>
              <w:t>,</w:t>
            </w:r>
            <w:r w:rsidRPr="009D612A">
              <w:t xml:space="preserve"> and subsequently 60% of patients will be ‘treated in turn’ following the National Definitions for Elective Surgery Urgency Categories project ‘treat in turn’ principle.</w:t>
            </w:r>
          </w:p>
          <w:p w:rsidR="004F7B69" w:rsidRPr="009D612A" w:rsidRDefault="004F7B69" w:rsidP="00E9699C">
            <w:r w:rsidRPr="009D612A">
              <w:t>The referenced Categorisation Guideline and Categorisation project were endorsed by AHMAC,</w:t>
            </w:r>
            <w:r w:rsidR="00A3428A">
              <w:rPr>
                <w:lang w:val="en-US"/>
              </w:rPr>
              <w:t xml:space="preserve"> </w:t>
            </w:r>
            <w:r w:rsidRPr="009D612A">
              <w:t>RACS,</w:t>
            </w:r>
            <w:r w:rsidR="00A3428A">
              <w:rPr>
                <w:lang w:val="en-US"/>
              </w:rPr>
              <w:t xml:space="preserve"> </w:t>
            </w:r>
            <w:r w:rsidRPr="009D612A">
              <w:t>12 Australasian surgical colleges and the AIHW in 2015 and 2014 respectively..</w:t>
            </w:r>
          </w:p>
          <w:p w:rsidR="004F7B69" w:rsidRPr="009D612A" w:rsidRDefault="004F7B69" w:rsidP="00E9699C">
            <w:pPr>
              <w:rPr>
                <w:b/>
              </w:rPr>
            </w:pPr>
            <w:r w:rsidRPr="009D612A">
              <w:rPr>
                <w:u w:val="single"/>
              </w:rPr>
              <w:t>Provider obligation</w:t>
            </w:r>
            <w:r w:rsidRPr="009D612A">
              <w:t>: Attain Treat in Turn KPI</w:t>
            </w:r>
          </w:p>
        </w:tc>
      </w:tr>
      <w:tr w:rsidR="004F7B69" w:rsidRPr="009D612A" w:rsidTr="00E9699C">
        <w:trPr>
          <w:cantSplit/>
        </w:trPr>
        <w:tc>
          <w:tcPr>
            <w:tcW w:w="2093" w:type="dxa"/>
            <w:gridSpan w:val="2"/>
            <w:shd w:val="clear" w:color="auto" w:fill="CCECFF"/>
            <w:vAlign w:val="center"/>
          </w:tcPr>
          <w:p w:rsidR="004F7B69" w:rsidRPr="009D612A" w:rsidRDefault="004F7B69" w:rsidP="00F7690A">
            <w:pPr>
              <w:spacing w:after="60" w:line="240" w:lineRule="auto"/>
              <w:jc w:val="center"/>
            </w:pPr>
            <w:r w:rsidRPr="009D612A">
              <w:t>2017-18</w:t>
            </w:r>
          </w:p>
        </w:tc>
        <w:tc>
          <w:tcPr>
            <w:tcW w:w="1984" w:type="dxa"/>
            <w:shd w:val="clear" w:color="auto" w:fill="CCECFF"/>
            <w:vAlign w:val="center"/>
          </w:tcPr>
          <w:p w:rsidR="004F7B69" w:rsidRPr="009D612A" w:rsidRDefault="004F7B69" w:rsidP="00F7690A">
            <w:pPr>
              <w:spacing w:after="60" w:line="240" w:lineRule="auto"/>
              <w:jc w:val="center"/>
            </w:pPr>
            <w:r w:rsidRPr="009D612A">
              <w:t>2018-19</w:t>
            </w:r>
          </w:p>
        </w:tc>
        <w:tc>
          <w:tcPr>
            <w:tcW w:w="1985" w:type="dxa"/>
            <w:shd w:val="clear" w:color="auto" w:fill="CCECFF"/>
            <w:vAlign w:val="center"/>
          </w:tcPr>
          <w:p w:rsidR="004F7B69" w:rsidRPr="009D612A" w:rsidRDefault="004F7B69" w:rsidP="00F7690A">
            <w:pPr>
              <w:spacing w:after="60" w:line="240" w:lineRule="auto"/>
              <w:jc w:val="center"/>
            </w:pPr>
            <w:r w:rsidRPr="009D612A">
              <w:t>2019-20</w:t>
            </w:r>
          </w:p>
        </w:tc>
        <w:tc>
          <w:tcPr>
            <w:tcW w:w="1984" w:type="dxa"/>
            <w:shd w:val="clear" w:color="auto" w:fill="CCECFF"/>
            <w:vAlign w:val="center"/>
          </w:tcPr>
          <w:p w:rsidR="004F7B69" w:rsidRPr="009D612A" w:rsidRDefault="004F7B69" w:rsidP="00F7690A">
            <w:pPr>
              <w:spacing w:after="60" w:line="240" w:lineRule="auto"/>
              <w:jc w:val="center"/>
            </w:pPr>
            <w:r w:rsidRPr="009D612A">
              <w:t>2020-21</w:t>
            </w:r>
          </w:p>
        </w:tc>
        <w:tc>
          <w:tcPr>
            <w:tcW w:w="1985" w:type="dxa"/>
            <w:shd w:val="clear" w:color="auto" w:fill="CCECFF"/>
            <w:vAlign w:val="center"/>
          </w:tcPr>
          <w:p w:rsidR="004F7B69" w:rsidRPr="009D612A" w:rsidRDefault="004F7B69" w:rsidP="00F7690A">
            <w:pPr>
              <w:spacing w:after="60" w:line="240" w:lineRule="auto"/>
              <w:jc w:val="center"/>
            </w:pPr>
            <w:r w:rsidRPr="009D612A">
              <w:t>2021-22</w:t>
            </w:r>
          </w:p>
        </w:tc>
      </w:tr>
      <w:tr w:rsidR="004F7B69" w:rsidRPr="009D612A" w:rsidTr="00E9699C">
        <w:trPr>
          <w:cantSplit/>
        </w:trPr>
        <w:tc>
          <w:tcPr>
            <w:tcW w:w="2093" w:type="dxa"/>
            <w:gridSpan w:val="2"/>
            <w:vAlign w:val="center"/>
          </w:tcPr>
          <w:p w:rsidR="004F7B69" w:rsidRPr="009D612A" w:rsidRDefault="004F7B69" w:rsidP="00F7690A">
            <w:pPr>
              <w:spacing w:after="60" w:line="240" w:lineRule="auto"/>
              <w:jc w:val="center"/>
            </w:pPr>
            <w:r w:rsidRPr="009D612A">
              <w:t>60%</w:t>
            </w:r>
          </w:p>
        </w:tc>
        <w:tc>
          <w:tcPr>
            <w:tcW w:w="1984" w:type="dxa"/>
            <w:vAlign w:val="center"/>
          </w:tcPr>
          <w:p w:rsidR="004F7B69" w:rsidRPr="009D612A" w:rsidRDefault="004F7B69" w:rsidP="00F7690A">
            <w:pPr>
              <w:spacing w:after="60" w:line="240" w:lineRule="auto"/>
              <w:jc w:val="center"/>
            </w:pPr>
            <w:r w:rsidRPr="009D612A">
              <w:t>60%</w:t>
            </w:r>
          </w:p>
        </w:tc>
        <w:tc>
          <w:tcPr>
            <w:tcW w:w="1985" w:type="dxa"/>
            <w:vAlign w:val="center"/>
          </w:tcPr>
          <w:p w:rsidR="004F7B69" w:rsidRPr="009D612A" w:rsidRDefault="004F7B69" w:rsidP="00F7690A">
            <w:pPr>
              <w:spacing w:after="60" w:line="240" w:lineRule="auto"/>
              <w:jc w:val="center"/>
            </w:pPr>
            <w:r w:rsidRPr="009D612A">
              <w:t>60%</w:t>
            </w:r>
          </w:p>
        </w:tc>
        <w:tc>
          <w:tcPr>
            <w:tcW w:w="1984" w:type="dxa"/>
            <w:vAlign w:val="center"/>
          </w:tcPr>
          <w:p w:rsidR="004F7B69" w:rsidRPr="009D612A" w:rsidRDefault="004F7B69" w:rsidP="00F7690A">
            <w:pPr>
              <w:spacing w:after="60" w:line="240" w:lineRule="auto"/>
              <w:jc w:val="center"/>
            </w:pPr>
            <w:r w:rsidRPr="009D612A">
              <w:t>60%</w:t>
            </w:r>
          </w:p>
        </w:tc>
        <w:tc>
          <w:tcPr>
            <w:tcW w:w="1985" w:type="dxa"/>
            <w:vAlign w:val="center"/>
          </w:tcPr>
          <w:p w:rsidR="004F7B69" w:rsidRPr="009D612A" w:rsidRDefault="004F7B69" w:rsidP="00F7690A">
            <w:pPr>
              <w:spacing w:after="60" w:line="240" w:lineRule="auto"/>
              <w:jc w:val="center"/>
            </w:pPr>
            <w:r w:rsidRPr="009D612A">
              <w:t>60%</w:t>
            </w:r>
          </w:p>
        </w:tc>
      </w:tr>
    </w:tbl>
    <w:p w:rsidR="00806308" w:rsidRDefault="00806308" w:rsidP="0078592E"/>
    <w:tbl>
      <w:tblPr>
        <w:tblStyle w:val="TableGrid"/>
        <w:tblW w:w="0" w:type="auto"/>
        <w:tblCellMar>
          <w:top w:w="113" w:type="dxa"/>
          <w:bottom w:w="113" w:type="dxa"/>
        </w:tblCellMar>
        <w:tblLook w:val="04A0" w:firstRow="1" w:lastRow="0" w:firstColumn="1" w:lastColumn="0" w:noHBand="0" w:noVBand="1"/>
        <w:tblCaption w:val="Elective Surgery Waitlist (Future) - Purchase Activity"/>
      </w:tblPr>
      <w:tblGrid>
        <w:gridCol w:w="1101"/>
        <w:gridCol w:w="976"/>
        <w:gridCol w:w="1821"/>
        <w:gridCol w:w="1958"/>
        <w:gridCol w:w="2097"/>
        <w:gridCol w:w="1959"/>
      </w:tblGrid>
      <w:tr w:rsidR="0078592E" w:rsidRPr="009D612A" w:rsidTr="00BD6837">
        <w:trPr>
          <w:cantSplit/>
          <w:tblHeader/>
        </w:trPr>
        <w:tc>
          <w:tcPr>
            <w:tcW w:w="1101" w:type="dxa"/>
            <w:shd w:val="clear" w:color="auto" w:fill="1F497D" w:themeFill="text2"/>
            <w:vAlign w:val="center"/>
          </w:tcPr>
          <w:p w:rsidR="0078592E" w:rsidRPr="009D612A" w:rsidRDefault="004F7B69" w:rsidP="00E9699C">
            <w:pPr>
              <w:jc w:val="center"/>
              <w:rPr>
                <w:b/>
              </w:rPr>
            </w:pPr>
            <w:r>
              <w:rPr>
                <w:b/>
                <w:color w:val="FFFFFF" w:themeColor="background1"/>
              </w:rPr>
              <w:t>5.2.2.1</w:t>
            </w:r>
          </w:p>
        </w:tc>
        <w:tc>
          <w:tcPr>
            <w:tcW w:w="8930" w:type="dxa"/>
            <w:gridSpan w:val="5"/>
            <w:vAlign w:val="center"/>
          </w:tcPr>
          <w:p w:rsidR="009B2B04" w:rsidRDefault="009B2B04" w:rsidP="00E9699C">
            <w:pPr>
              <w:jc w:val="both"/>
            </w:pPr>
            <w:r w:rsidRPr="00FE2A5A">
              <w:rPr>
                <w:b/>
              </w:rPr>
              <w:t xml:space="preserve">Elective Surgery Waitlist </w:t>
            </w:r>
            <w:r w:rsidR="009A1BA8">
              <w:rPr>
                <w:b/>
              </w:rPr>
              <w:t>(</w:t>
            </w:r>
            <w:r>
              <w:rPr>
                <w:b/>
              </w:rPr>
              <w:t>Future</w:t>
            </w:r>
            <w:r w:rsidR="009A1BA8">
              <w:rPr>
                <w:b/>
              </w:rPr>
              <w:t>) -</w:t>
            </w:r>
            <w:r>
              <w:rPr>
                <w:b/>
              </w:rPr>
              <w:t xml:space="preserve"> Purchase Activity</w:t>
            </w:r>
          </w:p>
          <w:p w:rsidR="0078592E" w:rsidRPr="009D612A" w:rsidRDefault="0078592E" w:rsidP="00E9699C">
            <w:pPr>
              <w:jc w:val="both"/>
            </w:pPr>
            <w:r w:rsidRPr="009D612A">
              <w:t>Future intent by the Purchaser, to purchase activity in a manner that accounts for case complexity within the ESWL.</w:t>
            </w:r>
          </w:p>
          <w:p w:rsidR="0078592E" w:rsidRPr="009D612A" w:rsidRDefault="0078592E" w:rsidP="00E9699C">
            <w:pPr>
              <w:rPr>
                <w:b/>
              </w:rPr>
            </w:pPr>
            <w:r w:rsidRPr="009D612A">
              <w:rPr>
                <w:u w:val="single"/>
              </w:rPr>
              <w:t>Provider obligation</w:t>
            </w:r>
            <w:r w:rsidRPr="009D612A">
              <w:t>: Supply stated activity mix</w:t>
            </w:r>
          </w:p>
        </w:tc>
      </w:tr>
      <w:tr w:rsidR="0078592E" w:rsidRPr="009D612A" w:rsidTr="00E9699C">
        <w:trPr>
          <w:cantSplit/>
        </w:trPr>
        <w:tc>
          <w:tcPr>
            <w:tcW w:w="2093" w:type="dxa"/>
            <w:gridSpan w:val="2"/>
            <w:shd w:val="clear" w:color="auto" w:fill="CCECFF"/>
            <w:vAlign w:val="center"/>
          </w:tcPr>
          <w:p w:rsidR="0078592E" w:rsidRPr="009D612A" w:rsidRDefault="0078592E" w:rsidP="00F7690A">
            <w:pPr>
              <w:spacing w:after="60" w:line="240" w:lineRule="auto"/>
              <w:jc w:val="center"/>
            </w:pPr>
            <w:r w:rsidRPr="009D612A">
              <w:t>2017-18</w:t>
            </w:r>
          </w:p>
        </w:tc>
        <w:tc>
          <w:tcPr>
            <w:tcW w:w="1843" w:type="dxa"/>
            <w:shd w:val="clear" w:color="auto" w:fill="CCECFF"/>
            <w:vAlign w:val="center"/>
          </w:tcPr>
          <w:p w:rsidR="0078592E" w:rsidRPr="009D612A" w:rsidRDefault="0078592E" w:rsidP="00F7690A">
            <w:pPr>
              <w:spacing w:after="60" w:line="240" w:lineRule="auto"/>
              <w:jc w:val="center"/>
            </w:pPr>
            <w:r w:rsidRPr="009D612A">
              <w:t>2018-19</w:t>
            </w:r>
          </w:p>
        </w:tc>
        <w:tc>
          <w:tcPr>
            <w:tcW w:w="1984" w:type="dxa"/>
            <w:shd w:val="clear" w:color="auto" w:fill="CCECFF"/>
            <w:vAlign w:val="center"/>
          </w:tcPr>
          <w:p w:rsidR="0078592E" w:rsidRPr="009D612A" w:rsidRDefault="0078592E" w:rsidP="00F7690A">
            <w:pPr>
              <w:spacing w:after="60" w:line="240" w:lineRule="auto"/>
              <w:jc w:val="center"/>
            </w:pPr>
            <w:r w:rsidRPr="009D612A">
              <w:t>2019-20</w:t>
            </w:r>
          </w:p>
        </w:tc>
        <w:tc>
          <w:tcPr>
            <w:tcW w:w="2126" w:type="dxa"/>
            <w:shd w:val="clear" w:color="auto" w:fill="CCECFF"/>
            <w:vAlign w:val="center"/>
          </w:tcPr>
          <w:p w:rsidR="0078592E" w:rsidRPr="009D612A" w:rsidRDefault="0078592E" w:rsidP="00F7690A">
            <w:pPr>
              <w:spacing w:after="60" w:line="240" w:lineRule="auto"/>
              <w:jc w:val="center"/>
            </w:pPr>
            <w:r w:rsidRPr="009D612A">
              <w:t>2020-21</w:t>
            </w:r>
          </w:p>
        </w:tc>
        <w:tc>
          <w:tcPr>
            <w:tcW w:w="1985" w:type="dxa"/>
            <w:shd w:val="clear" w:color="auto" w:fill="CCECFF"/>
            <w:vAlign w:val="center"/>
          </w:tcPr>
          <w:p w:rsidR="0078592E" w:rsidRPr="009D612A" w:rsidRDefault="0078592E" w:rsidP="00F7690A">
            <w:pPr>
              <w:spacing w:after="60" w:line="240" w:lineRule="auto"/>
              <w:jc w:val="center"/>
            </w:pPr>
            <w:r w:rsidRPr="009D612A">
              <w:t>2021-22</w:t>
            </w:r>
          </w:p>
        </w:tc>
      </w:tr>
      <w:tr w:rsidR="0078592E" w:rsidRPr="009D612A" w:rsidTr="00E9699C">
        <w:trPr>
          <w:cantSplit/>
        </w:trPr>
        <w:tc>
          <w:tcPr>
            <w:tcW w:w="2093" w:type="dxa"/>
            <w:gridSpan w:val="2"/>
            <w:vAlign w:val="center"/>
          </w:tcPr>
          <w:p w:rsidR="0078592E" w:rsidRPr="009D612A" w:rsidRDefault="00E44B7A" w:rsidP="00F7690A">
            <w:pPr>
              <w:spacing w:after="60" w:line="240" w:lineRule="auto"/>
              <w:jc w:val="center"/>
            </w:pPr>
            <w:r>
              <w:t>Policy Development</w:t>
            </w:r>
          </w:p>
        </w:tc>
        <w:tc>
          <w:tcPr>
            <w:tcW w:w="1843" w:type="dxa"/>
            <w:vAlign w:val="center"/>
          </w:tcPr>
          <w:p w:rsidR="0078592E" w:rsidRPr="009D612A" w:rsidRDefault="00A3428A" w:rsidP="00F7690A">
            <w:pPr>
              <w:spacing w:after="60" w:line="240" w:lineRule="auto"/>
              <w:jc w:val="center"/>
            </w:pPr>
            <w:r w:rsidRPr="009D612A">
              <w:t xml:space="preserve">Activity </w:t>
            </w:r>
            <w:r w:rsidR="0078592E" w:rsidRPr="009D612A">
              <w:t>tbc</w:t>
            </w:r>
          </w:p>
        </w:tc>
        <w:tc>
          <w:tcPr>
            <w:tcW w:w="1984" w:type="dxa"/>
            <w:vAlign w:val="center"/>
          </w:tcPr>
          <w:p w:rsidR="0078592E" w:rsidRPr="009D612A" w:rsidRDefault="00A3428A" w:rsidP="00F7690A">
            <w:pPr>
              <w:spacing w:after="60" w:line="240" w:lineRule="auto"/>
              <w:jc w:val="center"/>
            </w:pPr>
            <w:r w:rsidRPr="009D612A">
              <w:t xml:space="preserve">Activity </w:t>
            </w:r>
            <w:r w:rsidR="0078592E" w:rsidRPr="009D612A">
              <w:t>tbc</w:t>
            </w:r>
          </w:p>
        </w:tc>
        <w:tc>
          <w:tcPr>
            <w:tcW w:w="2126" w:type="dxa"/>
            <w:vAlign w:val="center"/>
          </w:tcPr>
          <w:p w:rsidR="0078592E" w:rsidRPr="009D612A" w:rsidRDefault="00A3428A" w:rsidP="00F7690A">
            <w:pPr>
              <w:spacing w:after="60" w:line="240" w:lineRule="auto"/>
              <w:jc w:val="center"/>
            </w:pPr>
            <w:r w:rsidRPr="009D612A">
              <w:t xml:space="preserve">Activity </w:t>
            </w:r>
            <w:r w:rsidR="0078592E" w:rsidRPr="009D612A">
              <w:t>tbc</w:t>
            </w:r>
          </w:p>
        </w:tc>
        <w:tc>
          <w:tcPr>
            <w:tcW w:w="1985" w:type="dxa"/>
            <w:vAlign w:val="center"/>
          </w:tcPr>
          <w:p w:rsidR="0078592E" w:rsidRPr="009D612A" w:rsidRDefault="00A3428A" w:rsidP="00F7690A">
            <w:pPr>
              <w:spacing w:after="60" w:line="240" w:lineRule="auto"/>
              <w:jc w:val="center"/>
            </w:pPr>
            <w:r w:rsidRPr="009D612A">
              <w:t xml:space="preserve">Activity </w:t>
            </w:r>
            <w:r w:rsidR="0078592E" w:rsidRPr="009D612A">
              <w:t>tbc</w:t>
            </w:r>
          </w:p>
        </w:tc>
      </w:tr>
    </w:tbl>
    <w:p w:rsidR="00806308" w:rsidRDefault="00806308" w:rsidP="0078592E"/>
    <w:p w:rsidR="0078592E" w:rsidRPr="003C5309" w:rsidRDefault="0078592E" w:rsidP="0078592E">
      <w:pPr>
        <w:spacing w:line="240" w:lineRule="auto"/>
        <w:ind w:hanging="142"/>
        <w:rPr>
          <w:b/>
          <w:color w:val="1F497D" w:themeColor="text2"/>
          <w:sz w:val="32"/>
          <w:szCs w:val="32"/>
        </w:rPr>
      </w:pPr>
      <w:r w:rsidRPr="003C5309">
        <w:rPr>
          <w:b/>
          <w:color w:val="1F497D" w:themeColor="text2"/>
          <w:sz w:val="32"/>
          <w:szCs w:val="32"/>
        </w:rPr>
        <w:t>Emergency Surgery</w:t>
      </w:r>
    </w:p>
    <w:tbl>
      <w:tblPr>
        <w:tblStyle w:val="TableGrid"/>
        <w:tblW w:w="0" w:type="auto"/>
        <w:tblCellMar>
          <w:top w:w="113" w:type="dxa"/>
          <w:bottom w:w="113" w:type="dxa"/>
        </w:tblCellMar>
        <w:tblLook w:val="04A0" w:firstRow="1" w:lastRow="0" w:firstColumn="1" w:lastColumn="0" w:noHBand="0" w:noVBand="1"/>
        <w:tblCaption w:val="Emergency Surgery Volume (Future)"/>
      </w:tblPr>
      <w:tblGrid>
        <w:gridCol w:w="1102"/>
        <w:gridCol w:w="976"/>
        <w:gridCol w:w="1958"/>
        <w:gridCol w:w="1959"/>
        <w:gridCol w:w="1958"/>
        <w:gridCol w:w="1959"/>
      </w:tblGrid>
      <w:tr w:rsidR="0078592E" w:rsidRPr="009D612A" w:rsidTr="00BD6837">
        <w:trPr>
          <w:cantSplit/>
          <w:tblHeader/>
        </w:trPr>
        <w:tc>
          <w:tcPr>
            <w:tcW w:w="1101" w:type="dxa"/>
            <w:shd w:val="clear" w:color="auto" w:fill="1F497D" w:themeFill="text2"/>
            <w:vAlign w:val="center"/>
          </w:tcPr>
          <w:p w:rsidR="0078592E" w:rsidRPr="009D612A" w:rsidRDefault="00157E99" w:rsidP="00E9699C">
            <w:pPr>
              <w:jc w:val="center"/>
              <w:rPr>
                <w:b/>
              </w:rPr>
            </w:pPr>
            <w:r>
              <w:rPr>
                <w:b/>
                <w:color w:val="FFFFFF" w:themeColor="background1"/>
              </w:rPr>
              <w:t>5.2.2.2</w:t>
            </w:r>
          </w:p>
        </w:tc>
        <w:tc>
          <w:tcPr>
            <w:tcW w:w="8930" w:type="dxa"/>
            <w:gridSpan w:val="5"/>
            <w:vAlign w:val="center"/>
          </w:tcPr>
          <w:p w:rsidR="00806308" w:rsidRPr="00E44A36" w:rsidRDefault="00806308" w:rsidP="00806308">
            <w:pPr>
              <w:jc w:val="both"/>
              <w:rPr>
                <w:b/>
              </w:rPr>
            </w:pPr>
            <w:r>
              <w:rPr>
                <w:b/>
              </w:rPr>
              <w:t>Emergency S</w:t>
            </w:r>
            <w:r w:rsidRPr="00E44A36">
              <w:rPr>
                <w:b/>
              </w:rPr>
              <w:t xml:space="preserve">urgery </w:t>
            </w:r>
            <w:r>
              <w:rPr>
                <w:b/>
              </w:rPr>
              <w:t>V</w:t>
            </w:r>
            <w:r w:rsidRPr="00E44A36">
              <w:rPr>
                <w:b/>
              </w:rPr>
              <w:t>olume</w:t>
            </w:r>
            <w:r w:rsidR="00612A09">
              <w:rPr>
                <w:b/>
              </w:rPr>
              <w:t xml:space="preserve"> (Future)</w:t>
            </w:r>
          </w:p>
          <w:p w:rsidR="0078592E" w:rsidRPr="009D612A" w:rsidRDefault="0078592E" w:rsidP="00E9699C">
            <w:r w:rsidRPr="009D612A">
              <w:t>Specify Emergency surgery volume.</w:t>
            </w:r>
          </w:p>
          <w:p w:rsidR="0078592E" w:rsidRPr="00841869" w:rsidRDefault="0078592E" w:rsidP="00E9699C">
            <w:pPr>
              <w:rPr>
                <w:u w:val="single"/>
              </w:rPr>
            </w:pPr>
            <w:r w:rsidRPr="009D612A">
              <w:rPr>
                <w:u w:val="single"/>
              </w:rPr>
              <w:t xml:space="preserve">Provider obligation: </w:t>
            </w:r>
          </w:p>
        </w:tc>
      </w:tr>
      <w:tr w:rsidR="0078592E" w:rsidRPr="009D612A" w:rsidTr="00E9699C">
        <w:trPr>
          <w:cantSplit/>
        </w:trPr>
        <w:tc>
          <w:tcPr>
            <w:tcW w:w="2093" w:type="dxa"/>
            <w:gridSpan w:val="2"/>
            <w:shd w:val="clear" w:color="auto" w:fill="CCECFF"/>
            <w:vAlign w:val="center"/>
          </w:tcPr>
          <w:p w:rsidR="0078592E" w:rsidRPr="009D612A" w:rsidRDefault="0078592E" w:rsidP="00F7690A">
            <w:pPr>
              <w:spacing w:after="60" w:line="240" w:lineRule="auto"/>
              <w:jc w:val="center"/>
            </w:pPr>
            <w:r w:rsidRPr="009D612A">
              <w:t>2017-18</w:t>
            </w:r>
          </w:p>
        </w:tc>
        <w:tc>
          <w:tcPr>
            <w:tcW w:w="1984" w:type="dxa"/>
            <w:shd w:val="clear" w:color="auto" w:fill="CCECFF"/>
            <w:vAlign w:val="center"/>
          </w:tcPr>
          <w:p w:rsidR="0078592E" w:rsidRPr="009D612A" w:rsidRDefault="0078592E" w:rsidP="00F7690A">
            <w:pPr>
              <w:spacing w:after="60" w:line="240" w:lineRule="auto"/>
              <w:jc w:val="center"/>
            </w:pPr>
            <w:r w:rsidRPr="009D612A">
              <w:t>2018-19</w:t>
            </w:r>
          </w:p>
        </w:tc>
        <w:tc>
          <w:tcPr>
            <w:tcW w:w="1985" w:type="dxa"/>
            <w:shd w:val="clear" w:color="auto" w:fill="CCECFF"/>
            <w:vAlign w:val="center"/>
          </w:tcPr>
          <w:p w:rsidR="0078592E" w:rsidRPr="009D612A" w:rsidRDefault="0078592E" w:rsidP="00F7690A">
            <w:pPr>
              <w:spacing w:after="60" w:line="240" w:lineRule="auto"/>
              <w:jc w:val="center"/>
            </w:pPr>
            <w:r w:rsidRPr="009D612A">
              <w:t>2019-20</w:t>
            </w:r>
          </w:p>
        </w:tc>
        <w:tc>
          <w:tcPr>
            <w:tcW w:w="1984" w:type="dxa"/>
            <w:shd w:val="clear" w:color="auto" w:fill="CCECFF"/>
            <w:vAlign w:val="center"/>
          </w:tcPr>
          <w:p w:rsidR="0078592E" w:rsidRPr="009D612A" w:rsidRDefault="0078592E" w:rsidP="00F7690A">
            <w:pPr>
              <w:spacing w:after="60" w:line="240" w:lineRule="auto"/>
              <w:jc w:val="center"/>
            </w:pPr>
            <w:r w:rsidRPr="009D612A">
              <w:t>2020-21</w:t>
            </w:r>
          </w:p>
        </w:tc>
        <w:tc>
          <w:tcPr>
            <w:tcW w:w="1985" w:type="dxa"/>
            <w:shd w:val="clear" w:color="auto" w:fill="CCECFF"/>
            <w:vAlign w:val="center"/>
          </w:tcPr>
          <w:p w:rsidR="0078592E" w:rsidRPr="009D612A" w:rsidRDefault="0078592E" w:rsidP="00F7690A">
            <w:pPr>
              <w:spacing w:after="60" w:line="240" w:lineRule="auto"/>
              <w:jc w:val="center"/>
            </w:pPr>
            <w:r w:rsidRPr="009D612A">
              <w:t>2021-22</w:t>
            </w:r>
          </w:p>
        </w:tc>
      </w:tr>
      <w:tr w:rsidR="0078592E" w:rsidRPr="009D612A" w:rsidTr="00E9699C">
        <w:trPr>
          <w:cantSplit/>
        </w:trPr>
        <w:tc>
          <w:tcPr>
            <w:tcW w:w="2093" w:type="dxa"/>
            <w:gridSpan w:val="2"/>
            <w:vAlign w:val="center"/>
          </w:tcPr>
          <w:p w:rsidR="0078592E" w:rsidRPr="009D612A" w:rsidRDefault="00FA142E" w:rsidP="00F7690A">
            <w:pPr>
              <w:spacing w:after="60" w:line="240" w:lineRule="auto"/>
              <w:jc w:val="center"/>
            </w:pPr>
            <w:r>
              <w:t>Policy Development</w:t>
            </w:r>
          </w:p>
        </w:tc>
        <w:tc>
          <w:tcPr>
            <w:tcW w:w="1984" w:type="dxa"/>
            <w:vAlign w:val="center"/>
          </w:tcPr>
          <w:p w:rsidR="0078592E" w:rsidRPr="009D612A" w:rsidRDefault="0078592E" w:rsidP="00F7690A">
            <w:pPr>
              <w:spacing w:after="60" w:line="240" w:lineRule="auto"/>
              <w:jc w:val="center"/>
            </w:pPr>
            <w:r w:rsidRPr="009D612A">
              <w:t>Activity tbc</w:t>
            </w:r>
          </w:p>
        </w:tc>
        <w:tc>
          <w:tcPr>
            <w:tcW w:w="1985" w:type="dxa"/>
            <w:vAlign w:val="center"/>
          </w:tcPr>
          <w:p w:rsidR="0078592E" w:rsidRPr="009D612A" w:rsidRDefault="0078592E" w:rsidP="00F7690A">
            <w:pPr>
              <w:spacing w:after="60" w:line="240" w:lineRule="auto"/>
              <w:jc w:val="center"/>
            </w:pPr>
            <w:r w:rsidRPr="009D612A">
              <w:t>Activity tbc</w:t>
            </w:r>
          </w:p>
        </w:tc>
        <w:tc>
          <w:tcPr>
            <w:tcW w:w="1984" w:type="dxa"/>
            <w:vAlign w:val="center"/>
          </w:tcPr>
          <w:p w:rsidR="0078592E" w:rsidRPr="009D612A" w:rsidRDefault="0078592E" w:rsidP="00F7690A">
            <w:pPr>
              <w:spacing w:after="60" w:line="240" w:lineRule="auto"/>
              <w:jc w:val="center"/>
            </w:pPr>
            <w:r w:rsidRPr="009D612A">
              <w:t>Activity tbc</w:t>
            </w:r>
          </w:p>
        </w:tc>
        <w:tc>
          <w:tcPr>
            <w:tcW w:w="1985" w:type="dxa"/>
            <w:vAlign w:val="center"/>
          </w:tcPr>
          <w:p w:rsidR="0078592E" w:rsidRPr="009D612A" w:rsidRDefault="0078592E" w:rsidP="00F7690A">
            <w:pPr>
              <w:spacing w:after="60" w:line="240" w:lineRule="auto"/>
              <w:jc w:val="center"/>
            </w:pPr>
            <w:r w:rsidRPr="009D612A">
              <w:t>Activity tbc</w:t>
            </w:r>
          </w:p>
        </w:tc>
      </w:tr>
    </w:tbl>
    <w:p w:rsidR="0078592E" w:rsidRPr="009D612A" w:rsidRDefault="0078592E" w:rsidP="0078592E"/>
    <w:tbl>
      <w:tblPr>
        <w:tblStyle w:val="TableGrid"/>
        <w:tblW w:w="0" w:type="auto"/>
        <w:tblCellMar>
          <w:top w:w="113" w:type="dxa"/>
          <w:bottom w:w="113" w:type="dxa"/>
        </w:tblCellMar>
        <w:tblLook w:val="04A0" w:firstRow="1" w:lastRow="0" w:firstColumn="1" w:lastColumn="0" w:noHBand="0" w:noVBand="1"/>
        <w:tblCaption w:val="Emergency Surgery Activity Mix (Future)"/>
      </w:tblPr>
      <w:tblGrid>
        <w:gridCol w:w="1102"/>
        <w:gridCol w:w="976"/>
        <w:gridCol w:w="1958"/>
        <w:gridCol w:w="1959"/>
        <w:gridCol w:w="1958"/>
        <w:gridCol w:w="1959"/>
      </w:tblGrid>
      <w:tr w:rsidR="0078592E" w:rsidRPr="009D612A" w:rsidTr="00BD6837">
        <w:trPr>
          <w:tblHeader/>
        </w:trPr>
        <w:tc>
          <w:tcPr>
            <w:tcW w:w="1101" w:type="dxa"/>
            <w:shd w:val="clear" w:color="auto" w:fill="1F497D" w:themeFill="text2"/>
            <w:vAlign w:val="center"/>
          </w:tcPr>
          <w:p w:rsidR="0078592E" w:rsidRPr="009D612A" w:rsidRDefault="0078592E" w:rsidP="00E9699C">
            <w:pPr>
              <w:jc w:val="center"/>
              <w:rPr>
                <w:b/>
              </w:rPr>
            </w:pPr>
            <w:r w:rsidRPr="009D612A">
              <w:rPr>
                <w:b/>
                <w:color w:val="FFFFFF" w:themeColor="background1"/>
              </w:rPr>
              <w:t>5.2.2.3</w:t>
            </w:r>
          </w:p>
        </w:tc>
        <w:tc>
          <w:tcPr>
            <w:tcW w:w="8930" w:type="dxa"/>
            <w:gridSpan w:val="5"/>
            <w:vAlign w:val="center"/>
          </w:tcPr>
          <w:p w:rsidR="00806308" w:rsidRPr="00E44A36" w:rsidRDefault="00806308" w:rsidP="00806308">
            <w:pPr>
              <w:jc w:val="both"/>
              <w:rPr>
                <w:b/>
              </w:rPr>
            </w:pPr>
            <w:r>
              <w:rPr>
                <w:b/>
              </w:rPr>
              <w:t>Emergency S</w:t>
            </w:r>
            <w:r w:rsidRPr="00E44A36">
              <w:rPr>
                <w:b/>
              </w:rPr>
              <w:t xml:space="preserve">urgery </w:t>
            </w:r>
            <w:r w:rsidR="001A4FEB">
              <w:rPr>
                <w:b/>
              </w:rPr>
              <w:t>Activity Mix</w:t>
            </w:r>
            <w:r w:rsidR="00612A09">
              <w:rPr>
                <w:b/>
              </w:rPr>
              <w:t xml:space="preserve"> (Future)</w:t>
            </w:r>
          </w:p>
          <w:p w:rsidR="0078592E" w:rsidRPr="009D612A" w:rsidRDefault="0078592E" w:rsidP="00E9699C">
            <w:r w:rsidRPr="009D612A">
              <w:t>Specify speciality volume funding within Emergency Surgery volume.</w:t>
            </w:r>
          </w:p>
          <w:p w:rsidR="0078592E" w:rsidRPr="00841869" w:rsidRDefault="0078592E" w:rsidP="00E9699C">
            <w:pPr>
              <w:rPr>
                <w:u w:val="single"/>
              </w:rPr>
            </w:pPr>
            <w:r w:rsidRPr="009D612A">
              <w:rPr>
                <w:u w:val="single"/>
              </w:rPr>
              <w:t xml:space="preserve">Provider obligation: </w:t>
            </w:r>
          </w:p>
        </w:tc>
      </w:tr>
      <w:tr w:rsidR="0078592E" w:rsidRPr="009D612A" w:rsidTr="00E9699C">
        <w:tc>
          <w:tcPr>
            <w:tcW w:w="2093" w:type="dxa"/>
            <w:gridSpan w:val="2"/>
            <w:shd w:val="clear" w:color="auto" w:fill="CCECFF"/>
            <w:vAlign w:val="center"/>
          </w:tcPr>
          <w:p w:rsidR="0078592E" w:rsidRPr="009D612A" w:rsidRDefault="0078592E" w:rsidP="00F7690A">
            <w:pPr>
              <w:spacing w:after="60" w:line="240" w:lineRule="auto"/>
              <w:jc w:val="center"/>
            </w:pPr>
            <w:r w:rsidRPr="009D612A">
              <w:t>2017-18</w:t>
            </w:r>
          </w:p>
        </w:tc>
        <w:tc>
          <w:tcPr>
            <w:tcW w:w="1984" w:type="dxa"/>
            <w:shd w:val="clear" w:color="auto" w:fill="CCECFF"/>
            <w:vAlign w:val="center"/>
          </w:tcPr>
          <w:p w:rsidR="0078592E" w:rsidRPr="009D612A" w:rsidRDefault="0078592E" w:rsidP="00F7690A">
            <w:pPr>
              <w:spacing w:after="60" w:line="240" w:lineRule="auto"/>
              <w:jc w:val="center"/>
            </w:pPr>
            <w:r w:rsidRPr="009D612A">
              <w:t>2018-19</w:t>
            </w:r>
          </w:p>
        </w:tc>
        <w:tc>
          <w:tcPr>
            <w:tcW w:w="1985" w:type="dxa"/>
            <w:shd w:val="clear" w:color="auto" w:fill="CCECFF"/>
            <w:vAlign w:val="center"/>
          </w:tcPr>
          <w:p w:rsidR="0078592E" w:rsidRPr="009D612A" w:rsidRDefault="0078592E" w:rsidP="00F7690A">
            <w:pPr>
              <w:spacing w:after="60" w:line="240" w:lineRule="auto"/>
              <w:jc w:val="center"/>
            </w:pPr>
            <w:r w:rsidRPr="009D612A">
              <w:t>2019-20</w:t>
            </w:r>
          </w:p>
        </w:tc>
        <w:tc>
          <w:tcPr>
            <w:tcW w:w="1984" w:type="dxa"/>
            <w:shd w:val="clear" w:color="auto" w:fill="CCECFF"/>
            <w:vAlign w:val="center"/>
          </w:tcPr>
          <w:p w:rsidR="0078592E" w:rsidRPr="009D612A" w:rsidRDefault="0078592E" w:rsidP="00F7690A">
            <w:pPr>
              <w:spacing w:after="60" w:line="240" w:lineRule="auto"/>
              <w:jc w:val="center"/>
            </w:pPr>
            <w:r w:rsidRPr="009D612A">
              <w:t>2020-21</w:t>
            </w:r>
          </w:p>
        </w:tc>
        <w:tc>
          <w:tcPr>
            <w:tcW w:w="1985" w:type="dxa"/>
            <w:shd w:val="clear" w:color="auto" w:fill="CCECFF"/>
            <w:vAlign w:val="center"/>
          </w:tcPr>
          <w:p w:rsidR="0078592E" w:rsidRPr="009D612A" w:rsidRDefault="0078592E" w:rsidP="00F7690A">
            <w:pPr>
              <w:spacing w:after="60" w:line="240" w:lineRule="auto"/>
              <w:jc w:val="center"/>
            </w:pPr>
            <w:r w:rsidRPr="009D612A">
              <w:t>2021-22</w:t>
            </w:r>
          </w:p>
        </w:tc>
      </w:tr>
      <w:tr w:rsidR="0078592E" w:rsidRPr="009D612A" w:rsidTr="00E9699C">
        <w:tc>
          <w:tcPr>
            <w:tcW w:w="2093" w:type="dxa"/>
            <w:gridSpan w:val="2"/>
            <w:vAlign w:val="center"/>
          </w:tcPr>
          <w:p w:rsidR="0078592E" w:rsidRPr="009D612A" w:rsidRDefault="00FA142E" w:rsidP="00F7690A">
            <w:pPr>
              <w:spacing w:after="60" w:line="240" w:lineRule="auto"/>
              <w:jc w:val="center"/>
            </w:pPr>
            <w:r>
              <w:t>Policy Development</w:t>
            </w:r>
          </w:p>
        </w:tc>
        <w:tc>
          <w:tcPr>
            <w:tcW w:w="1984" w:type="dxa"/>
            <w:vAlign w:val="center"/>
          </w:tcPr>
          <w:p w:rsidR="0078592E" w:rsidRPr="009D612A" w:rsidRDefault="0078592E" w:rsidP="00F7690A">
            <w:pPr>
              <w:spacing w:after="60" w:line="240" w:lineRule="auto"/>
              <w:jc w:val="center"/>
            </w:pPr>
            <w:r w:rsidRPr="009D612A">
              <w:t>Activity tbc</w:t>
            </w:r>
          </w:p>
        </w:tc>
        <w:tc>
          <w:tcPr>
            <w:tcW w:w="1985" w:type="dxa"/>
            <w:vAlign w:val="center"/>
          </w:tcPr>
          <w:p w:rsidR="0078592E" w:rsidRPr="009D612A" w:rsidRDefault="0078592E" w:rsidP="00F7690A">
            <w:pPr>
              <w:spacing w:after="60" w:line="240" w:lineRule="auto"/>
              <w:jc w:val="center"/>
            </w:pPr>
            <w:r w:rsidRPr="009D612A">
              <w:t>Activity tbc</w:t>
            </w:r>
          </w:p>
        </w:tc>
        <w:tc>
          <w:tcPr>
            <w:tcW w:w="1984" w:type="dxa"/>
            <w:vAlign w:val="center"/>
          </w:tcPr>
          <w:p w:rsidR="0078592E" w:rsidRPr="009D612A" w:rsidRDefault="0078592E" w:rsidP="00F7690A">
            <w:pPr>
              <w:spacing w:after="60" w:line="240" w:lineRule="auto"/>
              <w:jc w:val="center"/>
            </w:pPr>
            <w:r w:rsidRPr="009D612A">
              <w:t>Activity tbc</w:t>
            </w:r>
          </w:p>
        </w:tc>
        <w:tc>
          <w:tcPr>
            <w:tcW w:w="1985" w:type="dxa"/>
            <w:vAlign w:val="center"/>
          </w:tcPr>
          <w:p w:rsidR="0078592E" w:rsidRPr="009D612A" w:rsidRDefault="0078592E" w:rsidP="00F7690A">
            <w:pPr>
              <w:spacing w:after="60" w:line="240" w:lineRule="auto"/>
              <w:jc w:val="center"/>
            </w:pPr>
            <w:r w:rsidRPr="009D612A">
              <w:t>Activity tbc</w:t>
            </w:r>
          </w:p>
        </w:tc>
      </w:tr>
    </w:tbl>
    <w:p w:rsidR="0063235C" w:rsidRDefault="0063235C" w:rsidP="0078592E"/>
    <w:p w:rsidR="0078592E" w:rsidRPr="009D612A" w:rsidRDefault="0078592E" w:rsidP="001F1C44">
      <w:pPr>
        <w:spacing w:line="240" w:lineRule="auto"/>
        <w:ind w:hanging="142"/>
        <w:rPr>
          <w:b/>
          <w:color w:val="1F497D" w:themeColor="text2"/>
        </w:rPr>
      </w:pPr>
      <w:r w:rsidRPr="003C5309">
        <w:rPr>
          <w:b/>
          <w:color w:val="1F497D" w:themeColor="text2"/>
          <w:sz w:val="32"/>
          <w:szCs w:val="32"/>
        </w:rPr>
        <w:t>Sector Purchasing</w:t>
      </w:r>
      <w:r w:rsidR="00F506B2">
        <w:rPr>
          <w:b/>
          <w:color w:val="1F497D" w:themeColor="text2"/>
          <w:sz w:val="32"/>
          <w:szCs w:val="32"/>
        </w:rPr>
        <w:t xml:space="preserve"> (Future)</w:t>
      </w:r>
    </w:p>
    <w:tbl>
      <w:tblPr>
        <w:tblStyle w:val="TableGrid"/>
        <w:tblW w:w="0" w:type="auto"/>
        <w:tblCellMar>
          <w:top w:w="113" w:type="dxa"/>
          <w:bottom w:w="113" w:type="dxa"/>
        </w:tblCellMar>
        <w:tblLook w:val="04A0" w:firstRow="1" w:lastRow="0" w:firstColumn="1" w:lastColumn="0" w:noHBand="0" w:noVBand="1"/>
        <w:tblCaption w:val="Sector Purchasing (Future)"/>
      </w:tblPr>
      <w:tblGrid>
        <w:gridCol w:w="1101"/>
        <w:gridCol w:w="974"/>
        <w:gridCol w:w="1967"/>
        <w:gridCol w:w="1957"/>
        <w:gridCol w:w="1956"/>
        <w:gridCol w:w="1957"/>
      </w:tblGrid>
      <w:tr w:rsidR="0078592E" w:rsidRPr="009D612A" w:rsidTr="00BD6837">
        <w:trPr>
          <w:cantSplit/>
          <w:tblHeader/>
        </w:trPr>
        <w:tc>
          <w:tcPr>
            <w:tcW w:w="1101" w:type="dxa"/>
            <w:shd w:val="clear" w:color="auto" w:fill="1F497D" w:themeFill="text2"/>
            <w:vAlign w:val="center"/>
          </w:tcPr>
          <w:p w:rsidR="0078592E" w:rsidRPr="009D612A" w:rsidRDefault="0078592E" w:rsidP="00E9699C">
            <w:pPr>
              <w:jc w:val="center"/>
              <w:rPr>
                <w:b/>
              </w:rPr>
            </w:pPr>
            <w:r w:rsidRPr="009D612A">
              <w:rPr>
                <w:b/>
                <w:color w:val="FFFFFF" w:themeColor="background1"/>
              </w:rPr>
              <w:t>5.3</w:t>
            </w:r>
          </w:p>
        </w:tc>
        <w:tc>
          <w:tcPr>
            <w:tcW w:w="8930" w:type="dxa"/>
            <w:gridSpan w:val="5"/>
            <w:vAlign w:val="center"/>
          </w:tcPr>
          <w:p w:rsidR="0078592E" w:rsidRPr="009D612A" w:rsidRDefault="0078592E" w:rsidP="00E9699C">
            <w:pPr>
              <w:spacing w:after="120"/>
              <w:jc w:val="both"/>
              <w:rPr>
                <w:rFonts w:cs="GillSans Light"/>
                <w:b/>
              </w:rPr>
            </w:pPr>
            <w:r w:rsidRPr="009D612A">
              <w:rPr>
                <w:rFonts w:cs="GillSans Light"/>
              </w:rPr>
              <w:t>Connect our acute hospitals and health care services with the community by:</w:t>
            </w:r>
          </w:p>
          <w:p w:rsidR="0078592E" w:rsidRPr="00C824F7" w:rsidRDefault="0078592E" w:rsidP="00A33018">
            <w:pPr>
              <w:pStyle w:val="ListParagraph"/>
              <w:numPr>
                <w:ilvl w:val="0"/>
                <w:numId w:val="27"/>
              </w:numPr>
              <w:spacing w:after="120"/>
              <w:ind w:left="317" w:hanging="284"/>
              <w:rPr>
                <w:rFonts w:cs="Gill Sans"/>
                <w:b/>
                <w:bCs/>
                <w:sz w:val="22"/>
              </w:rPr>
            </w:pPr>
            <w:r w:rsidRPr="00C824F7">
              <w:rPr>
                <w:rFonts w:cs="Gill Sans"/>
                <w:sz w:val="22"/>
              </w:rPr>
              <w:t>Supporting people with chronic conditions to manage their condition at home and in their community.</w:t>
            </w:r>
          </w:p>
          <w:p w:rsidR="0078592E" w:rsidRPr="00C824F7" w:rsidRDefault="00A62F31" w:rsidP="00A33018">
            <w:pPr>
              <w:pStyle w:val="ListParagraph"/>
              <w:numPr>
                <w:ilvl w:val="0"/>
                <w:numId w:val="27"/>
              </w:numPr>
              <w:spacing w:after="120"/>
              <w:ind w:left="317" w:hanging="284"/>
              <w:rPr>
                <w:rFonts w:cs="GillSans Light"/>
                <w:b/>
                <w:sz w:val="22"/>
              </w:rPr>
            </w:pPr>
            <w:r>
              <w:rPr>
                <w:rFonts w:cs="Gill Sans"/>
                <w:sz w:val="22"/>
                <w:lang w:val="en-US"/>
              </w:rPr>
              <w:t xml:space="preserve">Fostering </w:t>
            </w:r>
            <w:r w:rsidR="00505562">
              <w:rPr>
                <w:rFonts w:cs="Gill Sans"/>
                <w:sz w:val="22"/>
                <w:lang w:val="en-US"/>
              </w:rPr>
              <w:t>c</w:t>
            </w:r>
            <w:proofErr w:type="spellStart"/>
            <w:r w:rsidR="0078592E" w:rsidRPr="00C824F7">
              <w:rPr>
                <w:rFonts w:cs="Gill Sans"/>
                <w:sz w:val="22"/>
              </w:rPr>
              <w:t>oordinated</w:t>
            </w:r>
            <w:proofErr w:type="spellEnd"/>
            <w:r w:rsidR="0078592E" w:rsidRPr="00C824F7">
              <w:rPr>
                <w:rFonts w:cs="Gill Sans"/>
                <w:sz w:val="22"/>
              </w:rPr>
              <w:t xml:space="preserve"> care and chronic condition management through </w:t>
            </w:r>
            <w:r w:rsidR="0078592E" w:rsidRPr="00C824F7">
              <w:rPr>
                <w:rFonts w:cs="GillSans Light"/>
                <w:sz w:val="22"/>
              </w:rPr>
              <w:t>developed coordinated care models for people with chronic conditions</w:t>
            </w:r>
            <w:r w:rsidR="0040412F">
              <w:rPr>
                <w:rFonts w:cs="GillSans Light"/>
                <w:sz w:val="22"/>
              </w:rPr>
              <w:t>.</w:t>
            </w:r>
          </w:p>
          <w:p w:rsidR="0078592E" w:rsidRPr="00C824F7" w:rsidRDefault="0078592E" w:rsidP="00A33018">
            <w:pPr>
              <w:pStyle w:val="ListParagraph"/>
              <w:numPr>
                <w:ilvl w:val="0"/>
                <w:numId w:val="27"/>
              </w:numPr>
              <w:spacing w:after="120"/>
              <w:ind w:left="317" w:hanging="284"/>
              <w:rPr>
                <w:rFonts w:cs="GillSans Light"/>
                <w:b/>
                <w:sz w:val="22"/>
              </w:rPr>
            </w:pPr>
            <w:r w:rsidRPr="00C824F7">
              <w:rPr>
                <w:rFonts w:cs="GillSans Light"/>
                <w:sz w:val="22"/>
              </w:rPr>
              <w:t>Reducing likelihood of developing a chronic</w:t>
            </w:r>
            <w:r w:rsidR="0040412F">
              <w:rPr>
                <w:rFonts w:cs="GillSans Light"/>
                <w:sz w:val="22"/>
              </w:rPr>
              <w:t xml:space="preserve"> condition, disease or disorder.</w:t>
            </w:r>
          </w:p>
          <w:p w:rsidR="0078592E" w:rsidRPr="009D612A" w:rsidRDefault="0078592E" w:rsidP="0040412F">
            <w:pPr>
              <w:rPr>
                <w:b/>
              </w:rPr>
            </w:pPr>
            <w:r w:rsidRPr="009D612A">
              <w:rPr>
                <w:u w:val="single"/>
              </w:rPr>
              <w:t xml:space="preserve">Provider </w:t>
            </w:r>
            <w:r w:rsidR="0040412F">
              <w:rPr>
                <w:u w:val="single"/>
              </w:rPr>
              <w:t>intent</w:t>
            </w:r>
            <w:r w:rsidRPr="009D612A">
              <w:rPr>
                <w:u w:val="single"/>
              </w:rPr>
              <w:t xml:space="preserve">: </w:t>
            </w:r>
            <w:r>
              <w:t>shifting service provision, where appropriate, away from acute service settings towards community based or even care in the home.</w:t>
            </w:r>
          </w:p>
        </w:tc>
      </w:tr>
      <w:tr w:rsidR="0078592E" w:rsidTr="00E9699C">
        <w:trPr>
          <w:cantSplit/>
        </w:trPr>
        <w:tc>
          <w:tcPr>
            <w:tcW w:w="2093" w:type="dxa"/>
            <w:gridSpan w:val="2"/>
            <w:shd w:val="clear" w:color="auto" w:fill="CCECFF"/>
            <w:vAlign w:val="center"/>
          </w:tcPr>
          <w:p w:rsidR="0078592E" w:rsidRDefault="0078592E" w:rsidP="00F7690A">
            <w:pPr>
              <w:spacing w:after="60" w:line="240" w:lineRule="auto"/>
              <w:jc w:val="center"/>
            </w:pPr>
            <w:r>
              <w:t>2017-18</w:t>
            </w:r>
          </w:p>
        </w:tc>
        <w:tc>
          <w:tcPr>
            <w:tcW w:w="1984" w:type="dxa"/>
            <w:shd w:val="clear" w:color="auto" w:fill="CCECFF"/>
            <w:vAlign w:val="center"/>
          </w:tcPr>
          <w:p w:rsidR="0078592E" w:rsidRDefault="0078592E" w:rsidP="00F7690A">
            <w:pPr>
              <w:spacing w:after="60" w:line="240" w:lineRule="auto"/>
              <w:jc w:val="center"/>
            </w:pPr>
            <w:r>
              <w:t>2018-19</w:t>
            </w:r>
          </w:p>
        </w:tc>
        <w:tc>
          <w:tcPr>
            <w:tcW w:w="1985" w:type="dxa"/>
            <w:shd w:val="clear" w:color="auto" w:fill="CCECFF"/>
            <w:vAlign w:val="center"/>
          </w:tcPr>
          <w:p w:rsidR="0078592E" w:rsidRDefault="0078592E" w:rsidP="00F7690A">
            <w:pPr>
              <w:spacing w:after="60" w:line="240" w:lineRule="auto"/>
              <w:jc w:val="center"/>
            </w:pPr>
            <w:r>
              <w:t>2019-20</w:t>
            </w:r>
          </w:p>
        </w:tc>
        <w:tc>
          <w:tcPr>
            <w:tcW w:w="1984" w:type="dxa"/>
            <w:shd w:val="clear" w:color="auto" w:fill="CCECFF"/>
            <w:vAlign w:val="center"/>
          </w:tcPr>
          <w:p w:rsidR="0078592E" w:rsidRDefault="0078592E" w:rsidP="00F7690A">
            <w:pPr>
              <w:spacing w:after="60" w:line="240" w:lineRule="auto"/>
              <w:jc w:val="center"/>
            </w:pPr>
            <w:r>
              <w:t>2020-21</w:t>
            </w:r>
          </w:p>
        </w:tc>
        <w:tc>
          <w:tcPr>
            <w:tcW w:w="1985" w:type="dxa"/>
            <w:shd w:val="clear" w:color="auto" w:fill="CCECFF"/>
            <w:vAlign w:val="center"/>
          </w:tcPr>
          <w:p w:rsidR="0078592E" w:rsidRDefault="0078592E" w:rsidP="00F7690A">
            <w:pPr>
              <w:spacing w:after="60" w:line="240" w:lineRule="auto"/>
              <w:jc w:val="center"/>
            </w:pPr>
            <w:r>
              <w:t>2021-22</w:t>
            </w:r>
          </w:p>
        </w:tc>
      </w:tr>
      <w:tr w:rsidR="0078592E" w:rsidTr="0063235C">
        <w:trPr>
          <w:cantSplit/>
          <w:trHeight w:val="280"/>
        </w:trPr>
        <w:tc>
          <w:tcPr>
            <w:tcW w:w="2093" w:type="dxa"/>
            <w:gridSpan w:val="2"/>
            <w:vAlign w:val="center"/>
          </w:tcPr>
          <w:p w:rsidR="0078592E" w:rsidRDefault="00CF4EF8" w:rsidP="00F7690A">
            <w:pPr>
              <w:spacing w:after="60" w:line="240" w:lineRule="auto"/>
              <w:jc w:val="center"/>
            </w:pPr>
            <w:r>
              <w:t>Policy Development</w:t>
            </w:r>
          </w:p>
        </w:tc>
        <w:tc>
          <w:tcPr>
            <w:tcW w:w="1984" w:type="dxa"/>
            <w:vAlign w:val="center"/>
          </w:tcPr>
          <w:p w:rsidR="0078592E" w:rsidRDefault="0078592E" w:rsidP="00F7690A">
            <w:pPr>
              <w:spacing w:after="60" w:line="240" w:lineRule="auto"/>
              <w:jc w:val="center"/>
            </w:pPr>
            <w:r>
              <w:t>TRDF/TCSP</w:t>
            </w:r>
          </w:p>
        </w:tc>
        <w:tc>
          <w:tcPr>
            <w:tcW w:w="1985" w:type="dxa"/>
          </w:tcPr>
          <w:p w:rsidR="0078592E" w:rsidRDefault="0078592E" w:rsidP="00F7690A">
            <w:pPr>
              <w:spacing w:after="60" w:line="240" w:lineRule="auto"/>
              <w:jc w:val="center"/>
            </w:pPr>
            <w:r w:rsidRPr="00B20868">
              <w:t>Activity tbc</w:t>
            </w:r>
          </w:p>
        </w:tc>
        <w:tc>
          <w:tcPr>
            <w:tcW w:w="1984" w:type="dxa"/>
          </w:tcPr>
          <w:p w:rsidR="0078592E" w:rsidRDefault="0078592E" w:rsidP="00F7690A">
            <w:pPr>
              <w:spacing w:after="60" w:line="240" w:lineRule="auto"/>
              <w:jc w:val="center"/>
            </w:pPr>
            <w:r w:rsidRPr="00B20868">
              <w:t>Activity tbc</w:t>
            </w:r>
          </w:p>
        </w:tc>
        <w:tc>
          <w:tcPr>
            <w:tcW w:w="1985" w:type="dxa"/>
          </w:tcPr>
          <w:p w:rsidR="0078592E" w:rsidRDefault="0078592E" w:rsidP="00F7690A">
            <w:pPr>
              <w:spacing w:after="60" w:line="240" w:lineRule="auto"/>
              <w:jc w:val="center"/>
            </w:pPr>
            <w:r w:rsidRPr="00B20868">
              <w:t>Activity tbc</w:t>
            </w:r>
          </w:p>
        </w:tc>
      </w:tr>
    </w:tbl>
    <w:p w:rsidR="00B10FD2" w:rsidRDefault="00B10FD2" w:rsidP="004F41D1">
      <w:pPr>
        <w:sectPr w:rsidR="00B10FD2" w:rsidSect="006D6DDD">
          <w:pgSz w:w="11907" w:h="16839" w:code="9"/>
          <w:pgMar w:top="567" w:right="851" w:bottom="851" w:left="1134" w:header="709" w:footer="709" w:gutter="0"/>
          <w:cols w:space="708"/>
          <w:docGrid w:linePitch="360"/>
        </w:sectPr>
      </w:pPr>
    </w:p>
    <w:bookmarkStart w:id="21" w:name="_Toc463254936" w:displacedByCustomXml="next"/>
    <w:sdt>
      <w:sdtPr>
        <w:rPr>
          <w:rFonts w:cs="Times New Roman"/>
          <w:b w:val="0"/>
          <w:snapToGrid/>
          <w:kern w:val="0"/>
          <w:sz w:val="22"/>
          <w:szCs w:val="22"/>
        </w:rPr>
        <w:id w:val="117575964"/>
        <w:docPartObj>
          <w:docPartGallery w:val="Bibliographies"/>
          <w:docPartUnique/>
        </w:docPartObj>
      </w:sdtPr>
      <w:sdtEndPr>
        <w:rPr>
          <w:bCs/>
        </w:rPr>
      </w:sdtEndPr>
      <w:sdtContent>
        <w:p w:rsidR="00EC3117" w:rsidRDefault="00EC3117" w:rsidP="007637BB">
          <w:pPr>
            <w:pStyle w:val="Heading1"/>
          </w:pPr>
          <w:r>
            <w:t>Works Cited</w:t>
          </w:r>
          <w:bookmarkEnd w:id="21"/>
        </w:p>
        <w:p w:rsidR="00355CA9" w:rsidRDefault="00EC3117" w:rsidP="00355CA9">
          <w:pPr>
            <w:pStyle w:val="Bibliography"/>
            <w:rPr>
              <w:noProof/>
            </w:rPr>
          </w:pPr>
          <w:r>
            <w:fldChar w:fldCharType="begin"/>
          </w:r>
          <w:r>
            <w:instrText xml:space="preserve"> BIBLIOGRAPHY </w:instrText>
          </w:r>
          <w:r>
            <w:fldChar w:fldCharType="separate"/>
          </w:r>
          <w:r w:rsidR="00355CA9">
            <w:rPr>
              <w:noProof/>
            </w:rPr>
            <w:t xml:space="preserve">AIHW, 2011. </w:t>
          </w:r>
          <w:r w:rsidR="00355CA9">
            <w:rPr>
              <w:i/>
              <w:iCs/>
              <w:noProof/>
            </w:rPr>
            <w:t xml:space="preserve">Impact and Causes of Illness and Death in Australia, </w:t>
          </w:r>
          <w:r w:rsidR="00355CA9">
            <w:rPr>
              <w:noProof/>
            </w:rPr>
            <w:t>Canberra: Australian Government.</w:t>
          </w:r>
        </w:p>
        <w:p w:rsidR="00355CA9" w:rsidRDefault="00355CA9" w:rsidP="00355CA9">
          <w:pPr>
            <w:pStyle w:val="Bibliography"/>
            <w:rPr>
              <w:noProof/>
            </w:rPr>
          </w:pPr>
          <w:r>
            <w:rPr>
              <w:noProof/>
            </w:rPr>
            <w:t xml:space="preserve">AIHW, 2012. </w:t>
          </w:r>
          <w:r>
            <w:rPr>
              <w:i/>
              <w:iCs/>
              <w:noProof/>
            </w:rPr>
            <w:t xml:space="preserve">National Definitions for Elective Surgery Urgency Categories, </w:t>
          </w:r>
          <w:r>
            <w:rPr>
              <w:noProof/>
            </w:rPr>
            <w:t>s.l.: AIHW.</w:t>
          </w:r>
        </w:p>
        <w:p w:rsidR="00355CA9" w:rsidRDefault="00355CA9" w:rsidP="00355CA9">
          <w:pPr>
            <w:pStyle w:val="Bibliography"/>
            <w:rPr>
              <w:noProof/>
            </w:rPr>
          </w:pPr>
          <w:r>
            <w:rPr>
              <w:noProof/>
            </w:rPr>
            <w:t xml:space="preserve">AIHW, 2016. </w:t>
          </w:r>
          <w:r>
            <w:rPr>
              <w:i/>
              <w:iCs/>
              <w:noProof/>
            </w:rPr>
            <w:t xml:space="preserve">Admitted Patient Care 2014_15, </w:t>
          </w:r>
          <w:r>
            <w:rPr>
              <w:noProof/>
            </w:rPr>
            <w:t>Canberra: Australian Government.</w:t>
          </w:r>
        </w:p>
        <w:p w:rsidR="00355CA9" w:rsidRDefault="00355CA9" w:rsidP="00355CA9">
          <w:pPr>
            <w:pStyle w:val="Bibliography"/>
            <w:rPr>
              <w:noProof/>
            </w:rPr>
          </w:pPr>
          <w:r>
            <w:rPr>
              <w:noProof/>
            </w:rPr>
            <w:t xml:space="preserve">Bank, W., n.d. </w:t>
          </w:r>
          <w:r>
            <w:rPr>
              <w:i/>
              <w:iCs/>
              <w:noProof/>
            </w:rPr>
            <w:t xml:space="preserve">World bank data. </w:t>
          </w:r>
          <w:r>
            <w:rPr>
              <w:noProof/>
            </w:rPr>
            <w:t xml:space="preserve">[Online] </w:t>
          </w:r>
          <w:r>
            <w:rPr>
              <w:noProof/>
            </w:rPr>
            <w:br/>
            <w:t>[Accessed Feb 2016].</w:t>
          </w:r>
        </w:p>
        <w:p w:rsidR="00355CA9" w:rsidRDefault="00355CA9" w:rsidP="00355CA9">
          <w:pPr>
            <w:pStyle w:val="Bibliography"/>
            <w:rPr>
              <w:noProof/>
            </w:rPr>
          </w:pPr>
          <w:r>
            <w:rPr>
              <w:noProof/>
            </w:rPr>
            <w:t xml:space="preserve">Boyd, C., 2010. Future of Multimorbidity Research: How should understanding of multimorbidity inform health system design?. </w:t>
          </w:r>
          <w:r>
            <w:rPr>
              <w:i/>
              <w:iCs/>
              <w:noProof/>
            </w:rPr>
            <w:t xml:space="preserve">Public Health Reviews, </w:t>
          </w:r>
          <w:r>
            <w:rPr>
              <w:noProof/>
            </w:rPr>
            <w:t>2(32), p. 451.</w:t>
          </w:r>
        </w:p>
        <w:p w:rsidR="00355CA9" w:rsidRDefault="00355CA9" w:rsidP="00355CA9">
          <w:pPr>
            <w:pStyle w:val="Bibliography"/>
            <w:rPr>
              <w:noProof/>
            </w:rPr>
          </w:pPr>
          <w:r>
            <w:rPr>
              <w:noProof/>
            </w:rPr>
            <w:t xml:space="preserve">Caughey, G., 2008. Prevalence of comorbidity of chrtonic diseases in Australia. </w:t>
          </w:r>
          <w:r>
            <w:rPr>
              <w:i/>
              <w:iCs/>
              <w:noProof/>
            </w:rPr>
            <w:t xml:space="preserve">BMC, </w:t>
          </w:r>
          <w:r>
            <w:rPr>
              <w:noProof/>
            </w:rPr>
            <w:t>Volume 8, p. 221.</w:t>
          </w:r>
        </w:p>
        <w:p w:rsidR="00355CA9" w:rsidRDefault="00355CA9" w:rsidP="00355CA9">
          <w:pPr>
            <w:pStyle w:val="Bibliography"/>
            <w:rPr>
              <w:noProof/>
            </w:rPr>
          </w:pPr>
          <w:r>
            <w:rPr>
              <w:noProof/>
            </w:rPr>
            <w:t xml:space="preserve">Corvoisier, P., 2015. Functional status and comorbidities are associated with in hhospital mortality among older patients with acute decompensated heart failure. </w:t>
          </w:r>
          <w:r>
            <w:rPr>
              <w:i/>
              <w:iCs/>
              <w:noProof/>
            </w:rPr>
            <w:t xml:space="preserve">Age and Ageing, </w:t>
          </w:r>
          <w:r>
            <w:rPr>
              <w:noProof/>
            </w:rPr>
            <w:t>Volume 44, pp. 225-231.</w:t>
          </w:r>
        </w:p>
        <w:p w:rsidR="00355CA9" w:rsidRDefault="00355CA9" w:rsidP="00355CA9">
          <w:pPr>
            <w:pStyle w:val="Bibliography"/>
            <w:rPr>
              <w:noProof/>
            </w:rPr>
          </w:pPr>
          <w:r>
            <w:rPr>
              <w:noProof/>
            </w:rPr>
            <w:t xml:space="preserve">DHHS, 2013. </w:t>
          </w:r>
          <w:r>
            <w:rPr>
              <w:i/>
              <w:iCs/>
              <w:noProof/>
            </w:rPr>
            <w:t xml:space="preserve">Health Indicators - Tasmania 2013, </w:t>
          </w:r>
          <w:r>
            <w:rPr>
              <w:noProof/>
            </w:rPr>
            <w:t>Hobart: Department of Health and Human Services.</w:t>
          </w:r>
        </w:p>
        <w:p w:rsidR="00355CA9" w:rsidRDefault="00355CA9" w:rsidP="00355CA9">
          <w:pPr>
            <w:pStyle w:val="Bibliography"/>
            <w:rPr>
              <w:noProof/>
            </w:rPr>
          </w:pPr>
          <w:r>
            <w:rPr>
              <w:noProof/>
            </w:rPr>
            <w:t xml:space="preserve">DHHS-PPP-MRA, 2015. </w:t>
          </w:r>
          <w:r>
            <w:rPr>
              <w:i/>
              <w:iCs/>
              <w:noProof/>
            </w:rPr>
            <w:t xml:space="preserve">Estimating the Long term Elective Surgery Volume required to maintain a stable Elective Surgery Waiting List in Tasmania, </w:t>
          </w:r>
          <w:r>
            <w:rPr>
              <w:noProof/>
            </w:rPr>
            <w:t>Hobart: DHHS.</w:t>
          </w:r>
        </w:p>
        <w:p w:rsidR="00355CA9" w:rsidRDefault="00355CA9" w:rsidP="00355CA9">
          <w:pPr>
            <w:pStyle w:val="Bibliography"/>
            <w:rPr>
              <w:noProof/>
            </w:rPr>
          </w:pPr>
          <w:r>
            <w:rPr>
              <w:noProof/>
            </w:rPr>
            <w:t xml:space="preserve">Health, N. T. D. o., 2015. </w:t>
          </w:r>
          <w:r>
            <w:rPr>
              <w:i/>
              <w:iCs/>
              <w:noProof/>
            </w:rPr>
            <w:t xml:space="preserve">Spectrum of Stakeholder Engagement, </w:t>
          </w:r>
          <w:r>
            <w:rPr>
              <w:noProof/>
            </w:rPr>
            <w:t>s.l.: s.n.</w:t>
          </w:r>
        </w:p>
        <w:p w:rsidR="00355CA9" w:rsidRDefault="00355CA9" w:rsidP="00355CA9">
          <w:pPr>
            <w:pStyle w:val="Bibliography"/>
            <w:rPr>
              <w:noProof/>
            </w:rPr>
          </w:pPr>
          <w:r>
            <w:rPr>
              <w:noProof/>
            </w:rPr>
            <w:t xml:space="preserve">Marengoni, A., 2011. </w:t>
          </w:r>
          <w:r>
            <w:rPr>
              <w:i/>
              <w:iCs/>
              <w:noProof/>
            </w:rPr>
            <w:t xml:space="preserve">Ageing Research Reviews, </w:t>
          </w:r>
          <w:r>
            <w:rPr>
              <w:noProof/>
            </w:rPr>
            <w:t>Volume 10, pp. 430-439.</w:t>
          </w:r>
        </w:p>
        <w:p w:rsidR="00355CA9" w:rsidRDefault="00355CA9" w:rsidP="00355CA9">
          <w:pPr>
            <w:pStyle w:val="Bibliography"/>
            <w:rPr>
              <w:noProof/>
            </w:rPr>
          </w:pPr>
          <w:r>
            <w:rPr>
              <w:noProof/>
            </w:rPr>
            <w:t xml:space="preserve">Navickas, R., 2016. Multimorbidity: What do we know? What should we do?. </w:t>
          </w:r>
          <w:r>
            <w:rPr>
              <w:i/>
              <w:iCs/>
              <w:noProof/>
            </w:rPr>
            <w:t xml:space="preserve">Journal of comorbidity, </w:t>
          </w:r>
          <w:r>
            <w:rPr>
              <w:noProof/>
            </w:rPr>
            <w:t>6(1), pp. 4-11.</w:t>
          </w:r>
        </w:p>
        <w:p w:rsidR="00355CA9" w:rsidRDefault="00355CA9" w:rsidP="00355CA9">
          <w:pPr>
            <w:pStyle w:val="Bibliography"/>
            <w:rPr>
              <w:noProof/>
            </w:rPr>
          </w:pPr>
          <w:r>
            <w:rPr>
              <w:noProof/>
            </w:rPr>
            <w:t xml:space="preserve">One State, O. H. S. B. O., 2016. </w:t>
          </w:r>
          <w:r>
            <w:rPr>
              <w:i/>
              <w:iCs/>
              <w:noProof/>
            </w:rPr>
            <w:t xml:space="preserve">Healthy Tasmania Five Year Strategic Plan, </w:t>
          </w:r>
          <w:r>
            <w:rPr>
              <w:noProof/>
            </w:rPr>
            <w:t>s.l.: s.n.</w:t>
          </w:r>
        </w:p>
        <w:p w:rsidR="00355CA9" w:rsidRDefault="00355CA9" w:rsidP="00355CA9">
          <w:pPr>
            <w:pStyle w:val="Bibliography"/>
            <w:rPr>
              <w:noProof/>
            </w:rPr>
          </w:pPr>
          <w:r>
            <w:rPr>
              <w:noProof/>
            </w:rPr>
            <w:t xml:space="preserve">Picco, e. a., 2016. Economic burden of multimorbidity among older adults:impact on healthcare and societal costs. </w:t>
          </w:r>
          <w:r>
            <w:rPr>
              <w:i/>
              <w:iCs/>
              <w:noProof/>
            </w:rPr>
            <w:t xml:space="preserve">BMC Health Services Research, </w:t>
          </w:r>
          <w:r>
            <w:rPr>
              <w:noProof/>
            </w:rPr>
            <w:t>Volume 16, p. 173.</w:t>
          </w:r>
        </w:p>
        <w:p w:rsidR="00355CA9" w:rsidRDefault="00355CA9" w:rsidP="00355CA9">
          <w:pPr>
            <w:pStyle w:val="Bibliography"/>
            <w:rPr>
              <w:noProof/>
            </w:rPr>
          </w:pPr>
          <w:r>
            <w:rPr>
              <w:noProof/>
            </w:rPr>
            <w:t xml:space="preserve">Prior, A., 2016. The association between perceived stress and mortality among people with multimorbidity. </w:t>
          </w:r>
          <w:r>
            <w:rPr>
              <w:i/>
              <w:iCs/>
              <w:noProof/>
            </w:rPr>
            <w:t xml:space="preserve">Journal of epidemiology, </w:t>
          </w:r>
          <w:r>
            <w:rPr>
              <w:noProof/>
            </w:rPr>
            <w:t>184(3), p. 199.</w:t>
          </w:r>
        </w:p>
        <w:p w:rsidR="00355CA9" w:rsidRDefault="00355CA9" w:rsidP="00355CA9">
          <w:pPr>
            <w:pStyle w:val="Bibliography"/>
            <w:rPr>
              <w:noProof/>
            </w:rPr>
          </w:pPr>
          <w:r>
            <w:rPr>
              <w:noProof/>
            </w:rPr>
            <w:t xml:space="preserve">Salive, M., 2013. Multi morbidity in Older Adults. </w:t>
          </w:r>
          <w:r>
            <w:rPr>
              <w:i/>
              <w:iCs/>
              <w:noProof/>
            </w:rPr>
            <w:t>Epidemiologic Reviews.</w:t>
          </w:r>
        </w:p>
        <w:p w:rsidR="00355CA9" w:rsidRDefault="00355CA9" w:rsidP="00355CA9">
          <w:pPr>
            <w:pStyle w:val="Bibliography"/>
            <w:rPr>
              <w:noProof/>
            </w:rPr>
          </w:pPr>
          <w:r>
            <w:rPr>
              <w:noProof/>
            </w:rPr>
            <w:t xml:space="preserve">Treasury, T. S., 2014. </w:t>
          </w:r>
          <w:r>
            <w:rPr>
              <w:i/>
              <w:iCs/>
              <w:noProof/>
            </w:rPr>
            <w:t xml:space="preserve">2014 Population Projections - Tasmania and its local Government, </w:t>
          </w:r>
          <w:r>
            <w:rPr>
              <w:noProof/>
            </w:rPr>
            <w:t>hobart: Tasmanian State Treasury.</w:t>
          </w:r>
        </w:p>
        <w:p w:rsidR="00355CA9" w:rsidRDefault="00355CA9" w:rsidP="00355CA9">
          <w:pPr>
            <w:pStyle w:val="Bibliography"/>
            <w:rPr>
              <w:noProof/>
            </w:rPr>
          </w:pPr>
          <w:r>
            <w:rPr>
              <w:noProof/>
            </w:rPr>
            <w:t xml:space="preserve">Weir, D., 2015. The impact of multimorbidity on short term events in patients with community acquired pneumonia. </w:t>
          </w:r>
          <w:r>
            <w:rPr>
              <w:i/>
              <w:iCs/>
              <w:noProof/>
            </w:rPr>
            <w:t xml:space="preserve">Clinical Microbiology and Infection, </w:t>
          </w:r>
          <w:r>
            <w:rPr>
              <w:noProof/>
            </w:rPr>
            <w:t>21(3), p. 264.</w:t>
          </w:r>
        </w:p>
        <w:p w:rsidR="00EC3117" w:rsidRDefault="00EC3117" w:rsidP="00355CA9">
          <w:r>
            <w:rPr>
              <w:b/>
              <w:bCs/>
            </w:rPr>
            <w:fldChar w:fldCharType="end"/>
          </w:r>
        </w:p>
      </w:sdtContent>
    </w:sdt>
    <w:p w:rsidR="00EC3117" w:rsidRDefault="00EC3117" w:rsidP="00EC3117"/>
    <w:p w:rsidR="00EC3117" w:rsidRDefault="00EC3117" w:rsidP="00EC3117"/>
    <w:p w:rsidR="0049050B" w:rsidRDefault="0049050B" w:rsidP="00DB301E">
      <w:pPr>
        <w:rPr>
          <w:b/>
          <w:bCs/>
        </w:rPr>
      </w:pPr>
    </w:p>
    <w:p w:rsidR="004631DB" w:rsidRDefault="00B93CEF" w:rsidP="00B93CEF">
      <w:pPr>
        <w:pStyle w:val="Heading1"/>
      </w:pPr>
      <w:r>
        <w:t xml:space="preserve"> </w:t>
      </w:r>
      <w:bookmarkStart w:id="22" w:name="_Toc463254937"/>
      <w:r w:rsidR="0049050B">
        <w:t>Appendix A: Disease and Injury List</w:t>
      </w:r>
      <w:bookmarkEnd w:id="22"/>
    </w:p>
    <w:p w:rsidR="0049050B" w:rsidRDefault="005947A3" w:rsidP="00B93CEF">
      <w:pPr>
        <w:ind w:left="-993" w:firstLine="993"/>
      </w:pPr>
      <w:r>
        <w:rPr>
          <w:noProof/>
          <w:lang w:eastAsia="en-AU"/>
        </w:rPr>
        <w:drawing>
          <wp:inline distT="0" distB="0" distL="0" distR="0" wp14:anchorId="6ECC391D" wp14:editId="3EDA2989">
            <wp:extent cx="6419850" cy="8939774"/>
            <wp:effectExtent l="0" t="0" r="0" b="0"/>
            <wp:docPr id="15" name="Picture 15" descr="Appendix A: Disease and Injury List&#10;Contact Health Planning Unit for full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438385" cy="8965585"/>
                    </a:xfrm>
                    <a:prstGeom prst="rect">
                      <a:avLst/>
                    </a:prstGeom>
                  </pic:spPr>
                </pic:pic>
              </a:graphicData>
            </a:graphic>
          </wp:inline>
        </w:drawing>
      </w:r>
    </w:p>
    <w:p w:rsidR="005947A3" w:rsidRDefault="005947A3">
      <w:pPr>
        <w:tabs>
          <w:tab w:val="clear" w:pos="567"/>
        </w:tabs>
        <w:spacing w:after="0" w:line="240" w:lineRule="auto"/>
      </w:pPr>
    </w:p>
    <w:p w:rsidR="001B5BD4" w:rsidRPr="001B5BD4" w:rsidRDefault="00960C2C" w:rsidP="006D6DDD">
      <w:r>
        <w:rPr>
          <w:noProof/>
          <w:lang w:eastAsia="en-AU"/>
        </w:rPr>
        <w:drawing>
          <wp:inline distT="0" distB="0" distL="0" distR="0" wp14:anchorId="627E51E2" wp14:editId="6AC1C429">
            <wp:extent cx="6572250" cy="7809848"/>
            <wp:effectExtent l="0" t="0" r="0" b="1270"/>
            <wp:docPr id="16" name="Picture 16" descr="Cont Appendix A: Disease and Injury List - Please contact Health Planning Unit for full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598814" cy="7841414"/>
                    </a:xfrm>
                    <a:prstGeom prst="rect">
                      <a:avLst/>
                    </a:prstGeom>
                  </pic:spPr>
                </pic:pic>
              </a:graphicData>
            </a:graphic>
          </wp:inline>
        </w:drawing>
      </w:r>
    </w:p>
    <w:p w:rsidR="00117689" w:rsidRDefault="00E80FBF" w:rsidP="00B93CEF">
      <w:pPr>
        <w:pStyle w:val="Heading1"/>
      </w:pPr>
      <w:bookmarkStart w:id="23" w:name="_Toc463254938"/>
      <w:r>
        <w:t>A</w:t>
      </w:r>
      <w:r w:rsidR="00117689">
        <w:t>ppendix B: Chronic Disease –</w:t>
      </w:r>
      <w:r w:rsidR="00FB634D">
        <w:t xml:space="preserve"> </w:t>
      </w:r>
      <w:r w:rsidR="00EB7318">
        <w:t>Mapping</w:t>
      </w:r>
      <w:bookmarkEnd w:id="23"/>
    </w:p>
    <w:p w:rsidR="00E4795B" w:rsidRPr="00E4795B" w:rsidRDefault="00E4795B" w:rsidP="00E4795B"/>
    <w:tbl>
      <w:tblPr>
        <w:tblStyle w:val="TableGrid"/>
        <w:tblW w:w="10349" w:type="dxa"/>
        <w:tblInd w:w="108" w:type="dxa"/>
        <w:tblBorders>
          <w:top w:val="none" w:sz="0" w:space="0" w:color="auto"/>
        </w:tblBorders>
        <w:tblLook w:val="04A0" w:firstRow="1" w:lastRow="0" w:firstColumn="1" w:lastColumn="0" w:noHBand="0" w:noVBand="1"/>
        <w:tblCaption w:val="Chronic Disease Mapping"/>
      </w:tblPr>
      <w:tblGrid>
        <w:gridCol w:w="2836"/>
        <w:gridCol w:w="3118"/>
        <w:gridCol w:w="4395"/>
      </w:tblGrid>
      <w:tr w:rsidR="00E80FBF" w:rsidTr="00BD6837">
        <w:trPr>
          <w:tblHeader/>
        </w:trPr>
        <w:tc>
          <w:tcPr>
            <w:tcW w:w="2836" w:type="dxa"/>
            <w:tcBorders>
              <w:top w:val="single" w:sz="4" w:space="0" w:color="auto"/>
            </w:tcBorders>
            <w:shd w:val="clear" w:color="auto" w:fill="CCECFF"/>
            <w:vAlign w:val="bottom"/>
          </w:tcPr>
          <w:p w:rsidR="00E80FBF" w:rsidRPr="005F0578" w:rsidRDefault="00E80FBF" w:rsidP="007D1B8C">
            <w:pPr>
              <w:ind w:left="176" w:hanging="176"/>
              <w:rPr>
                <w:b/>
              </w:rPr>
            </w:pPr>
            <w:r w:rsidRPr="005F0578">
              <w:rPr>
                <w:b/>
              </w:rPr>
              <w:t>Chronic Disease</w:t>
            </w:r>
          </w:p>
        </w:tc>
        <w:tc>
          <w:tcPr>
            <w:tcW w:w="3118" w:type="dxa"/>
            <w:tcBorders>
              <w:top w:val="single" w:sz="4" w:space="0" w:color="auto"/>
            </w:tcBorders>
            <w:shd w:val="clear" w:color="auto" w:fill="CCECFF"/>
          </w:tcPr>
          <w:p w:rsidR="00E80FBF" w:rsidRDefault="00E80FBF" w:rsidP="00FB634D">
            <w:pPr>
              <w:rPr>
                <w:b/>
                <w:bCs/>
                <w:color w:val="000000"/>
              </w:rPr>
            </w:pPr>
            <w:r>
              <w:rPr>
                <w:b/>
                <w:bCs/>
                <w:color w:val="000000"/>
              </w:rPr>
              <w:t xml:space="preserve">SRG </w:t>
            </w:r>
          </w:p>
        </w:tc>
        <w:tc>
          <w:tcPr>
            <w:tcW w:w="4395" w:type="dxa"/>
            <w:tcBorders>
              <w:top w:val="single" w:sz="4" w:space="0" w:color="auto"/>
            </w:tcBorders>
            <w:shd w:val="clear" w:color="auto" w:fill="CCECFF"/>
            <w:vAlign w:val="bottom"/>
          </w:tcPr>
          <w:p w:rsidR="00E80FBF" w:rsidRDefault="00FB634D" w:rsidP="00FB634D">
            <w:r>
              <w:rPr>
                <w:b/>
                <w:bCs/>
                <w:color w:val="000000"/>
              </w:rPr>
              <w:t xml:space="preserve">Relevant </w:t>
            </w:r>
            <w:r w:rsidR="00E80FBF">
              <w:rPr>
                <w:b/>
                <w:bCs/>
                <w:color w:val="000000"/>
              </w:rPr>
              <w:t xml:space="preserve">ESRG </w:t>
            </w:r>
          </w:p>
        </w:tc>
      </w:tr>
      <w:tr w:rsidR="00E80FBF" w:rsidTr="00E4795B">
        <w:trPr>
          <w:trHeight w:val="207"/>
        </w:trPr>
        <w:tc>
          <w:tcPr>
            <w:tcW w:w="2836" w:type="dxa"/>
            <w:vMerge w:val="restart"/>
          </w:tcPr>
          <w:p w:rsidR="00E80FBF" w:rsidRPr="00CB185B" w:rsidRDefault="00E80FBF" w:rsidP="00E4795B">
            <w:pPr>
              <w:ind w:firstLine="34"/>
              <w:rPr>
                <w:sz w:val="20"/>
                <w:szCs w:val="20"/>
                <w:u w:val="single"/>
              </w:rPr>
            </w:pPr>
            <w:r w:rsidRPr="00CB185B">
              <w:rPr>
                <w:b/>
                <w:bCs/>
                <w:color w:val="000000"/>
                <w:sz w:val="20"/>
                <w:szCs w:val="20"/>
                <w:u w:val="single"/>
              </w:rPr>
              <w:t>Cancer &amp; Other Neoplasms</w:t>
            </w:r>
          </w:p>
        </w:tc>
        <w:tc>
          <w:tcPr>
            <w:tcW w:w="3118" w:type="dxa"/>
            <w:tcBorders>
              <w:bottom w:val="nil"/>
            </w:tcBorders>
          </w:tcPr>
          <w:p w:rsidR="00E80FBF" w:rsidRDefault="00E80FBF" w:rsidP="00E80FBF">
            <w:pPr>
              <w:rPr>
                <w:color w:val="000000"/>
                <w:sz w:val="20"/>
                <w:szCs w:val="20"/>
              </w:rPr>
            </w:pPr>
            <w:r>
              <w:rPr>
                <w:color w:val="000000"/>
                <w:sz w:val="20"/>
                <w:szCs w:val="20"/>
              </w:rPr>
              <w:t>12 Haematology</w:t>
            </w:r>
          </w:p>
        </w:tc>
        <w:tc>
          <w:tcPr>
            <w:tcW w:w="4395" w:type="dxa"/>
          </w:tcPr>
          <w:p w:rsidR="00E80FBF" w:rsidRDefault="00E80FBF" w:rsidP="0035794F">
            <w:r>
              <w:rPr>
                <w:color w:val="000000"/>
                <w:sz w:val="20"/>
                <w:szCs w:val="20"/>
              </w:rPr>
              <w:t>039 Red Blood Cell Disorders</w:t>
            </w:r>
          </w:p>
        </w:tc>
      </w:tr>
      <w:tr w:rsidR="00E80FBF" w:rsidTr="00E4795B">
        <w:trPr>
          <w:trHeight w:val="113"/>
        </w:trPr>
        <w:tc>
          <w:tcPr>
            <w:tcW w:w="2836" w:type="dxa"/>
            <w:vMerge/>
            <w:vAlign w:val="bottom"/>
          </w:tcPr>
          <w:p w:rsidR="00E80FBF" w:rsidRPr="00CB185B" w:rsidRDefault="00E80FBF" w:rsidP="005F0578">
            <w:pPr>
              <w:rPr>
                <w:sz w:val="20"/>
                <w:szCs w:val="20"/>
              </w:rPr>
            </w:pPr>
          </w:p>
        </w:tc>
        <w:tc>
          <w:tcPr>
            <w:tcW w:w="3118" w:type="dxa"/>
            <w:tcBorders>
              <w:top w:val="nil"/>
              <w:bottom w:val="nil"/>
            </w:tcBorders>
          </w:tcPr>
          <w:p w:rsidR="00E80FBF" w:rsidRDefault="00E80FBF" w:rsidP="0035794F">
            <w:pPr>
              <w:rPr>
                <w:color w:val="000000"/>
                <w:sz w:val="20"/>
                <w:szCs w:val="20"/>
              </w:rPr>
            </w:pPr>
          </w:p>
        </w:tc>
        <w:tc>
          <w:tcPr>
            <w:tcW w:w="4395" w:type="dxa"/>
          </w:tcPr>
          <w:p w:rsidR="00E80FBF" w:rsidRDefault="00E80FBF" w:rsidP="0035794F">
            <w:r>
              <w:rPr>
                <w:color w:val="000000"/>
                <w:sz w:val="20"/>
                <w:szCs w:val="20"/>
              </w:rPr>
              <w:t>040 Lymphoma and Non-Acute Leukaemia</w:t>
            </w:r>
          </w:p>
        </w:tc>
      </w:tr>
      <w:tr w:rsidR="00E80FBF" w:rsidTr="00E4795B">
        <w:trPr>
          <w:trHeight w:val="113"/>
        </w:trPr>
        <w:tc>
          <w:tcPr>
            <w:tcW w:w="2836" w:type="dxa"/>
            <w:vMerge/>
            <w:vAlign w:val="bottom"/>
          </w:tcPr>
          <w:p w:rsidR="00E80FBF" w:rsidRPr="00CB185B" w:rsidRDefault="00E80FBF" w:rsidP="005F0578">
            <w:pPr>
              <w:rPr>
                <w:sz w:val="20"/>
                <w:szCs w:val="20"/>
              </w:rPr>
            </w:pPr>
          </w:p>
        </w:tc>
        <w:tc>
          <w:tcPr>
            <w:tcW w:w="3118" w:type="dxa"/>
            <w:tcBorders>
              <w:top w:val="nil"/>
              <w:bottom w:val="nil"/>
            </w:tcBorders>
          </w:tcPr>
          <w:p w:rsidR="00E80FBF" w:rsidRDefault="00E80FBF" w:rsidP="0035794F">
            <w:pPr>
              <w:rPr>
                <w:color w:val="000000"/>
                <w:sz w:val="20"/>
                <w:szCs w:val="20"/>
              </w:rPr>
            </w:pPr>
          </w:p>
        </w:tc>
        <w:tc>
          <w:tcPr>
            <w:tcW w:w="4395" w:type="dxa"/>
          </w:tcPr>
          <w:p w:rsidR="00E80FBF" w:rsidRDefault="00E80FBF" w:rsidP="0035794F">
            <w:r>
              <w:rPr>
                <w:color w:val="000000"/>
                <w:sz w:val="20"/>
                <w:szCs w:val="20"/>
              </w:rPr>
              <w:t>041 Haematological Surgery</w:t>
            </w:r>
          </w:p>
        </w:tc>
      </w:tr>
      <w:tr w:rsidR="00E80FBF" w:rsidTr="00E4795B">
        <w:trPr>
          <w:trHeight w:val="113"/>
        </w:trPr>
        <w:tc>
          <w:tcPr>
            <w:tcW w:w="2836" w:type="dxa"/>
            <w:vMerge/>
            <w:vAlign w:val="bottom"/>
          </w:tcPr>
          <w:p w:rsidR="00E80FBF" w:rsidRPr="00CB185B" w:rsidRDefault="00E80FBF" w:rsidP="005F0578">
            <w:pPr>
              <w:rPr>
                <w:sz w:val="20"/>
                <w:szCs w:val="20"/>
              </w:rPr>
            </w:pPr>
          </w:p>
        </w:tc>
        <w:tc>
          <w:tcPr>
            <w:tcW w:w="3118" w:type="dxa"/>
            <w:tcBorders>
              <w:top w:val="nil"/>
            </w:tcBorders>
          </w:tcPr>
          <w:p w:rsidR="00E80FBF" w:rsidRDefault="00E80FBF" w:rsidP="0035794F">
            <w:pPr>
              <w:rPr>
                <w:color w:val="000000"/>
                <w:sz w:val="20"/>
                <w:szCs w:val="20"/>
              </w:rPr>
            </w:pPr>
          </w:p>
        </w:tc>
        <w:tc>
          <w:tcPr>
            <w:tcW w:w="4395" w:type="dxa"/>
          </w:tcPr>
          <w:p w:rsidR="00E80FBF" w:rsidRDefault="00E80FBF" w:rsidP="0035794F">
            <w:r>
              <w:rPr>
                <w:color w:val="000000"/>
                <w:sz w:val="20"/>
                <w:szCs w:val="20"/>
              </w:rPr>
              <w:t>042 Other Haematology</w:t>
            </w:r>
          </w:p>
        </w:tc>
      </w:tr>
      <w:tr w:rsidR="00E80FBF" w:rsidTr="00E4795B">
        <w:trPr>
          <w:trHeight w:val="113"/>
        </w:trPr>
        <w:tc>
          <w:tcPr>
            <w:tcW w:w="2836" w:type="dxa"/>
            <w:vMerge/>
            <w:vAlign w:val="bottom"/>
          </w:tcPr>
          <w:p w:rsidR="00E80FBF" w:rsidRPr="00CB185B" w:rsidRDefault="00E80FBF" w:rsidP="005F0578">
            <w:pPr>
              <w:rPr>
                <w:sz w:val="20"/>
                <w:szCs w:val="20"/>
              </w:rPr>
            </w:pPr>
          </w:p>
        </w:tc>
        <w:tc>
          <w:tcPr>
            <w:tcW w:w="3118" w:type="dxa"/>
            <w:tcBorders>
              <w:bottom w:val="nil"/>
            </w:tcBorders>
          </w:tcPr>
          <w:p w:rsidR="00E80FBF" w:rsidRDefault="00E80FBF" w:rsidP="0035794F">
            <w:pPr>
              <w:rPr>
                <w:color w:val="000000"/>
                <w:sz w:val="20"/>
                <w:szCs w:val="20"/>
              </w:rPr>
            </w:pPr>
            <w:r w:rsidRPr="00E80FBF">
              <w:rPr>
                <w:color w:val="000000"/>
                <w:sz w:val="20"/>
                <w:szCs w:val="20"/>
              </w:rPr>
              <w:t>15 Medical Oncology</w:t>
            </w:r>
          </w:p>
        </w:tc>
        <w:tc>
          <w:tcPr>
            <w:tcW w:w="4395" w:type="dxa"/>
          </w:tcPr>
          <w:p w:rsidR="00E80FBF" w:rsidRDefault="00E80FBF" w:rsidP="0035794F">
            <w:r>
              <w:rPr>
                <w:color w:val="000000"/>
                <w:sz w:val="20"/>
                <w:szCs w:val="20"/>
              </w:rPr>
              <w:t>050 Respiratory Neoplasms</w:t>
            </w:r>
          </w:p>
        </w:tc>
      </w:tr>
      <w:tr w:rsidR="00E80FBF" w:rsidTr="00E4795B">
        <w:trPr>
          <w:trHeight w:val="113"/>
        </w:trPr>
        <w:tc>
          <w:tcPr>
            <w:tcW w:w="2836" w:type="dxa"/>
            <w:vMerge/>
            <w:vAlign w:val="bottom"/>
          </w:tcPr>
          <w:p w:rsidR="00E80FBF" w:rsidRPr="00CB185B" w:rsidRDefault="00E80FBF" w:rsidP="005F0578">
            <w:pPr>
              <w:rPr>
                <w:sz w:val="20"/>
                <w:szCs w:val="20"/>
              </w:rPr>
            </w:pPr>
          </w:p>
        </w:tc>
        <w:tc>
          <w:tcPr>
            <w:tcW w:w="3118" w:type="dxa"/>
            <w:tcBorders>
              <w:top w:val="nil"/>
              <w:bottom w:val="nil"/>
            </w:tcBorders>
          </w:tcPr>
          <w:p w:rsidR="00E80FBF" w:rsidRDefault="00E80FBF" w:rsidP="0035794F">
            <w:pPr>
              <w:rPr>
                <w:color w:val="000000"/>
                <w:sz w:val="20"/>
                <w:szCs w:val="20"/>
              </w:rPr>
            </w:pPr>
          </w:p>
        </w:tc>
        <w:tc>
          <w:tcPr>
            <w:tcW w:w="4395" w:type="dxa"/>
          </w:tcPr>
          <w:p w:rsidR="00E80FBF" w:rsidRDefault="00E80FBF" w:rsidP="0035794F">
            <w:r>
              <w:rPr>
                <w:color w:val="000000"/>
                <w:sz w:val="20"/>
                <w:szCs w:val="20"/>
              </w:rPr>
              <w:t>051 Digestive Malignancy</w:t>
            </w:r>
          </w:p>
        </w:tc>
      </w:tr>
      <w:tr w:rsidR="00E80FBF" w:rsidTr="00E4795B">
        <w:trPr>
          <w:trHeight w:val="113"/>
        </w:trPr>
        <w:tc>
          <w:tcPr>
            <w:tcW w:w="2836" w:type="dxa"/>
            <w:vMerge/>
            <w:vAlign w:val="bottom"/>
          </w:tcPr>
          <w:p w:rsidR="00E80FBF" w:rsidRPr="00CB185B" w:rsidRDefault="00E80FBF" w:rsidP="005F0578">
            <w:pPr>
              <w:rPr>
                <w:sz w:val="20"/>
                <w:szCs w:val="20"/>
              </w:rPr>
            </w:pPr>
          </w:p>
        </w:tc>
        <w:tc>
          <w:tcPr>
            <w:tcW w:w="3118" w:type="dxa"/>
            <w:tcBorders>
              <w:top w:val="nil"/>
            </w:tcBorders>
          </w:tcPr>
          <w:p w:rsidR="00E80FBF" w:rsidRDefault="00E80FBF" w:rsidP="0035794F">
            <w:pPr>
              <w:rPr>
                <w:color w:val="000000"/>
                <w:sz w:val="20"/>
                <w:szCs w:val="20"/>
              </w:rPr>
            </w:pPr>
          </w:p>
        </w:tc>
        <w:tc>
          <w:tcPr>
            <w:tcW w:w="4395" w:type="dxa"/>
          </w:tcPr>
          <w:p w:rsidR="00E80FBF" w:rsidRDefault="00E80FBF" w:rsidP="0035794F">
            <w:r>
              <w:rPr>
                <w:color w:val="000000"/>
                <w:sz w:val="20"/>
                <w:szCs w:val="20"/>
              </w:rPr>
              <w:t>052 Other Medical Oncology</w:t>
            </w:r>
          </w:p>
        </w:tc>
      </w:tr>
      <w:tr w:rsidR="00E80FBF" w:rsidTr="00E4795B">
        <w:trPr>
          <w:trHeight w:val="113"/>
        </w:trPr>
        <w:tc>
          <w:tcPr>
            <w:tcW w:w="2836" w:type="dxa"/>
            <w:vMerge/>
            <w:vAlign w:val="bottom"/>
          </w:tcPr>
          <w:p w:rsidR="00E80FBF" w:rsidRPr="00CB185B" w:rsidRDefault="00E80FBF" w:rsidP="005F0578">
            <w:pPr>
              <w:rPr>
                <w:sz w:val="20"/>
                <w:szCs w:val="20"/>
              </w:rPr>
            </w:pPr>
          </w:p>
        </w:tc>
        <w:tc>
          <w:tcPr>
            <w:tcW w:w="3118" w:type="dxa"/>
          </w:tcPr>
          <w:p w:rsidR="00E80FBF" w:rsidRDefault="00E80FBF" w:rsidP="0035794F">
            <w:pPr>
              <w:rPr>
                <w:color w:val="000000"/>
                <w:sz w:val="20"/>
                <w:szCs w:val="20"/>
              </w:rPr>
            </w:pPr>
            <w:r w:rsidRPr="00E80FBF">
              <w:rPr>
                <w:color w:val="000000"/>
                <w:sz w:val="20"/>
                <w:szCs w:val="20"/>
              </w:rPr>
              <w:t>16 Chemotherapy &amp; Radiotherapy</w:t>
            </w:r>
          </w:p>
        </w:tc>
        <w:tc>
          <w:tcPr>
            <w:tcW w:w="4395" w:type="dxa"/>
          </w:tcPr>
          <w:p w:rsidR="00E80FBF" w:rsidRDefault="00E80FBF" w:rsidP="0035794F">
            <w:r>
              <w:rPr>
                <w:color w:val="000000"/>
                <w:sz w:val="20"/>
                <w:szCs w:val="20"/>
              </w:rPr>
              <w:t>053 Chemotherapy</w:t>
            </w:r>
          </w:p>
        </w:tc>
      </w:tr>
      <w:tr w:rsidR="00E80FBF" w:rsidTr="00E4795B">
        <w:trPr>
          <w:trHeight w:val="170"/>
        </w:trPr>
        <w:tc>
          <w:tcPr>
            <w:tcW w:w="2836" w:type="dxa"/>
            <w:vMerge w:val="restart"/>
          </w:tcPr>
          <w:p w:rsidR="00E80FBF" w:rsidRPr="00CB185B" w:rsidRDefault="00E80FBF" w:rsidP="005F0578">
            <w:pPr>
              <w:rPr>
                <w:sz w:val="20"/>
                <w:szCs w:val="20"/>
                <w:u w:val="single"/>
              </w:rPr>
            </w:pPr>
            <w:r w:rsidRPr="00CB185B">
              <w:rPr>
                <w:b/>
                <w:bCs/>
                <w:color w:val="000000"/>
                <w:sz w:val="20"/>
                <w:szCs w:val="20"/>
                <w:u w:val="single"/>
              </w:rPr>
              <w:t>Cardiovascular disease</w:t>
            </w:r>
          </w:p>
        </w:tc>
        <w:tc>
          <w:tcPr>
            <w:tcW w:w="3118" w:type="dxa"/>
            <w:tcBorders>
              <w:bottom w:val="nil"/>
            </w:tcBorders>
          </w:tcPr>
          <w:p w:rsidR="00E80FBF" w:rsidRDefault="003C100A" w:rsidP="005F0578">
            <w:pPr>
              <w:rPr>
                <w:color w:val="000000"/>
                <w:sz w:val="20"/>
                <w:szCs w:val="20"/>
              </w:rPr>
            </w:pPr>
            <w:r w:rsidRPr="003C100A">
              <w:rPr>
                <w:color w:val="000000"/>
                <w:sz w:val="20"/>
                <w:szCs w:val="20"/>
              </w:rPr>
              <w:t>01 Cardiology</w:t>
            </w:r>
          </w:p>
        </w:tc>
        <w:tc>
          <w:tcPr>
            <w:tcW w:w="4395" w:type="dxa"/>
            <w:vAlign w:val="bottom"/>
          </w:tcPr>
          <w:p w:rsidR="00E80FBF" w:rsidRDefault="00E80FBF" w:rsidP="005F0578">
            <w:r>
              <w:rPr>
                <w:color w:val="000000"/>
                <w:sz w:val="20"/>
                <w:szCs w:val="20"/>
              </w:rPr>
              <w:t>001 Chest Pain</w:t>
            </w:r>
          </w:p>
        </w:tc>
      </w:tr>
      <w:tr w:rsidR="00E80FBF" w:rsidTr="00E4795B">
        <w:trPr>
          <w:trHeight w:val="170"/>
        </w:trPr>
        <w:tc>
          <w:tcPr>
            <w:tcW w:w="2836" w:type="dxa"/>
            <w:vMerge/>
            <w:vAlign w:val="bottom"/>
          </w:tcPr>
          <w:p w:rsidR="00E80FBF" w:rsidRDefault="00E80FBF" w:rsidP="005F0578"/>
        </w:tc>
        <w:tc>
          <w:tcPr>
            <w:tcW w:w="3118" w:type="dxa"/>
            <w:tcBorders>
              <w:top w:val="nil"/>
              <w:bottom w:val="nil"/>
            </w:tcBorders>
          </w:tcPr>
          <w:p w:rsidR="00E80FBF" w:rsidRDefault="00E80FBF" w:rsidP="005F0578">
            <w:pPr>
              <w:rPr>
                <w:color w:val="000000"/>
                <w:sz w:val="20"/>
                <w:szCs w:val="20"/>
              </w:rPr>
            </w:pPr>
          </w:p>
        </w:tc>
        <w:tc>
          <w:tcPr>
            <w:tcW w:w="4395" w:type="dxa"/>
            <w:vAlign w:val="bottom"/>
          </w:tcPr>
          <w:p w:rsidR="00E80FBF" w:rsidRDefault="00E80FBF" w:rsidP="005F0578">
            <w:r>
              <w:rPr>
                <w:color w:val="000000"/>
                <w:sz w:val="20"/>
                <w:szCs w:val="20"/>
              </w:rPr>
              <w:t>002 Unstable Angina</w:t>
            </w:r>
          </w:p>
        </w:tc>
      </w:tr>
      <w:tr w:rsidR="00E80FBF" w:rsidTr="00E4795B">
        <w:trPr>
          <w:trHeight w:val="170"/>
        </w:trPr>
        <w:tc>
          <w:tcPr>
            <w:tcW w:w="2836" w:type="dxa"/>
            <w:vMerge/>
            <w:vAlign w:val="bottom"/>
          </w:tcPr>
          <w:p w:rsidR="00E80FBF" w:rsidRDefault="00E80FBF" w:rsidP="005F0578"/>
        </w:tc>
        <w:tc>
          <w:tcPr>
            <w:tcW w:w="3118" w:type="dxa"/>
            <w:tcBorders>
              <w:top w:val="nil"/>
              <w:bottom w:val="nil"/>
            </w:tcBorders>
          </w:tcPr>
          <w:p w:rsidR="00E80FBF" w:rsidRDefault="00E80FBF" w:rsidP="005F0578">
            <w:pPr>
              <w:rPr>
                <w:color w:val="000000"/>
                <w:sz w:val="20"/>
                <w:szCs w:val="20"/>
              </w:rPr>
            </w:pPr>
          </w:p>
        </w:tc>
        <w:tc>
          <w:tcPr>
            <w:tcW w:w="4395" w:type="dxa"/>
            <w:vAlign w:val="bottom"/>
          </w:tcPr>
          <w:p w:rsidR="00E80FBF" w:rsidRDefault="00E80FBF" w:rsidP="005F0578">
            <w:r>
              <w:rPr>
                <w:color w:val="000000"/>
                <w:sz w:val="20"/>
                <w:szCs w:val="20"/>
              </w:rPr>
              <w:t>003 Heart Failure and Shock</w:t>
            </w:r>
          </w:p>
        </w:tc>
      </w:tr>
      <w:tr w:rsidR="00E80FBF" w:rsidTr="00E4795B">
        <w:trPr>
          <w:trHeight w:val="170"/>
        </w:trPr>
        <w:tc>
          <w:tcPr>
            <w:tcW w:w="2836" w:type="dxa"/>
            <w:vMerge/>
            <w:vAlign w:val="bottom"/>
          </w:tcPr>
          <w:p w:rsidR="00E80FBF" w:rsidRDefault="00E80FBF" w:rsidP="005F0578"/>
        </w:tc>
        <w:tc>
          <w:tcPr>
            <w:tcW w:w="3118" w:type="dxa"/>
            <w:tcBorders>
              <w:top w:val="nil"/>
              <w:bottom w:val="nil"/>
            </w:tcBorders>
          </w:tcPr>
          <w:p w:rsidR="00E80FBF" w:rsidRDefault="00E80FBF" w:rsidP="005F0578">
            <w:pPr>
              <w:rPr>
                <w:color w:val="000000"/>
                <w:sz w:val="20"/>
                <w:szCs w:val="20"/>
              </w:rPr>
            </w:pPr>
          </w:p>
        </w:tc>
        <w:tc>
          <w:tcPr>
            <w:tcW w:w="4395" w:type="dxa"/>
            <w:vAlign w:val="bottom"/>
          </w:tcPr>
          <w:p w:rsidR="00E80FBF" w:rsidRDefault="00E80FBF" w:rsidP="005F0578">
            <w:r>
              <w:rPr>
                <w:color w:val="000000"/>
                <w:sz w:val="20"/>
                <w:szCs w:val="20"/>
              </w:rPr>
              <w:t xml:space="preserve">004 AMI W/O Invasive Cardiac </w:t>
            </w:r>
            <w:proofErr w:type="spellStart"/>
            <w:r>
              <w:rPr>
                <w:color w:val="000000"/>
                <w:sz w:val="20"/>
                <w:szCs w:val="20"/>
              </w:rPr>
              <w:t>Inves</w:t>
            </w:r>
            <w:proofErr w:type="spellEnd"/>
            <w:r>
              <w:rPr>
                <w:color w:val="000000"/>
                <w:sz w:val="20"/>
                <w:szCs w:val="20"/>
              </w:rPr>
              <w:t xml:space="preserve"> </w:t>
            </w:r>
            <w:proofErr w:type="spellStart"/>
            <w:r>
              <w:rPr>
                <w:color w:val="000000"/>
                <w:sz w:val="20"/>
                <w:szCs w:val="20"/>
              </w:rPr>
              <w:t>Proc</w:t>
            </w:r>
            <w:proofErr w:type="spellEnd"/>
          </w:p>
        </w:tc>
      </w:tr>
      <w:tr w:rsidR="00E80FBF" w:rsidTr="00E4795B">
        <w:trPr>
          <w:trHeight w:val="170"/>
        </w:trPr>
        <w:tc>
          <w:tcPr>
            <w:tcW w:w="2836" w:type="dxa"/>
            <w:vMerge/>
            <w:vAlign w:val="bottom"/>
          </w:tcPr>
          <w:p w:rsidR="00E80FBF" w:rsidRDefault="00E80FBF" w:rsidP="005F0578"/>
        </w:tc>
        <w:tc>
          <w:tcPr>
            <w:tcW w:w="3118" w:type="dxa"/>
            <w:tcBorders>
              <w:top w:val="nil"/>
            </w:tcBorders>
          </w:tcPr>
          <w:p w:rsidR="00E80FBF" w:rsidRDefault="00E80FBF" w:rsidP="005F0578">
            <w:pPr>
              <w:rPr>
                <w:color w:val="000000"/>
                <w:sz w:val="20"/>
                <w:szCs w:val="20"/>
              </w:rPr>
            </w:pPr>
          </w:p>
        </w:tc>
        <w:tc>
          <w:tcPr>
            <w:tcW w:w="4395" w:type="dxa"/>
            <w:vAlign w:val="bottom"/>
          </w:tcPr>
          <w:p w:rsidR="00E80FBF" w:rsidRDefault="00E80FBF" w:rsidP="005F0578">
            <w:r>
              <w:rPr>
                <w:color w:val="000000"/>
                <w:sz w:val="20"/>
                <w:szCs w:val="20"/>
              </w:rPr>
              <w:t>005 Other Cardiology</w:t>
            </w:r>
          </w:p>
        </w:tc>
      </w:tr>
      <w:tr w:rsidR="00E80FBF" w:rsidTr="00E4795B">
        <w:trPr>
          <w:trHeight w:val="170"/>
        </w:trPr>
        <w:tc>
          <w:tcPr>
            <w:tcW w:w="2836" w:type="dxa"/>
            <w:vMerge/>
            <w:vAlign w:val="bottom"/>
          </w:tcPr>
          <w:p w:rsidR="00E80FBF" w:rsidRDefault="00E80FBF" w:rsidP="005F0578"/>
        </w:tc>
        <w:tc>
          <w:tcPr>
            <w:tcW w:w="3118" w:type="dxa"/>
            <w:tcBorders>
              <w:bottom w:val="nil"/>
            </w:tcBorders>
          </w:tcPr>
          <w:p w:rsidR="00E80FBF" w:rsidRDefault="003C100A" w:rsidP="005F0578">
            <w:pPr>
              <w:rPr>
                <w:color w:val="000000"/>
                <w:sz w:val="20"/>
                <w:szCs w:val="20"/>
              </w:rPr>
            </w:pPr>
            <w:r w:rsidRPr="003C100A">
              <w:rPr>
                <w:color w:val="000000"/>
                <w:sz w:val="20"/>
                <w:szCs w:val="20"/>
              </w:rPr>
              <w:t>02 Interventional Cardiology</w:t>
            </w:r>
          </w:p>
        </w:tc>
        <w:tc>
          <w:tcPr>
            <w:tcW w:w="4395" w:type="dxa"/>
            <w:vAlign w:val="bottom"/>
          </w:tcPr>
          <w:p w:rsidR="00E80FBF" w:rsidRDefault="00E80FBF" w:rsidP="007867FD">
            <w:r>
              <w:rPr>
                <w:color w:val="000000"/>
                <w:sz w:val="20"/>
                <w:szCs w:val="20"/>
              </w:rPr>
              <w:t>006 Percutaneous Coronary Angioplasty W AMI</w:t>
            </w:r>
          </w:p>
        </w:tc>
      </w:tr>
      <w:tr w:rsidR="00E80FBF" w:rsidTr="00E4795B">
        <w:trPr>
          <w:trHeight w:val="170"/>
        </w:trPr>
        <w:tc>
          <w:tcPr>
            <w:tcW w:w="2836" w:type="dxa"/>
            <w:vMerge/>
            <w:vAlign w:val="bottom"/>
          </w:tcPr>
          <w:p w:rsidR="00E80FBF" w:rsidRDefault="00E80FBF" w:rsidP="005F0578"/>
        </w:tc>
        <w:tc>
          <w:tcPr>
            <w:tcW w:w="3118" w:type="dxa"/>
            <w:tcBorders>
              <w:top w:val="nil"/>
              <w:bottom w:val="nil"/>
            </w:tcBorders>
          </w:tcPr>
          <w:p w:rsidR="00E80FBF" w:rsidRDefault="00E80FBF" w:rsidP="005F0578">
            <w:pPr>
              <w:rPr>
                <w:color w:val="000000"/>
                <w:sz w:val="20"/>
                <w:szCs w:val="20"/>
              </w:rPr>
            </w:pPr>
          </w:p>
        </w:tc>
        <w:tc>
          <w:tcPr>
            <w:tcW w:w="4395" w:type="dxa"/>
            <w:vAlign w:val="bottom"/>
          </w:tcPr>
          <w:p w:rsidR="00E80FBF" w:rsidRDefault="00E80FBF" w:rsidP="007867FD">
            <w:r>
              <w:rPr>
                <w:color w:val="000000"/>
                <w:sz w:val="20"/>
                <w:szCs w:val="20"/>
              </w:rPr>
              <w:t>007 Percutaneous Coronary Angioplasty W/O AMI</w:t>
            </w:r>
          </w:p>
        </w:tc>
      </w:tr>
      <w:tr w:rsidR="00E80FBF" w:rsidTr="00E4795B">
        <w:trPr>
          <w:trHeight w:val="170"/>
        </w:trPr>
        <w:tc>
          <w:tcPr>
            <w:tcW w:w="2836" w:type="dxa"/>
            <w:vMerge/>
            <w:vAlign w:val="bottom"/>
          </w:tcPr>
          <w:p w:rsidR="00E80FBF" w:rsidRDefault="00E80FBF" w:rsidP="005F0578"/>
        </w:tc>
        <w:tc>
          <w:tcPr>
            <w:tcW w:w="3118" w:type="dxa"/>
            <w:tcBorders>
              <w:top w:val="nil"/>
              <w:bottom w:val="nil"/>
            </w:tcBorders>
          </w:tcPr>
          <w:p w:rsidR="00E80FBF" w:rsidRDefault="00E80FBF" w:rsidP="005F0578">
            <w:pPr>
              <w:rPr>
                <w:color w:val="000000"/>
                <w:sz w:val="20"/>
                <w:szCs w:val="20"/>
              </w:rPr>
            </w:pPr>
          </w:p>
        </w:tc>
        <w:tc>
          <w:tcPr>
            <w:tcW w:w="4395" w:type="dxa"/>
            <w:vAlign w:val="bottom"/>
          </w:tcPr>
          <w:p w:rsidR="00E80FBF" w:rsidRDefault="00E80FBF" w:rsidP="005F0578">
            <w:pPr>
              <w:rPr>
                <w:color w:val="000000"/>
                <w:sz w:val="20"/>
                <w:szCs w:val="20"/>
              </w:rPr>
            </w:pPr>
            <w:r>
              <w:rPr>
                <w:color w:val="000000"/>
                <w:sz w:val="20"/>
                <w:szCs w:val="20"/>
              </w:rPr>
              <w:t xml:space="preserve">008 Invasive Cardiac </w:t>
            </w:r>
            <w:proofErr w:type="spellStart"/>
            <w:r>
              <w:rPr>
                <w:color w:val="000000"/>
                <w:sz w:val="20"/>
                <w:szCs w:val="20"/>
              </w:rPr>
              <w:t>Inves</w:t>
            </w:r>
            <w:proofErr w:type="spellEnd"/>
            <w:r>
              <w:rPr>
                <w:color w:val="000000"/>
                <w:sz w:val="20"/>
                <w:szCs w:val="20"/>
              </w:rPr>
              <w:t xml:space="preserve"> </w:t>
            </w:r>
            <w:proofErr w:type="spellStart"/>
            <w:r>
              <w:rPr>
                <w:color w:val="000000"/>
                <w:sz w:val="20"/>
                <w:szCs w:val="20"/>
              </w:rPr>
              <w:t>Proc</w:t>
            </w:r>
            <w:proofErr w:type="spellEnd"/>
          </w:p>
        </w:tc>
      </w:tr>
      <w:tr w:rsidR="00E80FBF" w:rsidTr="00E4795B">
        <w:trPr>
          <w:trHeight w:val="509"/>
        </w:trPr>
        <w:tc>
          <w:tcPr>
            <w:tcW w:w="2836" w:type="dxa"/>
            <w:vMerge/>
            <w:vAlign w:val="bottom"/>
          </w:tcPr>
          <w:p w:rsidR="00E80FBF" w:rsidRDefault="00E80FBF" w:rsidP="005F0578"/>
        </w:tc>
        <w:tc>
          <w:tcPr>
            <w:tcW w:w="3118" w:type="dxa"/>
            <w:tcBorders>
              <w:top w:val="nil"/>
            </w:tcBorders>
          </w:tcPr>
          <w:p w:rsidR="00E80FBF" w:rsidRDefault="00E80FBF" w:rsidP="005F0578">
            <w:pPr>
              <w:rPr>
                <w:color w:val="000000"/>
                <w:sz w:val="20"/>
                <w:szCs w:val="20"/>
              </w:rPr>
            </w:pPr>
          </w:p>
        </w:tc>
        <w:tc>
          <w:tcPr>
            <w:tcW w:w="4395" w:type="dxa"/>
            <w:vAlign w:val="bottom"/>
          </w:tcPr>
          <w:p w:rsidR="00E80FBF" w:rsidRDefault="00E80FBF" w:rsidP="005F0578">
            <w:pPr>
              <w:rPr>
                <w:color w:val="000000"/>
                <w:sz w:val="20"/>
                <w:szCs w:val="20"/>
              </w:rPr>
            </w:pPr>
            <w:r>
              <w:rPr>
                <w:color w:val="000000"/>
                <w:sz w:val="20"/>
                <w:szCs w:val="20"/>
              </w:rPr>
              <w:t>009 Other Interventional Cardiology</w:t>
            </w:r>
          </w:p>
        </w:tc>
      </w:tr>
      <w:tr w:rsidR="00E80FBF" w:rsidTr="00E4795B">
        <w:trPr>
          <w:trHeight w:val="559"/>
        </w:trPr>
        <w:tc>
          <w:tcPr>
            <w:tcW w:w="2836" w:type="dxa"/>
          </w:tcPr>
          <w:p w:rsidR="00E80FBF" w:rsidRPr="0035794F" w:rsidRDefault="00E80FBF" w:rsidP="0035794F">
            <w:pPr>
              <w:rPr>
                <w:u w:val="single"/>
              </w:rPr>
            </w:pPr>
            <w:r w:rsidRPr="0035794F">
              <w:rPr>
                <w:b/>
                <w:bCs/>
                <w:color w:val="000000"/>
                <w:sz w:val="20"/>
                <w:szCs w:val="20"/>
                <w:u w:val="single"/>
              </w:rPr>
              <w:t>Hearing &amp; Vision disorders</w:t>
            </w:r>
          </w:p>
        </w:tc>
        <w:tc>
          <w:tcPr>
            <w:tcW w:w="3118" w:type="dxa"/>
          </w:tcPr>
          <w:p w:rsidR="00E80FBF" w:rsidRDefault="002D4F98" w:rsidP="005F0578">
            <w:pPr>
              <w:rPr>
                <w:color w:val="000000"/>
                <w:sz w:val="20"/>
                <w:szCs w:val="20"/>
              </w:rPr>
            </w:pPr>
            <w:r w:rsidRPr="002D4F98">
              <w:rPr>
                <w:color w:val="000000"/>
                <w:sz w:val="20"/>
                <w:szCs w:val="20"/>
              </w:rPr>
              <w:t>14 Ophtha</w:t>
            </w:r>
            <w:r>
              <w:rPr>
                <w:color w:val="000000"/>
                <w:sz w:val="20"/>
                <w:szCs w:val="20"/>
              </w:rPr>
              <w:t>l</w:t>
            </w:r>
            <w:r w:rsidRPr="002D4F98">
              <w:rPr>
                <w:color w:val="000000"/>
                <w:sz w:val="20"/>
                <w:szCs w:val="20"/>
              </w:rPr>
              <w:t>mology</w:t>
            </w:r>
          </w:p>
        </w:tc>
        <w:tc>
          <w:tcPr>
            <w:tcW w:w="4395" w:type="dxa"/>
          </w:tcPr>
          <w:p w:rsidR="00E80FBF" w:rsidRDefault="00E80FBF" w:rsidP="002D4F98">
            <w:pPr>
              <w:rPr>
                <w:color w:val="000000"/>
                <w:sz w:val="20"/>
                <w:szCs w:val="20"/>
              </w:rPr>
            </w:pPr>
            <w:r>
              <w:rPr>
                <w:color w:val="000000"/>
                <w:sz w:val="20"/>
                <w:szCs w:val="20"/>
              </w:rPr>
              <w:t>049 Non-procedural Ophthalmology</w:t>
            </w:r>
          </w:p>
        </w:tc>
      </w:tr>
      <w:tr w:rsidR="00E80FBF" w:rsidTr="00E4795B">
        <w:trPr>
          <w:trHeight w:val="170"/>
        </w:trPr>
        <w:tc>
          <w:tcPr>
            <w:tcW w:w="2836" w:type="dxa"/>
            <w:vMerge w:val="restart"/>
          </w:tcPr>
          <w:p w:rsidR="00E80FBF" w:rsidRPr="0035794F" w:rsidRDefault="00E80FBF" w:rsidP="0035794F">
            <w:pPr>
              <w:rPr>
                <w:u w:val="single"/>
              </w:rPr>
            </w:pPr>
            <w:r w:rsidRPr="0035794F">
              <w:rPr>
                <w:b/>
                <w:bCs/>
                <w:color w:val="000000"/>
                <w:sz w:val="20"/>
                <w:szCs w:val="20"/>
                <w:u w:val="single"/>
              </w:rPr>
              <w:t>Injuries</w:t>
            </w:r>
          </w:p>
        </w:tc>
        <w:tc>
          <w:tcPr>
            <w:tcW w:w="3118" w:type="dxa"/>
            <w:tcBorders>
              <w:bottom w:val="nil"/>
            </w:tcBorders>
          </w:tcPr>
          <w:p w:rsidR="00E80FBF" w:rsidRDefault="002D4F98" w:rsidP="005F0578">
            <w:pPr>
              <w:rPr>
                <w:color w:val="000000"/>
                <w:sz w:val="20"/>
                <w:szCs w:val="20"/>
              </w:rPr>
            </w:pPr>
            <w:r w:rsidRPr="002D4F98">
              <w:rPr>
                <w:color w:val="000000"/>
                <w:sz w:val="20"/>
                <w:szCs w:val="20"/>
              </w:rPr>
              <w:t>27 General Surgery</w:t>
            </w:r>
          </w:p>
        </w:tc>
        <w:tc>
          <w:tcPr>
            <w:tcW w:w="4395" w:type="dxa"/>
            <w:vAlign w:val="bottom"/>
          </w:tcPr>
          <w:p w:rsidR="00E80FBF" w:rsidRDefault="00E80FBF" w:rsidP="005F0578">
            <w:pPr>
              <w:rPr>
                <w:color w:val="000000"/>
                <w:sz w:val="20"/>
                <w:szCs w:val="20"/>
              </w:rPr>
            </w:pPr>
            <w:r>
              <w:rPr>
                <w:color w:val="000000"/>
                <w:sz w:val="20"/>
                <w:szCs w:val="20"/>
              </w:rPr>
              <w:t>090 OR Procedures for injuries</w:t>
            </w:r>
          </w:p>
        </w:tc>
      </w:tr>
      <w:tr w:rsidR="00E80FBF" w:rsidTr="00E4795B">
        <w:trPr>
          <w:trHeight w:val="170"/>
        </w:trPr>
        <w:tc>
          <w:tcPr>
            <w:tcW w:w="2836" w:type="dxa"/>
            <w:vMerge/>
            <w:vAlign w:val="bottom"/>
          </w:tcPr>
          <w:p w:rsidR="00E80FBF" w:rsidRDefault="00E80FBF" w:rsidP="005F0578"/>
        </w:tc>
        <w:tc>
          <w:tcPr>
            <w:tcW w:w="3118" w:type="dxa"/>
            <w:tcBorders>
              <w:top w:val="nil"/>
            </w:tcBorders>
          </w:tcPr>
          <w:p w:rsidR="00E80FBF" w:rsidRDefault="00E80FBF" w:rsidP="005F0578">
            <w:pPr>
              <w:rPr>
                <w:color w:val="000000"/>
                <w:sz w:val="20"/>
                <w:szCs w:val="20"/>
              </w:rPr>
            </w:pPr>
          </w:p>
        </w:tc>
        <w:tc>
          <w:tcPr>
            <w:tcW w:w="4395" w:type="dxa"/>
            <w:vAlign w:val="bottom"/>
          </w:tcPr>
          <w:p w:rsidR="00E80FBF" w:rsidRDefault="00E80FBF" w:rsidP="005F0578">
            <w:pPr>
              <w:rPr>
                <w:color w:val="000000"/>
                <w:sz w:val="20"/>
                <w:szCs w:val="20"/>
              </w:rPr>
            </w:pPr>
            <w:r>
              <w:rPr>
                <w:color w:val="000000"/>
                <w:sz w:val="20"/>
                <w:szCs w:val="20"/>
              </w:rPr>
              <w:t>091 Injuries - Non-surgical</w:t>
            </w:r>
          </w:p>
        </w:tc>
      </w:tr>
      <w:tr w:rsidR="00E80FBF" w:rsidTr="00E4795B">
        <w:trPr>
          <w:trHeight w:val="170"/>
        </w:trPr>
        <w:tc>
          <w:tcPr>
            <w:tcW w:w="2836" w:type="dxa"/>
            <w:vMerge/>
            <w:vAlign w:val="bottom"/>
          </w:tcPr>
          <w:p w:rsidR="00E80FBF" w:rsidRDefault="00E80FBF" w:rsidP="005F0578"/>
        </w:tc>
        <w:tc>
          <w:tcPr>
            <w:tcW w:w="3118" w:type="dxa"/>
            <w:tcBorders>
              <w:bottom w:val="nil"/>
            </w:tcBorders>
          </w:tcPr>
          <w:p w:rsidR="00E80FBF" w:rsidRDefault="002D4F98" w:rsidP="005F0578">
            <w:pPr>
              <w:rPr>
                <w:color w:val="000000"/>
                <w:sz w:val="20"/>
                <w:szCs w:val="20"/>
              </w:rPr>
            </w:pPr>
            <w:r w:rsidRPr="002D4F98">
              <w:rPr>
                <w:color w:val="000000"/>
                <w:sz w:val="20"/>
                <w:szCs w:val="20"/>
              </w:rPr>
              <w:t>35 Burns</w:t>
            </w:r>
          </w:p>
        </w:tc>
        <w:tc>
          <w:tcPr>
            <w:tcW w:w="4395" w:type="dxa"/>
            <w:vAlign w:val="bottom"/>
          </w:tcPr>
          <w:p w:rsidR="00E80FBF" w:rsidRDefault="00E80FBF" w:rsidP="005F0578">
            <w:pPr>
              <w:rPr>
                <w:color w:val="000000"/>
                <w:sz w:val="20"/>
                <w:szCs w:val="20"/>
              </w:rPr>
            </w:pPr>
            <w:r>
              <w:rPr>
                <w:color w:val="000000"/>
                <w:sz w:val="20"/>
                <w:szCs w:val="20"/>
              </w:rPr>
              <w:t>117 Extensive Burns, Medical</w:t>
            </w:r>
          </w:p>
        </w:tc>
      </w:tr>
      <w:tr w:rsidR="00E80FBF" w:rsidTr="00E4795B">
        <w:trPr>
          <w:trHeight w:val="170"/>
        </w:trPr>
        <w:tc>
          <w:tcPr>
            <w:tcW w:w="2836" w:type="dxa"/>
            <w:vMerge/>
            <w:vAlign w:val="bottom"/>
          </w:tcPr>
          <w:p w:rsidR="00E80FBF" w:rsidRDefault="00E80FBF" w:rsidP="005F0578"/>
        </w:tc>
        <w:tc>
          <w:tcPr>
            <w:tcW w:w="3118" w:type="dxa"/>
            <w:tcBorders>
              <w:top w:val="nil"/>
            </w:tcBorders>
          </w:tcPr>
          <w:p w:rsidR="00E80FBF" w:rsidRDefault="00E80FBF" w:rsidP="005F0578">
            <w:pPr>
              <w:rPr>
                <w:color w:val="000000"/>
                <w:sz w:val="20"/>
                <w:szCs w:val="20"/>
              </w:rPr>
            </w:pPr>
          </w:p>
        </w:tc>
        <w:tc>
          <w:tcPr>
            <w:tcW w:w="4395" w:type="dxa"/>
            <w:vAlign w:val="bottom"/>
          </w:tcPr>
          <w:p w:rsidR="00E80FBF" w:rsidRDefault="00E80FBF" w:rsidP="005F0578">
            <w:pPr>
              <w:rPr>
                <w:color w:val="000000"/>
                <w:sz w:val="20"/>
                <w:szCs w:val="20"/>
              </w:rPr>
            </w:pPr>
            <w:r>
              <w:rPr>
                <w:color w:val="000000"/>
                <w:sz w:val="20"/>
                <w:szCs w:val="20"/>
              </w:rPr>
              <w:t>118 Extensive Burns, Surgical</w:t>
            </w:r>
          </w:p>
        </w:tc>
      </w:tr>
      <w:tr w:rsidR="00E80FBF" w:rsidTr="00E4795B">
        <w:trPr>
          <w:trHeight w:val="170"/>
        </w:trPr>
        <w:tc>
          <w:tcPr>
            <w:tcW w:w="2836" w:type="dxa"/>
            <w:vMerge w:val="restart"/>
          </w:tcPr>
          <w:p w:rsidR="00E80FBF" w:rsidRPr="0035794F" w:rsidRDefault="00E80FBF" w:rsidP="00E737A5">
            <w:pPr>
              <w:rPr>
                <w:u w:val="single"/>
              </w:rPr>
            </w:pPr>
            <w:r w:rsidRPr="0035794F">
              <w:rPr>
                <w:b/>
                <w:bCs/>
                <w:color w:val="000000"/>
                <w:sz w:val="20"/>
                <w:szCs w:val="20"/>
                <w:u w:val="single"/>
              </w:rPr>
              <w:t>Mental Health &amp; Substance Abuse</w:t>
            </w:r>
          </w:p>
        </w:tc>
        <w:tc>
          <w:tcPr>
            <w:tcW w:w="3118" w:type="dxa"/>
            <w:tcBorders>
              <w:bottom w:val="nil"/>
            </w:tcBorders>
          </w:tcPr>
          <w:p w:rsidR="00E80FBF" w:rsidRDefault="002D4F98" w:rsidP="005F0578">
            <w:pPr>
              <w:rPr>
                <w:color w:val="000000"/>
                <w:sz w:val="20"/>
                <w:szCs w:val="20"/>
              </w:rPr>
            </w:pPr>
            <w:r w:rsidRPr="002D4F98">
              <w:rPr>
                <w:color w:val="000000"/>
                <w:sz w:val="20"/>
                <w:szCs w:val="20"/>
              </w:rPr>
              <w:t>36 Psychiatry</w:t>
            </w:r>
          </w:p>
        </w:tc>
        <w:tc>
          <w:tcPr>
            <w:tcW w:w="4395" w:type="dxa"/>
            <w:vAlign w:val="bottom"/>
          </w:tcPr>
          <w:p w:rsidR="00E80FBF" w:rsidRDefault="00E80FBF" w:rsidP="005F0578">
            <w:pPr>
              <w:rPr>
                <w:color w:val="000000"/>
                <w:sz w:val="20"/>
                <w:szCs w:val="20"/>
              </w:rPr>
            </w:pPr>
            <w:r>
              <w:rPr>
                <w:color w:val="000000"/>
                <w:sz w:val="20"/>
                <w:szCs w:val="20"/>
              </w:rPr>
              <w:t>119 Major Psychiatric Disorder</w:t>
            </w:r>
          </w:p>
        </w:tc>
      </w:tr>
      <w:tr w:rsidR="00E80FBF" w:rsidTr="00E4795B">
        <w:trPr>
          <w:trHeight w:val="170"/>
        </w:trPr>
        <w:tc>
          <w:tcPr>
            <w:tcW w:w="2836" w:type="dxa"/>
            <w:vMerge/>
            <w:vAlign w:val="bottom"/>
          </w:tcPr>
          <w:p w:rsidR="00E80FBF" w:rsidRDefault="00E80FBF" w:rsidP="005F0578"/>
        </w:tc>
        <w:tc>
          <w:tcPr>
            <w:tcW w:w="3118" w:type="dxa"/>
            <w:tcBorders>
              <w:top w:val="nil"/>
            </w:tcBorders>
          </w:tcPr>
          <w:p w:rsidR="00E80FBF" w:rsidRDefault="00E80FBF" w:rsidP="005F0578">
            <w:pPr>
              <w:rPr>
                <w:color w:val="000000"/>
                <w:sz w:val="20"/>
                <w:szCs w:val="20"/>
              </w:rPr>
            </w:pPr>
          </w:p>
        </w:tc>
        <w:tc>
          <w:tcPr>
            <w:tcW w:w="4395" w:type="dxa"/>
            <w:vAlign w:val="bottom"/>
          </w:tcPr>
          <w:p w:rsidR="00E80FBF" w:rsidRDefault="00E80FBF" w:rsidP="005F0578">
            <w:pPr>
              <w:rPr>
                <w:color w:val="000000"/>
                <w:sz w:val="20"/>
                <w:szCs w:val="20"/>
              </w:rPr>
            </w:pPr>
            <w:r>
              <w:rPr>
                <w:color w:val="000000"/>
                <w:sz w:val="20"/>
                <w:szCs w:val="20"/>
              </w:rPr>
              <w:t>120 Other Psychiatry</w:t>
            </w:r>
          </w:p>
        </w:tc>
      </w:tr>
      <w:tr w:rsidR="00E80FBF" w:rsidTr="00E4795B">
        <w:trPr>
          <w:trHeight w:val="170"/>
        </w:trPr>
        <w:tc>
          <w:tcPr>
            <w:tcW w:w="2836" w:type="dxa"/>
            <w:vMerge/>
            <w:vAlign w:val="bottom"/>
          </w:tcPr>
          <w:p w:rsidR="00E80FBF" w:rsidRDefault="00E80FBF" w:rsidP="005F0578"/>
        </w:tc>
        <w:tc>
          <w:tcPr>
            <w:tcW w:w="3118" w:type="dxa"/>
          </w:tcPr>
          <w:p w:rsidR="00E80FBF" w:rsidRDefault="002D4F98" w:rsidP="005F0578">
            <w:pPr>
              <w:rPr>
                <w:color w:val="000000"/>
                <w:sz w:val="20"/>
                <w:szCs w:val="20"/>
              </w:rPr>
            </w:pPr>
            <w:r w:rsidRPr="002D4F98">
              <w:rPr>
                <w:color w:val="000000"/>
                <w:sz w:val="20"/>
                <w:szCs w:val="20"/>
              </w:rPr>
              <w:t>37 Drug &amp; Alcohol</w:t>
            </w:r>
          </w:p>
        </w:tc>
        <w:tc>
          <w:tcPr>
            <w:tcW w:w="4395" w:type="dxa"/>
            <w:vAlign w:val="bottom"/>
          </w:tcPr>
          <w:p w:rsidR="00E80FBF" w:rsidRDefault="00E80FBF" w:rsidP="005F0578">
            <w:pPr>
              <w:rPr>
                <w:color w:val="000000"/>
                <w:sz w:val="20"/>
                <w:szCs w:val="20"/>
              </w:rPr>
            </w:pPr>
            <w:r>
              <w:rPr>
                <w:color w:val="000000"/>
                <w:sz w:val="20"/>
                <w:szCs w:val="20"/>
              </w:rPr>
              <w:t>121 Drug &amp; Alcohol</w:t>
            </w:r>
          </w:p>
        </w:tc>
      </w:tr>
      <w:tr w:rsidR="002D4F98" w:rsidTr="00E4795B">
        <w:tblPrEx>
          <w:tblBorders>
            <w:top w:val="single" w:sz="4" w:space="0" w:color="auto"/>
          </w:tblBorders>
        </w:tblPrEx>
        <w:trPr>
          <w:trHeight w:val="527"/>
        </w:trPr>
        <w:tc>
          <w:tcPr>
            <w:tcW w:w="2836" w:type="dxa"/>
            <w:vMerge w:val="restart"/>
          </w:tcPr>
          <w:p w:rsidR="002D4F98" w:rsidRDefault="002D4F98" w:rsidP="008C2FF6">
            <w:r w:rsidRPr="008C2FF6">
              <w:rPr>
                <w:b/>
                <w:bCs/>
                <w:color w:val="000000"/>
                <w:sz w:val="20"/>
                <w:szCs w:val="20"/>
                <w:u w:val="single"/>
              </w:rPr>
              <w:t>Musculoskeletal conditions</w:t>
            </w:r>
          </w:p>
        </w:tc>
        <w:tc>
          <w:tcPr>
            <w:tcW w:w="3118" w:type="dxa"/>
          </w:tcPr>
          <w:p w:rsidR="002D4F98" w:rsidRDefault="002D4F98" w:rsidP="008C2FF6">
            <w:pPr>
              <w:rPr>
                <w:color w:val="000000"/>
                <w:sz w:val="20"/>
                <w:szCs w:val="20"/>
              </w:rPr>
            </w:pPr>
            <w:r w:rsidRPr="002D4F98">
              <w:rPr>
                <w:color w:val="000000"/>
                <w:sz w:val="20"/>
                <w:szCs w:val="20"/>
              </w:rPr>
              <w:t>17 Rheumatology</w:t>
            </w:r>
          </w:p>
        </w:tc>
        <w:tc>
          <w:tcPr>
            <w:tcW w:w="4395" w:type="dxa"/>
          </w:tcPr>
          <w:p w:rsidR="002D4F98" w:rsidRDefault="002D4F98" w:rsidP="008C2FF6">
            <w:pPr>
              <w:rPr>
                <w:color w:val="000000"/>
                <w:sz w:val="20"/>
                <w:szCs w:val="20"/>
              </w:rPr>
            </w:pPr>
            <w:r>
              <w:rPr>
                <w:color w:val="000000"/>
                <w:sz w:val="20"/>
                <w:szCs w:val="20"/>
              </w:rPr>
              <w:t>054 Rheumatology</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bottom w:val="nil"/>
            </w:tcBorders>
          </w:tcPr>
          <w:p w:rsidR="002D4F98" w:rsidRDefault="002D4F98" w:rsidP="005F0578">
            <w:pPr>
              <w:rPr>
                <w:color w:val="000000"/>
                <w:sz w:val="20"/>
                <w:szCs w:val="20"/>
              </w:rPr>
            </w:pPr>
            <w:r w:rsidRPr="002D4F98">
              <w:rPr>
                <w:color w:val="000000"/>
                <w:sz w:val="20"/>
                <w:szCs w:val="20"/>
              </w:rPr>
              <w:t>23 Orthopaedics</w:t>
            </w:r>
          </w:p>
        </w:tc>
        <w:tc>
          <w:tcPr>
            <w:tcW w:w="4395" w:type="dxa"/>
            <w:vAlign w:val="bottom"/>
          </w:tcPr>
          <w:p w:rsidR="002D4F98" w:rsidRDefault="002D4F98" w:rsidP="005F0578">
            <w:pPr>
              <w:rPr>
                <w:color w:val="000000"/>
                <w:sz w:val="20"/>
                <w:szCs w:val="20"/>
              </w:rPr>
            </w:pPr>
            <w:r>
              <w:rPr>
                <w:color w:val="000000"/>
                <w:sz w:val="20"/>
                <w:szCs w:val="20"/>
              </w:rPr>
              <w:t>069 Non-surgical Back and Neck Problems</w:t>
            </w:r>
          </w:p>
        </w:tc>
      </w:tr>
      <w:tr w:rsidR="002D4F98" w:rsidTr="00E4795B">
        <w:tblPrEx>
          <w:tblBorders>
            <w:top w:val="single" w:sz="4" w:space="0" w:color="auto"/>
          </w:tblBorders>
        </w:tblPrEx>
        <w:trPr>
          <w:trHeight w:val="669"/>
        </w:trPr>
        <w:tc>
          <w:tcPr>
            <w:tcW w:w="2836" w:type="dxa"/>
            <w:vMerge/>
            <w:tcBorders>
              <w:bottom w:val="single" w:sz="4" w:space="0" w:color="auto"/>
            </w:tcBorders>
            <w:vAlign w:val="bottom"/>
          </w:tcPr>
          <w:p w:rsidR="002D4F98" w:rsidRDefault="002D4F98" w:rsidP="008C2FF6">
            <w:pPr>
              <w:ind w:firstLine="567"/>
            </w:pPr>
          </w:p>
        </w:tc>
        <w:tc>
          <w:tcPr>
            <w:tcW w:w="3118" w:type="dxa"/>
            <w:tcBorders>
              <w:top w:val="nil"/>
              <w:bottom w:val="single" w:sz="4" w:space="0" w:color="auto"/>
            </w:tcBorders>
          </w:tcPr>
          <w:p w:rsidR="002D4F98" w:rsidRDefault="002D4F98" w:rsidP="005F0578">
            <w:pPr>
              <w:rPr>
                <w:color w:val="000000"/>
                <w:sz w:val="20"/>
                <w:szCs w:val="20"/>
              </w:rPr>
            </w:pPr>
          </w:p>
        </w:tc>
        <w:tc>
          <w:tcPr>
            <w:tcW w:w="4395" w:type="dxa"/>
            <w:tcBorders>
              <w:bottom w:val="single" w:sz="4" w:space="0" w:color="auto"/>
            </w:tcBorders>
            <w:vAlign w:val="bottom"/>
          </w:tcPr>
          <w:p w:rsidR="002D4F98" w:rsidRDefault="002D4F98" w:rsidP="005F0578">
            <w:pPr>
              <w:rPr>
                <w:color w:val="000000"/>
                <w:sz w:val="20"/>
                <w:szCs w:val="20"/>
              </w:rPr>
            </w:pPr>
            <w:r>
              <w:rPr>
                <w:color w:val="000000"/>
                <w:sz w:val="20"/>
                <w:szCs w:val="20"/>
              </w:rPr>
              <w:t>070 Other Orthopaedics - Non-Surgical</w:t>
            </w:r>
          </w:p>
        </w:tc>
      </w:tr>
      <w:tr w:rsidR="00E4795B" w:rsidTr="00E4795B">
        <w:tblPrEx>
          <w:tblBorders>
            <w:top w:val="single" w:sz="4" w:space="0" w:color="auto"/>
          </w:tblBorders>
        </w:tblPrEx>
        <w:trPr>
          <w:trHeight w:val="170"/>
        </w:trPr>
        <w:tc>
          <w:tcPr>
            <w:tcW w:w="2836" w:type="dxa"/>
            <w:tcBorders>
              <w:bottom w:val="single" w:sz="4" w:space="0" w:color="auto"/>
            </w:tcBorders>
            <w:shd w:val="clear" w:color="auto" w:fill="CCECFF"/>
            <w:vAlign w:val="bottom"/>
          </w:tcPr>
          <w:p w:rsidR="00E4795B" w:rsidRPr="008C2FF6" w:rsidRDefault="00E4795B" w:rsidP="008C2FF6">
            <w:pPr>
              <w:ind w:firstLine="34"/>
              <w:rPr>
                <w:b/>
                <w:bCs/>
                <w:color w:val="000000"/>
                <w:sz w:val="20"/>
                <w:szCs w:val="20"/>
                <w:u w:val="single"/>
              </w:rPr>
            </w:pPr>
            <w:r>
              <w:br w:type="page"/>
            </w:r>
            <w:r w:rsidRPr="005F0578">
              <w:rPr>
                <w:b/>
              </w:rPr>
              <w:t>Chronic Disease</w:t>
            </w:r>
          </w:p>
        </w:tc>
        <w:tc>
          <w:tcPr>
            <w:tcW w:w="3118" w:type="dxa"/>
            <w:tcBorders>
              <w:bottom w:val="single" w:sz="4" w:space="0" w:color="auto"/>
            </w:tcBorders>
            <w:shd w:val="clear" w:color="auto" w:fill="CCECFF"/>
          </w:tcPr>
          <w:p w:rsidR="00E4795B" w:rsidRPr="002D4F98" w:rsidRDefault="00E4795B" w:rsidP="005F0578">
            <w:pPr>
              <w:rPr>
                <w:color w:val="000000"/>
                <w:sz w:val="20"/>
                <w:szCs w:val="20"/>
              </w:rPr>
            </w:pPr>
            <w:r>
              <w:rPr>
                <w:b/>
                <w:bCs/>
                <w:color w:val="000000"/>
              </w:rPr>
              <w:t xml:space="preserve">SRG </w:t>
            </w:r>
          </w:p>
        </w:tc>
        <w:tc>
          <w:tcPr>
            <w:tcW w:w="4395" w:type="dxa"/>
            <w:tcBorders>
              <w:bottom w:val="single" w:sz="4" w:space="0" w:color="auto"/>
            </w:tcBorders>
            <w:shd w:val="clear" w:color="auto" w:fill="CCECFF"/>
            <w:vAlign w:val="bottom"/>
          </w:tcPr>
          <w:p w:rsidR="00E4795B" w:rsidRDefault="00E4795B" w:rsidP="005F0578">
            <w:pPr>
              <w:rPr>
                <w:color w:val="000000"/>
                <w:sz w:val="20"/>
                <w:szCs w:val="20"/>
              </w:rPr>
            </w:pPr>
            <w:r>
              <w:rPr>
                <w:b/>
                <w:bCs/>
                <w:color w:val="000000"/>
              </w:rPr>
              <w:t xml:space="preserve">Relevant ESRG </w:t>
            </w:r>
          </w:p>
        </w:tc>
      </w:tr>
      <w:tr w:rsidR="002D4F98" w:rsidTr="00E4795B">
        <w:tblPrEx>
          <w:tblBorders>
            <w:top w:val="single" w:sz="4" w:space="0" w:color="auto"/>
          </w:tblBorders>
        </w:tblPrEx>
        <w:trPr>
          <w:trHeight w:val="170"/>
        </w:trPr>
        <w:tc>
          <w:tcPr>
            <w:tcW w:w="2836" w:type="dxa"/>
            <w:vMerge w:val="restart"/>
            <w:tcBorders>
              <w:top w:val="single" w:sz="4" w:space="0" w:color="auto"/>
            </w:tcBorders>
          </w:tcPr>
          <w:p w:rsidR="002D4F98" w:rsidRPr="008C2FF6" w:rsidRDefault="002D4F98" w:rsidP="008C2FF6">
            <w:pPr>
              <w:ind w:firstLine="34"/>
              <w:rPr>
                <w:u w:val="single"/>
              </w:rPr>
            </w:pPr>
            <w:r w:rsidRPr="008C2FF6">
              <w:rPr>
                <w:b/>
                <w:bCs/>
                <w:color w:val="000000"/>
                <w:sz w:val="20"/>
                <w:szCs w:val="20"/>
                <w:u w:val="single"/>
              </w:rPr>
              <w:t>Neurological conditions</w:t>
            </w:r>
          </w:p>
        </w:tc>
        <w:tc>
          <w:tcPr>
            <w:tcW w:w="3118" w:type="dxa"/>
            <w:tcBorders>
              <w:top w:val="single" w:sz="4" w:space="0" w:color="auto"/>
              <w:bottom w:val="nil"/>
            </w:tcBorders>
          </w:tcPr>
          <w:p w:rsidR="002D4F98" w:rsidRDefault="002D4F98" w:rsidP="005F0578">
            <w:pPr>
              <w:rPr>
                <w:color w:val="000000"/>
                <w:sz w:val="20"/>
                <w:szCs w:val="20"/>
              </w:rPr>
            </w:pPr>
            <w:r w:rsidRPr="002D4F98">
              <w:rPr>
                <w:color w:val="000000"/>
                <w:sz w:val="20"/>
                <w:szCs w:val="20"/>
              </w:rPr>
              <w:t>07 Neurology</w:t>
            </w:r>
          </w:p>
        </w:tc>
        <w:tc>
          <w:tcPr>
            <w:tcW w:w="4395" w:type="dxa"/>
            <w:tcBorders>
              <w:top w:val="single" w:sz="4" w:space="0" w:color="auto"/>
            </w:tcBorders>
            <w:vAlign w:val="bottom"/>
          </w:tcPr>
          <w:p w:rsidR="002D4F98" w:rsidRDefault="002D4F98" w:rsidP="005F0578">
            <w:pPr>
              <w:rPr>
                <w:color w:val="000000"/>
                <w:sz w:val="20"/>
                <w:szCs w:val="20"/>
              </w:rPr>
            </w:pPr>
            <w:r>
              <w:rPr>
                <w:color w:val="000000"/>
                <w:sz w:val="20"/>
                <w:szCs w:val="20"/>
              </w:rPr>
              <w:t>023 Dementia, Delirium and Non-traumatic Stupor/Coma</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nil"/>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024 Stroke</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nil"/>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025 TIA</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nil"/>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026 Seizures</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nil"/>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027 Headache</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single" w:sz="4" w:space="0" w:color="auto"/>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028 Other Neurology</w:t>
            </w:r>
          </w:p>
        </w:tc>
      </w:tr>
      <w:tr w:rsidR="002D4F98" w:rsidTr="00E4795B">
        <w:tblPrEx>
          <w:tblBorders>
            <w:top w:val="single" w:sz="4" w:space="0" w:color="auto"/>
          </w:tblBorders>
        </w:tblPrEx>
        <w:trPr>
          <w:trHeight w:val="170"/>
        </w:trPr>
        <w:tc>
          <w:tcPr>
            <w:tcW w:w="2836" w:type="dxa"/>
            <w:vMerge w:val="restart"/>
          </w:tcPr>
          <w:p w:rsidR="002D4F98" w:rsidRPr="008C2FF6" w:rsidRDefault="002D4F98" w:rsidP="008C2FF6">
            <w:pPr>
              <w:ind w:firstLine="34"/>
              <w:rPr>
                <w:u w:val="single"/>
              </w:rPr>
            </w:pPr>
            <w:r w:rsidRPr="008C2FF6">
              <w:rPr>
                <w:b/>
                <w:bCs/>
                <w:color w:val="000000"/>
                <w:sz w:val="20"/>
                <w:szCs w:val="20"/>
                <w:u w:val="single"/>
              </w:rPr>
              <w:t>Oral disorders</w:t>
            </w:r>
          </w:p>
        </w:tc>
        <w:tc>
          <w:tcPr>
            <w:tcW w:w="3118" w:type="dxa"/>
            <w:tcBorders>
              <w:bottom w:val="nil"/>
            </w:tcBorders>
          </w:tcPr>
          <w:p w:rsidR="002D4F98" w:rsidRDefault="005844E3" w:rsidP="005F0578">
            <w:pPr>
              <w:rPr>
                <w:color w:val="000000"/>
                <w:sz w:val="20"/>
                <w:szCs w:val="20"/>
              </w:rPr>
            </w:pPr>
            <w:r w:rsidRPr="005844E3">
              <w:rPr>
                <w:color w:val="000000"/>
                <w:sz w:val="20"/>
                <w:szCs w:val="20"/>
              </w:rPr>
              <w:t>20 Dentistry</w:t>
            </w:r>
          </w:p>
        </w:tc>
        <w:tc>
          <w:tcPr>
            <w:tcW w:w="4395" w:type="dxa"/>
            <w:vAlign w:val="bottom"/>
          </w:tcPr>
          <w:p w:rsidR="002D4F98" w:rsidRDefault="002D4F98" w:rsidP="005F0578">
            <w:pPr>
              <w:rPr>
                <w:color w:val="000000"/>
                <w:sz w:val="20"/>
                <w:szCs w:val="20"/>
              </w:rPr>
            </w:pPr>
            <w:r>
              <w:rPr>
                <w:color w:val="000000"/>
                <w:sz w:val="20"/>
                <w:szCs w:val="20"/>
              </w:rPr>
              <w:t>058 Dental Extractions and Restorations</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tcBorders>
          </w:tcPr>
          <w:p w:rsidR="002D4F98" w:rsidRDefault="002D4F98" w:rsidP="005F0578">
            <w:pPr>
              <w:rPr>
                <w:color w:val="000000"/>
                <w:sz w:val="20"/>
                <w:szCs w:val="20"/>
              </w:rPr>
            </w:pPr>
          </w:p>
        </w:tc>
        <w:tc>
          <w:tcPr>
            <w:tcW w:w="4395" w:type="dxa"/>
            <w:vAlign w:val="bottom"/>
          </w:tcPr>
          <w:p w:rsidR="002D4F98" w:rsidRDefault="002D4F98" w:rsidP="00CA1AC7">
            <w:pPr>
              <w:ind w:left="369" w:hanging="369"/>
              <w:rPr>
                <w:color w:val="000000"/>
                <w:sz w:val="20"/>
                <w:szCs w:val="20"/>
              </w:rPr>
            </w:pPr>
            <w:r>
              <w:rPr>
                <w:color w:val="000000"/>
                <w:sz w:val="20"/>
                <w:szCs w:val="20"/>
              </w:rPr>
              <w:t>059 Dental and Oral Disease excluding Extractions</w:t>
            </w:r>
          </w:p>
        </w:tc>
      </w:tr>
      <w:tr w:rsidR="002D4F98" w:rsidTr="00E4795B">
        <w:tblPrEx>
          <w:tblBorders>
            <w:top w:val="single" w:sz="4" w:space="0" w:color="auto"/>
          </w:tblBorders>
        </w:tblPrEx>
        <w:trPr>
          <w:trHeight w:val="170"/>
        </w:trPr>
        <w:tc>
          <w:tcPr>
            <w:tcW w:w="2836" w:type="dxa"/>
            <w:vMerge w:val="restart"/>
          </w:tcPr>
          <w:p w:rsidR="002D4F98" w:rsidRPr="008C2FF6" w:rsidRDefault="002D4F98" w:rsidP="008C2FF6">
            <w:pPr>
              <w:rPr>
                <w:u w:val="single"/>
              </w:rPr>
            </w:pPr>
            <w:r w:rsidRPr="008C2FF6">
              <w:rPr>
                <w:b/>
                <w:bCs/>
                <w:color w:val="000000"/>
                <w:sz w:val="20"/>
                <w:szCs w:val="20"/>
                <w:u w:val="single"/>
              </w:rPr>
              <w:t>Respiratory diseases</w:t>
            </w:r>
          </w:p>
        </w:tc>
        <w:tc>
          <w:tcPr>
            <w:tcW w:w="3118" w:type="dxa"/>
            <w:tcBorders>
              <w:bottom w:val="nil"/>
            </w:tcBorders>
          </w:tcPr>
          <w:p w:rsidR="002D4F98" w:rsidRDefault="005844E3" w:rsidP="005844E3">
            <w:pPr>
              <w:rPr>
                <w:color w:val="000000"/>
                <w:sz w:val="20"/>
                <w:szCs w:val="20"/>
              </w:rPr>
            </w:pPr>
            <w:r>
              <w:rPr>
                <w:color w:val="000000"/>
                <w:sz w:val="20"/>
                <w:szCs w:val="20"/>
              </w:rPr>
              <w:t>04 Respiratory Medicine</w:t>
            </w:r>
          </w:p>
        </w:tc>
        <w:tc>
          <w:tcPr>
            <w:tcW w:w="4395" w:type="dxa"/>
            <w:vAlign w:val="bottom"/>
          </w:tcPr>
          <w:p w:rsidR="002D4F98" w:rsidRDefault="002D4F98" w:rsidP="005F0578">
            <w:pPr>
              <w:rPr>
                <w:color w:val="000000"/>
                <w:sz w:val="20"/>
                <w:szCs w:val="20"/>
              </w:rPr>
            </w:pPr>
            <w:r>
              <w:rPr>
                <w:color w:val="000000"/>
                <w:sz w:val="20"/>
                <w:szCs w:val="20"/>
              </w:rPr>
              <w:t>012 Bronchitis and Asthma</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nil"/>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013 Chronic Obstructive Airways Disease</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nil"/>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014 Respiratory Infections/Inflammations</w:t>
            </w:r>
          </w:p>
        </w:tc>
      </w:tr>
      <w:tr w:rsidR="002D4F98" w:rsidTr="00E4795B">
        <w:tblPrEx>
          <w:tblBorders>
            <w:top w:val="single" w:sz="4" w:space="0" w:color="auto"/>
          </w:tblBorders>
        </w:tblPrEx>
        <w:trPr>
          <w:trHeight w:val="170"/>
        </w:trPr>
        <w:tc>
          <w:tcPr>
            <w:tcW w:w="2836" w:type="dxa"/>
            <w:vMerge/>
            <w:vAlign w:val="bottom"/>
          </w:tcPr>
          <w:p w:rsidR="002D4F98" w:rsidRDefault="002D4F98" w:rsidP="008C2FF6">
            <w:pPr>
              <w:ind w:firstLine="567"/>
            </w:pPr>
          </w:p>
        </w:tc>
        <w:tc>
          <w:tcPr>
            <w:tcW w:w="3118" w:type="dxa"/>
            <w:tcBorders>
              <w:top w:val="nil"/>
              <w:bottom w:val="nil"/>
            </w:tcBorders>
          </w:tcPr>
          <w:p w:rsidR="002D4F98" w:rsidRDefault="002D4F98" w:rsidP="005F0578">
            <w:pPr>
              <w:rPr>
                <w:color w:val="000000"/>
                <w:sz w:val="20"/>
                <w:szCs w:val="20"/>
              </w:rPr>
            </w:pPr>
          </w:p>
        </w:tc>
        <w:tc>
          <w:tcPr>
            <w:tcW w:w="4395" w:type="dxa"/>
            <w:vAlign w:val="bottom"/>
          </w:tcPr>
          <w:p w:rsidR="002D4F98" w:rsidRDefault="002D4F98" w:rsidP="005F0578">
            <w:pPr>
              <w:rPr>
                <w:color w:val="000000"/>
                <w:sz w:val="20"/>
                <w:szCs w:val="20"/>
              </w:rPr>
            </w:pPr>
            <w:r>
              <w:rPr>
                <w:color w:val="000000"/>
                <w:sz w:val="20"/>
                <w:szCs w:val="20"/>
              </w:rPr>
              <w:t>015 Sleep Apnoea</w:t>
            </w:r>
          </w:p>
        </w:tc>
      </w:tr>
      <w:tr w:rsidR="002D4F98" w:rsidTr="00E4795B">
        <w:tblPrEx>
          <w:tblBorders>
            <w:top w:val="single" w:sz="4" w:space="0" w:color="auto"/>
          </w:tblBorders>
        </w:tblPrEx>
        <w:trPr>
          <w:trHeight w:val="170"/>
        </w:trPr>
        <w:tc>
          <w:tcPr>
            <w:tcW w:w="2836" w:type="dxa"/>
            <w:vMerge/>
            <w:tcBorders>
              <w:bottom w:val="single" w:sz="4" w:space="0" w:color="auto"/>
            </w:tcBorders>
            <w:vAlign w:val="bottom"/>
          </w:tcPr>
          <w:p w:rsidR="002D4F98" w:rsidRDefault="002D4F98" w:rsidP="008C2FF6">
            <w:pPr>
              <w:ind w:firstLine="567"/>
            </w:pPr>
          </w:p>
        </w:tc>
        <w:tc>
          <w:tcPr>
            <w:tcW w:w="3118" w:type="dxa"/>
            <w:tcBorders>
              <w:top w:val="nil"/>
              <w:bottom w:val="single" w:sz="4" w:space="0" w:color="auto"/>
            </w:tcBorders>
          </w:tcPr>
          <w:p w:rsidR="002D4F98" w:rsidRDefault="002D4F98" w:rsidP="005F0578">
            <w:pPr>
              <w:rPr>
                <w:color w:val="000000"/>
                <w:sz w:val="20"/>
                <w:szCs w:val="20"/>
              </w:rPr>
            </w:pPr>
          </w:p>
        </w:tc>
        <w:tc>
          <w:tcPr>
            <w:tcW w:w="4395" w:type="dxa"/>
            <w:tcBorders>
              <w:bottom w:val="single" w:sz="4" w:space="0" w:color="auto"/>
            </w:tcBorders>
            <w:vAlign w:val="bottom"/>
          </w:tcPr>
          <w:p w:rsidR="002D4F98" w:rsidRDefault="002D4F98" w:rsidP="005F0578">
            <w:pPr>
              <w:rPr>
                <w:color w:val="000000"/>
                <w:sz w:val="20"/>
                <w:szCs w:val="20"/>
              </w:rPr>
            </w:pPr>
            <w:r>
              <w:rPr>
                <w:color w:val="000000"/>
                <w:sz w:val="20"/>
                <w:szCs w:val="20"/>
              </w:rPr>
              <w:t>016 Other Respiratory Medicine</w:t>
            </w:r>
          </w:p>
        </w:tc>
      </w:tr>
    </w:tbl>
    <w:p w:rsidR="00E737A5" w:rsidRDefault="00E737A5" w:rsidP="008C2FF6">
      <w:pPr>
        <w:tabs>
          <w:tab w:val="clear" w:pos="567"/>
          <w:tab w:val="left" w:pos="4950"/>
        </w:tabs>
        <w:ind w:left="-851"/>
      </w:pPr>
    </w:p>
    <w:p w:rsidR="00E737A5" w:rsidRDefault="00E737A5" w:rsidP="00F630DE">
      <w:pPr>
        <w:spacing w:line="240" w:lineRule="auto"/>
        <w:ind w:left="-709" w:firstLine="709"/>
        <w:rPr>
          <w:b/>
          <w:sz w:val="24"/>
          <w:szCs w:val="24"/>
        </w:rPr>
      </w:pPr>
      <w:r w:rsidRPr="00402640">
        <w:rPr>
          <w:b/>
          <w:sz w:val="24"/>
          <w:szCs w:val="24"/>
        </w:rPr>
        <w:t>Defin</w:t>
      </w:r>
      <w:r>
        <w:rPr>
          <w:b/>
          <w:sz w:val="24"/>
          <w:szCs w:val="24"/>
        </w:rPr>
        <w:t>i</w:t>
      </w:r>
      <w:r w:rsidRPr="00402640">
        <w:rPr>
          <w:b/>
          <w:sz w:val="24"/>
          <w:szCs w:val="24"/>
        </w:rPr>
        <w:t>tion:</w:t>
      </w:r>
    </w:p>
    <w:tbl>
      <w:tblPr>
        <w:tblW w:w="6238" w:type="dxa"/>
        <w:tblInd w:w="108" w:type="dxa"/>
        <w:tblLook w:val="04A0" w:firstRow="1" w:lastRow="0" w:firstColumn="1" w:lastColumn="0" w:noHBand="0" w:noVBand="1"/>
      </w:tblPr>
      <w:tblGrid>
        <w:gridCol w:w="3261"/>
        <w:gridCol w:w="2977"/>
      </w:tblGrid>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Chargeable_Status</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Age_Group</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Stay_Type</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ComplexSurg</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Hospital_Type</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Public</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Place_of_Treatment</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(RHH, LGH, NWRH)</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ED_Flag</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SSU_Flag</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rsidTr="00F630DE">
        <w:trPr>
          <w:trHeight w:val="300"/>
        </w:trPr>
        <w:tc>
          <w:tcPr>
            <w:tcW w:w="3261"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Multiple_Morbidity</w:t>
            </w:r>
            <w:proofErr w:type="spellEnd"/>
          </w:p>
        </w:tc>
        <w:tc>
          <w:tcPr>
            <w:tcW w:w="2977" w:type="dxa"/>
            <w:tcBorders>
              <w:top w:val="nil"/>
              <w:left w:val="nil"/>
              <w:bottom w:val="nil"/>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r w:rsidR="00E737A5" w:rsidRPr="00490E32" w:rsidTr="00F630DE">
        <w:trPr>
          <w:trHeight w:val="300"/>
        </w:trPr>
        <w:tc>
          <w:tcPr>
            <w:tcW w:w="3261" w:type="dxa"/>
            <w:tcBorders>
              <w:top w:val="nil"/>
              <w:left w:val="nil"/>
              <w:bottom w:val="single" w:sz="4" w:space="0" w:color="95B3D7"/>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proofErr w:type="spellStart"/>
            <w:r w:rsidRPr="00E737A5">
              <w:rPr>
                <w:color w:val="000000"/>
                <w:sz w:val="20"/>
                <w:szCs w:val="20"/>
                <w:lang w:eastAsia="en-AU"/>
              </w:rPr>
              <w:t>Place_of_Residence</w:t>
            </w:r>
            <w:proofErr w:type="spellEnd"/>
            <w:r w:rsidRPr="00E737A5">
              <w:rPr>
                <w:color w:val="000000"/>
                <w:sz w:val="20"/>
                <w:szCs w:val="20"/>
                <w:lang w:eastAsia="en-AU"/>
              </w:rPr>
              <w:t xml:space="preserve"> (SA3)</w:t>
            </w:r>
          </w:p>
        </w:tc>
        <w:tc>
          <w:tcPr>
            <w:tcW w:w="2977" w:type="dxa"/>
            <w:tcBorders>
              <w:top w:val="nil"/>
              <w:left w:val="nil"/>
              <w:bottom w:val="single" w:sz="4" w:space="0" w:color="95B3D7"/>
              <w:right w:val="nil"/>
            </w:tcBorders>
            <w:shd w:val="clear" w:color="DCE6F1" w:fill="DCE6F1"/>
            <w:noWrap/>
            <w:vAlign w:val="bottom"/>
            <w:hideMark/>
          </w:tcPr>
          <w:p w:rsidR="00E737A5" w:rsidRPr="00E737A5" w:rsidRDefault="00E737A5" w:rsidP="008332F8">
            <w:pPr>
              <w:tabs>
                <w:tab w:val="clear" w:pos="567"/>
              </w:tabs>
              <w:spacing w:after="0" w:line="240" w:lineRule="auto"/>
              <w:rPr>
                <w:color w:val="000000"/>
                <w:sz w:val="20"/>
                <w:szCs w:val="20"/>
                <w:lang w:eastAsia="en-AU"/>
              </w:rPr>
            </w:pPr>
            <w:r w:rsidRPr="00E737A5">
              <w:rPr>
                <w:color w:val="000000"/>
                <w:sz w:val="20"/>
                <w:szCs w:val="20"/>
                <w:lang w:eastAsia="en-AU"/>
              </w:rPr>
              <w:t>(All)</w:t>
            </w:r>
          </w:p>
        </w:tc>
      </w:tr>
    </w:tbl>
    <w:p w:rsidR="005947A3" w:rsidRPr="001B5BD4" w:rsidRDefault="008C2FF6" w:rsidP="008C2FF6">
      <w:pPr>
        <w:tabs>
          <w:tab w:val="clear" w:pos="567"/>
          <w:tab w:val="left" w:pos="4950"/>
        </w:tabs>
        <w:ind w:left="-851"/>
      </w:pPr>
      <w:r>
        <w:tab/>
      </w:r>
    </w:p>
    <w:sectPr w:rsidR="005947A3" w:rsidRPr="001B5BD4" w:rsidSect="007637BB">
      <w:pgSz w:w="11907" w:h="16839" w:code="9"/>
      <w:pgMar w:top="567"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5FED" w:rsidRDefault="00D05FED">
      <w:r>
        <w:separator/>
      </w:r>
    </w:p>
  </w:endnote>
  <w:endnote w:type="continuationSeparator" w:id="0">
    <w:p w:rsidR="00D05FED" w:rsidRDefault="00D05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w:charset w:val="00"/>
    <w:family w:val="auto"/>
    <w:pitch w:val="variable"/>
    <w:sig w:usb0="80000267" w:usb1="00000000" w:usb2="00000000" w:usb3="00000000" w:csb0="000001F7" w:csb1="00000000"/>
  </w:font>
  <w:font w:name="GillSans Light">
    <w:panose1 w:val="00000000000000000000"/>
    <w:charset w:val="00"/>
    <w:family w:val="swiss"/>
    <w:notTrueType/>
    <w:pitch w:val="variable"/>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rsidP="00CD1467">
    <w:pPr>
      <w:pStyle w:val="Footer"/>
      <w:tabs>
        <w:tab w:val="left" w:pos="285"/>
        <w:tab w:val="right" w:pos="9638"/>
      </w:tabs>
      <w:jc w:val="left"/>
    </w:pPr>
    <w:r>
      <w:rPr>
        <w:noProof/>
        <w:lang w:eastAsia="en-AU"/>
      </w:rPr>
      <mc:AlternateContent>
        <mc:Choice Requires="wps">
          <w:drawing>
            <wp:anchor distT="0" distB="0" distL="114300" distR="114300" simplePos="0" relativeHeight="251658240" behindDoc="0" locked="0" layoutInCell="1" allowOverlap="1" wp14:anchorId="303ED154" wp14:editId="172CB811">
              <wp:simplePos x="0" y="0"/>
              <wp:positionH relativeFrom="column">
                <wp:posOffset>3632835</wp:posOffset>
              </wp:positionH>
              <wp:positionV relativeFrom="paragraph">
                <wp:posOffset>-1830070</wp:posOffset>
              </wp:positionV>
              <wp:extent cx="2952750" cy="581025"/>
              <wp:effectExtent l="0" t="0" r="0" b="952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6E2" w:rsidRDefault="00F256E2" w:rsidP="00B60A67">
                          <w:pPr>
                            <w:rPr>
                              <w:b/>
                              <w:color w:val="FFFFFF"/>
                              <w:sz w:val="28"/>
                              <w:szCs w:val="28"/>
                            </w:rPr>
                          </w:pPr>
                          <w:r>
                            <w:rPr>
                              <w:b/>
                              <w:color w:val="FFFFFF"/>
                              <w:sz w:val="28"/>
                              <w:szCs w:val="28"/>
                            </w:rPr>
                            <w:t xml:space="preserve">Version 1.0 – </w:t>
                          </w:r>
                        </w:p>
                        <w:p w:rsidR="00F256E2" w:rsidRPr="00E74C34" w:rsidRDefault="00F256E2" w:rsidP="00B60A67">
                          <w:pPr>
                            <w:rPr>
                              <w:b/>
                              <w:color w:val="FFFFFF"/>
                              <w:sz w:val="28"/>
                              <w:szCs w:val="28"/>
                            </w:rPr>
                          </w:pPr>
                          <w:r>
                            <w:rPr>
                              <w:b/>
                              <w:color w:val="FFFFFF"/>
                              <w:sz w:val="28"/>
                              <w:szCs w:val="28"/>
                            </w:rPr>
                            <w:t>20 September</w:t>
                          </w:r>
                          <w:r w:rsidRPr="00E74C34">
                            <w:rPr>
                              <w:b/>
                              <w:color w:val="FFFFFF"/>
                              <w:sz w:val="28"/>
                              <w:szCs w:val="28"/>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ED154" id="_x0000_t202" coordsize="21600,21600" o:spt="202" path="m,l,21600r21600,l21600,xe">
              <v:stroke joinstyle="miter"/>
              <v:path gradientshapeok="t" o:connecttype="rect"/>
            </v:shapetype>
            <v:shape id="Text Box 15" o:spid="_x0000_s1028" type="#_x0000_t202" style="position:absolute;margin-left:286.05pt;margin-top:-144.1pt;width:232.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euuQ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" filled="f" stroked="f">
              <v:textbox>
                <w:txbxContent>
                  <w:p w:rsidR="00F256E2" w:rsidRDefault="00F256E2" w:rsidP="00B60A67">
                    <w:pPr>
                      <w:rPr>
                        <w:b/>
                        <w:color w:val="FFFFFF"/>
                        <w:sz w:val="28"/>
                        <w:szCs w:val="28"/>
                      </w:rPr>
                    </w:pPr>
                    <w:r>
                      <w:rPr>
                        <w:b/>
                        <w:color w:val="FFFFFF"/>
                        <w:sz w:val="28"/>
                        <w:szCs w:val="28"/>
                      </w:rPr>
                      <w:t xml:space="preserve">Version 1.0 – </w:t>
                    </w:r>
                  </w:p>
                  <w:p w:rsidR="00F256E2" w:rsidRPr="00E74C34" w:rsidRDefault="00F256E2" w:rsidP="00B60A67">
                    <w:pPr>
                      <w:rPr>
                        <w:b/>
                        <w:color w:val="FFFFFF"/>
                        <w:sz w:val="28"/>
                        <w:szCs w:val="28"/>
                      </w:rPr>
                    </w:pPr>
                    <w:r>
                      <w:rPr>
                        <w:b/>
                        <w:color w:val="FFFFFF"/>
                        <w:sz w:val="28"/>
                        <w:szCs w:val="28"/>
                      </w:rPr>
                      <w:t>20 September</w:t>
                    </w:r>
                    <w:r w:rsidRPr="00E74C34">
                      <w:rPr>
                        <w:b/>
                        <w:color w:val="FFFFFF"/>
                        <w:sz w:val="28"/>
                        <w:szCs w:val="28"/>
                      </w:rPr>
                      <w:t xml:space="preserve"> 2016</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68C8728D" wp14:editId="6CDF7000">
              <wp:simplePos x="0" y="0"/>
              <wp:positionH relativeFrom="column">
                <wp:posOffset>-459105</wp:posOffset>
              </wp:positionH>
              <wp:positionV relativeFrom="paragraph">
                <wp:posOffset>-516890</wp:posOffset>
              </wp:positionV>
              <wp:extent cx="3657600" cy="571500"/>
              <wp:effectExtent l="0" t="0" r="0" b="0"/>
              <wp:wrapTight wrapText="bothSides">
                <wp:wrapPolygon edited="0">
                  <wp:start x="0" y="0"/>
                  <wp:lineTo x="0" y="20880"/>
                  <wp:lineTo x="21488" y="20880"/>
                  <wp:lineTo x="21488" y="0"/>
                  <wp:lineTo x="0" y="0"/>
                </wp:wrapPolygon>
              </wp:wrapTight>
              <wp:docPr id="20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6E2" w:rsidRPr="00F5267A" w:rsidRDefault="00F256E2"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rsidR="00F256E2" w:rsidRPr="00F5267A" w:rsidRDefault="00F256E2"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wps:txbx>
                    <wps:bodyPr rot="0" vert="horz" wrap="square" lIns="126000" tIns="54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8728D" id="Text Box 10" o:spid="_x0000_s1029" type="#_x0000_t202" style="position:absolute;margin-left:-36.15pt;margin-top:-40.7pt;width:4in;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" stroked="f">
              <v:textbox inset="3.5mm,1.5mm,,7.2pt">
                <w:txbxContent>
                  <w:p w:rsidR="00F256E2" w:rsidRPr="00F5267A" w:rsidRDefault="00F256E2" w:rsidP="00E34BBD">
                    <w:pPr>
                      <w:spacing w:after="60"/>
                      <w:rPr>
                        <w:color w:val="7F7F7F" w:themeColor="text1" w:themeTint="80"/>
                        <w:spacing w:val="12"/>
                        <w:sz w:val="24"/>
                        <w:szCs w:val="24"/>
                      </w:rPr>
                    </w:pPr>
                    <w:r w:rsidRPr="00F5267A">
                      <w:rPr>
                        <w:color w:val="7F7F7F" w:themeColor="text1" w:themeTint="80"/>
                        <w:spacing w:val="12"/>
                        <w:sz w:val="24"/>
                        <w:szCs w:val="24"/>
                      </w:rPr>
                      <w:t>Planning, Purchasing and Performance</w:t>
                    </w:r>
                  </w:p>
                  <w:p w:rsidR="00F256E2" w:rsidRPr="00F5267A" w:rsidRDefault="00F256E2" w:rsidP="00E34BBD">
                    <w:pPr>
                      <w:spacing w:after="60"/>
                      <w:rPr>
                        <w:color w:val="7F7F7F" w:themeColor="text1" w:themeTint="80"/>
                        <w:spacing w:val="12"/>
                        <w:sz w:val="24"/>
                        <w:szCs w:val="24"/>
                      </w:rPr>
                    </w:pPr>
                    <w:r w:rsidRPr="00F5267A">
                      <w:rPr>
                        <w:color w:val="7F7F7F" w:themeColor="text1" w:themeTint="80"/>
                        <w:spacing w:val="12"/>
                        <w:sz w:val="24"/>
                        <w:szCs w:val="24"/>
                      </w:rPr>
                      <w:t>Department of Health and Human Services</w:t>
                    </w:r>
                  </w:p>
                </w:txbxContent>
              </v:textbox>
              <w10:wrap type="tigh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Pr="00B84DE6" w:rsidRDefault="00F256E2" w:rsidP="0066506E">
    <w:pPr>
      <w:pStyle w:val="Footer"/>
      <w:tabs>
        <w:tab w:val="right" w:pos="9638"/>
      </w:tabs>
      <w:jc w:val="left"/>
    </w:pPr>
    <w:r>
      <w:tab/>
    </w:r>
    <w:r w:rsidRPr="00B84DE6">
      <w:t xml:space="preserve">Page </w:t>
    </w:r>
    <w:r>
      <w:fldChar w:fldCharType="begin"/>
    </w:r>
    <w:r>
      <w:instrText xml:space="preserve"> PAGE </w:instrText>
    </w:r>
    <w:r>
      <w:fldChar w:fldCharType="separate"/>
    </w:r>
    <w:r w:rsidR="00B905A8">
      <w:rPr>
        <w:noProof/>
      </w:rPr>
      <w:t>2</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B905A8">
      <w:rPr>
        <w:noProof/>
      </w:rPr>
      <w:t>42</w:t>
    </w:r>
    <w:r>
      <w:rPr>
        <w:noProof/>
      </w:rPr>
      <w:fldChar w:fldCharType="end"/>
    </w:r>
  </w:p>
  <w:p w:rsidR="00F256E2" w:rsidRPr="000E2971" w:rsidRDefault="00F256E2" w:rsidP="00B84D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Pr="00D64460" w:rsidRDefault="00F256E2" w:rsidP="00B84DE6">
    <w:pPr>
      <w:pStyle w:val="Footer"/>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Footer"/>
    </w:pPr>
    <w:r w:rsidRPr="00B84DE6">
      <w:t xml:space="preserve">Page </w:t>
    </w:r>
    <w:r>
      <w:fldChar w:fldCharType="begin"/>
    </w:r>
    <w:r>
      <w:instrText xml:space="preserve"> PAGE </w:instrText>
    </w:r>
    <w:r>
      <w:fldChar w:fldCharType="separate"/>
    </w:r>
    <w:r w:rsidR="00B905A8">
      <w:rPr>
        <w:noProof/>
      </w:rPr>
      <w:t>12</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B905A8">
      <w:rPr>
        <w:noProof/>
      </w:rPr>
      <w:t>42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Footer"/>
    </w:pPr>
    <w:r w:rsidRPr="00B84DE6">
      <w:t xml:space="preserve">Page </w:t>
    </w:r>
    <w:r>
      <w:fldChar w:fldCharType="begin"/>
    </w:r>
    <w:r>
      <w:instrText xml:space="preserve"> PAGE </w:instrText>
    </w:r>
    <w:r>
      <w:fldChar w:fldCharType="separate"/>
    </w:r>
    <w:r w:rsidR="00B905A8">
      <w:rPr>
        <w:noProof/>
      </w:rPr>
      <w:t>11</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B905A8">
      <w:rPr>
        <w:noProof/>
      </w:rPr>
      <w:t>42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Footer"/>
    </w:pPr>
    <w:r w:rsidRPr="00B84DE6">
      <w:t xml:space="preserve">Page </w:t>
    </w:r>
    <w:r>
      <w:fldChar w:fldCharType="begin"/>
    </w:r>
    <w:r>
      <w:instrText xml:space="preserve"> PAGE </w:instrText>
    </w:r>
    <w:r>
      <w:fldChar w:fldCharType="separate"/>
    </w:r>
    <w:r w:rsidR="00B905A8">
      <w:rPr>
        <w:noProof/>
      </w:rPr>
      <w:t>20</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B905A8">
      <w:rPr>
        <w:noProof/>
      </w:rPr>
      <w:t>42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Footer"/>
    </w:pPr>
    <w:r w:rsidRPr="00B84DE6">
      <w:t xml:space="preserve">Page </w:t>
    </w:r>
    <w:r>
      <w:fldChar w:fldCharType="begin"/>
    </w:r>
    <w:r>
      <w:instrText xml:space="preserve"> PAGE </w:instrText>
    </w:r>
    <w:r>
      <w:fldChar w:fldCharType="separate"/>
    </w:r>
    <w:r w:rsidR="00B905A8">
      <w:rPr>
        <w:noProof/>
      </w:rPr>
      <w:t>21</w:t>
    </w:r>
    <w:r>
      <w:rPr>
        <w:noProof/>
      </w:rPr>
      <w:fldChar w:fldCharType="end"/>
    </w:r>
    <w:r w:rsidRPr="00B84DE6">
      <w:t xml:space="preserve"> of </w:t>
    </w:r>
    <w:r>
      <w:rPr>
        <w:noProof/>
      </w:rPr>
      <w:fldChar w:fldCharType="begin"/>
    </w:r>
    <w:r>
      <w:rPr>
        <w:noProof/>
      </w:rPr>
      <w:instrText xml:space="preserve"> NUMPAGES </w:instrText>
    </w:r>
    <w:r>
      <w:rPr>
        <w:noProof/>
      </w:rPr>
      <w:fldChar w:fldCharType="separate"/>
    </w:r>
    <w:r w:rsidR="00B905A8">
      <w:rPr>
        <w:noProof/>
      </w:rPr>
      <w:t>42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5FED" w:rsidRDefault="00D05FED">
      <w:r>
        <w:separator/>
      </w:r>
    </w:p>
  </w:footnote>
  <w:footnote w:type="continuationSeparator" w:id="0">
    <w:p w:rsidR="00D05FED" w:rsidRDefault="00D05FED">
      <w:r>
        <w:continuationSeparator/>
      </w:r>
    </w:p>
  </w:footnote>
  <w:footnote w:id="1">
    <w:p w:rsidR="00F256E2" w:rsidRPr="00691B86" w:rsidRDefault="00F256E2" w:rsidP="0075465E">
      <w:pPr>
        <w:pStyle w:val="BulletedListLevel1"/>
        <w:numPr>
          <w:ilvl w:val="0"/>
          <w:numId w:val="0"/>
        </w:numPr>
        <w:rPr>
          <w:i/>
        </w:rPr>
      </w:pPr>
      <w:r w:rsidRPr="00F51AB2">
        <w:rPr>
          <w:vertAlign w:val="superscript"/>
          <w:lang w:val="en-US"/>
        </w:rPr>
        <w:footnoteRef/>
      </w:r>
      <w:r w:rsidRPr="00691B86">
        <w:rPr>
          <w:i/>
          <w:lang w:val="en-US"/>
        </w:rPr>
        <w:t>As</w:t>
      </w:r>
      <w:r w:rsidRPr="00691B86">
        <w:rPr>
          <w:i/>
        </w:rPr>
        <w:t xml:space="preserve"> reflected in the Tasmanian Health Organisations Act 2011 s3 </w:t>
      </w:r>
      <w:hyperlink r:id="rId1" w:history="1">
        <w:r w:rsidRPr="00691B86">
          <w:rPr>
            <w:rStyle w:val="Hyperlink"/>
            <w:i/>
          </w:rPr>
          <w:t>http://www.austlii.edu.au/au/legis/tas/num_act/thoa201151o2011346/s3.html</w:t>
        </w:r>
      </w:hyperlink>
    </w:p>
    <w:p w:rsidR="00F256E2" w:rsidRDefault="00F256E2" w:rsidP="00B60A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Header"/>
    </w:pPr>
    <w:r>
      <w:rPr>
        <w:noProof/>
        <w:lang w:eastAsia="en-AU"/>
      </w:rPr>
      <w:drawing>
        <wp:anchor distT="0" distB="0" distL="114300" distR="114300" simplePos="0" relativeHeight="251655168" behindDoc="1" locked="0" layoutInCell="1" allowOverlap="1" wp14:anchorId="11A3E388" wp14:editId="18AEA8A0">
          <wp:simplePos x="0" y="0"/>
          <wp:positionH relativeFrom="page">
            <wp:posOffset>9525</wp:posOffset>
          </wp:positionH>
          <wp:positionV relativeFrom="page">
            <wp:posOffset>0</wp:posOffset>
          </wp:positionV>
          <wp:extent cx="7560310" cy="10690860"/>
          <wp:effectExtent l="0" t="0" r="2540" b="0"/>
          <wp:wrapNone/>
          <wp:docPr id="2048" name="Picture 2048" descr="Statement of Purchaser Intent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7216" behindDoc="0" locked="1" layoutInCell="1" allowOverlap="1" wp14:anchorId="00A78DF6" wp14:editId="36FDC6FF">
              <wp:simplePos x="0" y="0"/>
              <wp:positionH relativeFrom="column">
                <wp:posOffset>165735</wp:posOffset>
              </wp:positionH>
              <wp:positionV relativeFrom="paragraph">
                <wp:posOffset>4702175</wp:posOffset>
              </wp:positionV>
              <wp:extent cx="6421120" cy="15144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6E2" w:rsidRPr="00B60A67" w:rsidRDefault="00F256E2" w:rsidP="00B60A67">
                          <w:pPr>
                            <w:ind w:left="-142" w:right="-153"/>
                            <w:rPr>
                              <w:color w:val="FFFFFF"/>
                              <w:sz w:val="96"/>
                              <w:szCs w:val="96"/>
                            </w:rPr>
                          </w:pPr>
                          <w:r w:rsidRPr="00B60A67">
                            <w:rPr>
                              <w:color w:val="FFFFFF"/>
                              <w:sz w:val="96"/>
                              <w:szCs w:val="96"/>
                            </w:rPr>
                            <w:t>PURCHASER INTENT</w:t>
                          </w:r>
                          <w:r>
                            <w:rPr>
                              <w:color w:val="FFFFFF"/>
                              <w:sz w:val="96"/>
                              <w:szCs w:val="96"/>
                            </w:rPr>
                            <w:t xml:space="preserve"> 2017-18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78DF6" id="_x0000_t202" coordsize="21600,21600" o:spt="202" path="m,l,21600r21600,l21600,xe">
              <v:stroke joinstyle="miter"/>
              <v:path gradientshapeok="t" o:connecttype="rect"/>
            </v:shapetype>
            <v:shape id="Text Box 13" o:spid="_x0000_s1026" type="#_x0000_t202" style="position:absolute;left:0;text-align:left;margin-left:13.05pt;margin-top:370.25pt;width:505.6pt;height:1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YtQIAALw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" filled="f" stroked="f">
              <v:textbox>
                <w:txbxContent>
                  <w:p w:rsidR="00F256E2" w:rsidRPr="00B60A67" w:rsidRDefault="00F256E2" w:rsidP="00B60A67">
                    <w:pPr>
                      <w:ind w:left="-142" w:right="-153"/>
                      <w:rPr>
                        <w:color w:val="FFFFFF"/>
                        <w:sz w:val="96"/>
                        <w:szCs w:val="96"/>
                      </w:rPr>
                    </w:pPr>
                    <w:r w:rsidRPr="00B60A67">
                      <w:rPr>
                        <w:color w:val="FFFFFF"/>
                        <w:sz w:val="96"/>
                        <w:szCs w:val="96"/>
                      </w:rPr>
                      <w:t>PURCHASER INTENT</w:t>
                    </w:r>
                    <w:r>
                      <w:rPr>
                        <w:color w:val="FFFFFF"/>
                        <w:sz w:val="96"/>
                        <w:szCs w:val="96"/>
                      </w:rPr>
                      <w:t xml:space="preserve"> 2017-18</w:t>
                    </w:r>
                  </w:p>
                </w:txbxContent>
              </v:textbox>
              <w10:anchorlock/>
            </v:shape>
          </w:pict>
        </mc:Fallback>
      </mc:AlternateContent>
    </w:r>
    <w:r>
      <w:rPr>
        <w:noProof/>
        <w:lang w:eastAsia="en-AU"/>
      </w:rPr>
      <mc:AlternateContent>
        <mc:Choice Requires="wps">
          <w:drawing>
            <wp:anchor distT="0" distB="0" distL="114300" distR="114300" simplePos="0" relativeHeight="251656192" behindDoc="0" locked="1" layoutInCell="1" allowOverlap="1" wp14:anchorId="40C7FA0E" wp14:editId="52D0D316">
              <wp:simplePos x="0" y="0"/>
              <wp:positionH relativeFrom="column">
                <wp:posOffset>165735</wp:posOffset>
              </wp:positionH>
              <wp:positionV relativeFrom="paragraph">
                <wp:posOffset>3969385</wp:posOffset>
              </wp:positionV>
              <wp:extent cx="5309235" cy="683260"/>
              <wp:effectExtent l="0" t="0" r="0" b="254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6E2" w:rsidRPr="004928A5" w:rsidRDefault="00F256E2" w:rsidP="00B60A67">
                          <w:pPr>
                            <w:ind w:left="-142" w:right="-153"/>
                            <w:rPr>
                              <w:b/>
                              <w:color w:val="FFFFFF"/>
                              <w:sz w:val="96"/>
                              <w:szCs w:val="96"/>
                            </w:rPr>
                          </w:pPr>
                          <w:r w:rsidRPr="004928A5">
                            <w:rPr>
                              <w:color w:val="FFFFFF"/>
                              <w:sz w:val="96"/>
                              <w:szCs w:val="96"/>
                            </w:rPr>
                            <w:t xml:space="preserve">STATEMENT OF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FA0E" id="Text Box 14" o:spid="_x0000_s1027" type="#_x0000_t202" style="position:absolute;left:0;text-align:left;margin-left:13.05pt;margin-top:312.55pt;width:418.05pt;height:5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DOuwIAAME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" filled="f" stroked="f">
              <v:textbox>
                <w:txbxContent>
                  <w:p w:rsidR="00F256E2" w:rsidRPr="004928A5" w:rsidRDefault="00F256E2" w:rsidP="00B60A67">
                    <w:pPr>
                      <w:ind w:left="-142" w:right="-153"/>
                      <w:rPr>
                        <w:b/>
                        <w:color w:val="FFFFFF"/>
                        <w:sz w:val="96"/>
                        <w:szCs w:val="96"/>
                      </w:rPr>
                    </w:pPr>
                    <w:r w:rsidRPr="004928A5">
                      <w:rPr>
                        <w:color w:val="FFFFFF"/>
                        <w:sz w:val="96"/>
                        <w:szCs w:val="96"/>
                      </w:rPr>
                      <w:t xml:space="preserve">STATEMENT OF </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Pr="00097E74" w:rsidRDefault="00F256E2" w:rsidP="00097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Pr="00BF56D4" w:rsidRDefault="00F256E2" w:rsidP="00BF56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Pr="00097E74" w:rsidRDefault="00F256E2" w:rsidP="00097E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Pr="00097E74" w:rsidRDefault="00F256E2" w:rsidP="00097E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Default="00F256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6E2" w:rsidRPr="0012611E" w:rsidRDefault="00F256E2" w:rsidP="00643B47">
    <w:pPr>
      <w:pStyle w:val="Header"/>
      <w:tabs>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09A0C2B2"/>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BC529A"/>
    <w:multiLevelType w:val="hybridMultilevel"/>
    <w:tmpl w:val="89308BB4"/>
    <w:lvl w:ilvl="0" w:tplc="FF62E70E">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8" w15:restartNumberingAfterBreak="0">
    <w:nsid w:val="043A594E"/>
    <w:multiLevelType w:val="multilevel"/>
    <w:tmpl w:val="C2CCB7E2"/>
    <w:lvl w:ilvl="0">
      <w:start w:val="1"/>
      <w:numFmt w:val="decimal"/>
      <w:pStyle w:val="Heading1numbered"/>
      <w:lvlText w:val="%1"/>
      <w:lvlJc w:val="left"/>
      <w:pPr>
        <w:tabs>
          <w:tab w:val="num" w:pos="1276"/>
        </w:tabs>
        <w:ind w:left="1276" w:hanging="851"/>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b/>
        <w:i w:val="0"/>
        <w:color w:val="auto"/>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0B6D0743"/>
    <w:multiLevelType w:val="hybridMultilevel"/>
    <w:tmpl w:val="4CF484CA"/>
    <w:lvl w:ilvl="0" w:tplc="20D017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4" w15:restartNumberingAfterBreak="0">
    <w:nsid w:val="24655F70"/>
    <w:multiLevelType w:val="hybridMultilevel"/>
    <w:tmpl w:val="2BB2C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B82BCA"/>
    <w:multiLevelType w:val="hybridMultilevel"/>
    <w:tmpl w:val="349CB2C2"/>
    <w:lvl w:ilvl="0" w:tplc="4B2E880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D77C11"/>
    <w:multiLevelType w:val="hybridMultilevel"/>
    <w:tmpl w:val="D2BE79DA"/>
    <w:lvl w:ilvl="0" w:tplc="5802C0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B4125AF"/>
    <w:multiLevelType w:val="hybridMultilevel"/>
    <w:tmpl w:val="48DC97CA"/>
    <w:lvl w:ilvl="0" w:tplc="C02E2BDE">
      <w:start w:val="1"/>
      <w:numFmt w:val="bullet"/>
      <w:pStyle w:val="ListBullet3"/>
      <w:lvlText w:val="-"/>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0" w15:restartNumberingAfterBreak="0">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1" w15:restartNumberingAfterBreak="0">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3" w15:restartNumberingAfterBreak="0">
    <w:nsid w:val="674472D4"/>
    <w:multiLevelType w:val="hybridMultilevel"/>
    <w:tmpl w:val="E946E7A4"/>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24" w15:restartNumberingAfterBreak="0">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26" w15:restartNumberingAfterBreak="0">
    <w:nsid w:val="701646A3"/>
    <w:multiLevelType w:val="hybridMultilevel"/>
    <w:tmpl w:val="9CA28C9A"/>
    <w:lvl w:ilvl="0" w:tplc="61C2CE6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B656EC"/>
    <w:multiLevelType w:val="multilevel"/>
    <w:tmpl w:val="96FCE0DE"/>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28" w15:restartNumberingAfterBreak="0">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num w:numId="1">
    <w:abstractNumId w:val="25"/>
  </w:num>
  <w:num w:numId="2">
    <w:abstractNumId w:val="21"/>
  </w:num>
  <w:num w:numId="3">
    <w:abstractNumId w:val="11"/>
  </w:num>
  <w:num w:numId="4">
    <w:abstractNumId w:val="5"/>
  </w:num>
  <w:num w:numId="5">
    <w:abstractNumId w:val="4"/>
  </w:num>
  <w:num w:numId="6">
    <w:abstractNumId w:val="3"/>
  </w:num>
  <w:num w:numId="7">
    <w:abstractNumId w:val="2"/>
  </w:num>
  <w:num w:numId="8">
    <w:abstractNumId w:val="1"/>
  </w:num>
  <w:num w:numId="9">
    <w:abstractNumId w:val="0"/>
  </w:num>
  <w:num w:numId="10">
    <w:abstractNumId w:val="6"/>
  </w:num>
  <w:num w:numId="11">
    <w:abstractNumId w:val="20"/>
  </w:num>
  <w:num w:numId="12">
    <w:abstractNumId w:val="12"/>
  </w:num>
  <w:num w:numId="13">
    <w:abstractNumId w:val="13"/>
  </w:num>
  <w:num w:numId="14">
    <w:abstractNumId w:val="27"/>
  </w:num>
  <w:num w:numId="15">
    <w:abstractNumId w:val="29"/>
  </w:num>
  <w:num w:numId="16">
    <w:abstractNumId w:val="28"/>
  </w:num>
  <w:num w:numId="17">
    <w:abstractNumId w:val="9"/>
  </w:num>
  <w:num w:numId="18">
    <w:abstractNumId w:val="24"/>
  </w:num>
  <w:num w:numId="19">
    <w:abstractNumId w:val="18"/>
  </w:num>
  <w:num w:numId="20">
    <w:abstractNumId w:val="16"/>
  </w:num>
  <w:num w:numId="21">
    <w:abstractNumId w:val="22"/>
  </w:num>
  <w:num w:numId="22">
    <w:abstractNumId w:val="19"/>
  </w:num>
  <w:num w:numId="23">
    <w:abstractNumId w:val="15"/>
  </w:num>
  <w:num w:numId="24">
    <w:abstractNumId w:val="26"/>
  </w:num>
  <w:num w:numId="25">
    <w:abstractNumId w:val="14"/>
  </w:num>
  <w:num w:numId="26">
    <w:abstractNumId w:val="8"/>
  </w:num>
  <w:num w:numId="27">
    <w:abstractNumId w:val="23"/>
  </w:num>
  <w:num w:numId="28">
    <w:abstractNumId w:val="17"/>
  </w:num>
  <w:num w:numId="29">
    <w:abstractNumId w:val="7"/>
  </w:num>
  <w:num w:numId="30">
    <w:abstractNumId w:val="10"/>
  </w:num>
  <w:num w:numId="31">
    <w:abstractNumId w:val="12"/>
  </w:num>
  <w:num w:numId="32">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mirrorMargins/>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A67"/>
    <w:rsid w:val="000004F7"/>
    <w:rsid w:val="00001E5A"/>
    <w:rsid w:val="000026EB"/>
    <w:rsid w:val="00002C32"/>
    <w:rsid w:val="00002EE3"/>
    <w:rsid w:val="0000348D"/>
    <w:rsid w:val="00005775"/>
    <w:rsid w:val="00006E98"/>
    <w:rsid w:val="00007B9D"/>
    <w:rsid w:val="0001053E"/>
    <w:rsid w:val="00011E63"/>
    <w:rsid w:val="0001277D"/>
    <w:rsid w:val="000129D9"/>
    <w:rsid w:val="00012FE4"/>
    <w:rsid w:val="00014D86"/>
    <w:rsid w:val="00015EEE"/>
    <w:rsid w:val="00017857"/>
    <w:rsid w:val="00017BE3"/>
    <w:rsid w:val="00017F05"/>
    <w:rsid w:val="00020B84"/>
    <w:rsid w:val="00021248"/>
    <w:rsid w:val="00021F00"/>
    <w:rsid w:val="00021F9E"/>
    <w:rsid w:val="00023BAB"/>
    <w:rsid w:val="0002449F"/>
    <w:rsid w:val="00024D7F"/>
    <w:rsid w:val="00031784"/>
    <w:rsid w:val="00040603"/>
    <w:rsid w:val="000407B8"/>
    <w:rsid w:val="00042312"/>
    <w:rsid w:val="00042D1A"/>
    <w:rsid w:val="00043514"/>
    <w:rsid w:val="0005381B"/>
    <w:rsid w:val="00053A7A"/>
    <w:rsid w:val="00055451"/>
    <w:rsid w:val="00056C99"/>
    <w:rsid w:val="00057640"/>
    <w:rsid w:val="00057DB7"/>
    <w:rsid w:val="00060F93"/>
    <w:rsid w:val="00062C1D"/>
    <w:rsid w:val="00063E79"/>
    <w:rsid w:val="00065D10"/>
    <w:rsid w:val="00067CA5"/>
    <w:rsid w:val="00067D05"/>
    <w:rsid w:val="000712CC"/>
    <w:rsid w:val="00072267"/>
    <w:rsid w:val="00073EF7"/>
    <w:rsid w:val="0007506B"/>
    <w:rsid w:val="000759B2"/>
    <w:rsid w:val="00080E9A"/>
    <w:rsid w:val="00081BB8"/>
    <w:rsid w:val="000827B2"/>
    <w:rsid w:val="000828CE"/>
    <w:rsid w:val="000829C4"/>
    <w:rsid w:val="00084864"/>
    <w:rsid w:val="00084AEC"/>
    <w:rsid w:val="00084D71"/>
    <w:rsid w:val="00085106"/>
    <w:rsid w:val="00085346"/>
    <w:rsid w:val="00085D5A"/>
    <w:rsid w:val="000868E0"/>
    <w:rsid w:val="00087251"/>
    <w:rsid w:val="00087CB3"/>
    <w:rsid w:val="00092CE8"/>
    <w:rsid w:val="000949D5"/>
    <w:rsid w:val="000953BB"/>
    <w:rsid w:val="00097E74"/>
    <w:rsid w:val="000A1196"/>
    <w:rsid w:val="000A1C47"/>
    <w:rsid w:val="000A1F0C"/>
    <w:rsid w:val="000A36A8"/>
    <w:rsid w:val="000A4D24"/>
    <w:rsid w:val="000A7FD2"/>
    <w:rsid w:val="000B0B08"/>
    <w:rsid w:val="000B16A6"/>
    <w:rsid w:val="000B1F78"/>
    <w:rsid w:val="000B23C9"/>
    <w:rsid w:val="000B3338"/>
    <w:rsid w:val="000B44CE"/>
    <w:rsid w:val="000B4537"/>
    <w:rsid w:val="000B7E2A"/>
    <w:rsid w:val="000C0AC6"/>
    <w:rsid w:val="000C274E"/>
    <w:rsid w:val="000C36FD"/>
    <w:rsid w:val="000C3BEE"/>
    <w:rsid w:val="000C40B7"/>
    <w:rsid w:val="000C40C6"/>
    <w:rsid w:val="000C44B0"/>
    <w:rsid w:val="000C58E0"/>
    <w:rsid w:val="000C604D"/>
    <w:rsid w:val="000C6755"/>
    <w:rsid w:val="000C74B6"/>
    <w:rsid w:val="000C7580"/>
    <w:rsid w:val="000D036B"/>
    <w:rsid w:val="000D10FD"/>
    <w:rsid w:val="000D23B6"/>
    <w:rsid w:val="000D2CBA"/>
    <w:rsid w:val="000D3339"/>
    <w:rsid w:val="000D3E98"/>
    <w:rsid w:val="000D415D"/>
    <w:rsid w:val="000D4167"/>
    <w:rsid w:val="000D4231"/>
    <w:rsid w:val="000D4360"/>
    <w:rsid w:val="000D78BD"/>
    <w:rsid w:val="000D7C40"/>
    <w:rsid w:val="000D7F07"/>
    <w:rsid w:val="000E05DE"/>
    <w:rsid w:val="000E2971"/>
    <w:rsid w:val="000E2BBD"/>
    <w:rsid w:val="000F0CB7"/>
    <w:rsid w:val="000F0E15"/>
    <w:rsid w:val="000F24E3"/>
    <w:rsid w:val="000F3A7F"/>
    <w:rsid w:val="000F4897"/>
    <w:rsid w:val="000F4EB9"/>
    <w:rsid w:val="000F6362"/>
    <w:rsid w:val="00100153"/>
    <w:rsid w:val="00100326"/>
    <w:rsid w:val="0010037C"/>
    <w:rsid w:val="00100955"/>
    <w:rsid w:val="001013B0"/>
    <w:rsid w:val="00102BC7"/>
    <w:rsid w:val="001033B4"/>
    <w:rsid w:val="0010347B"/>
    <w:rsid w:val="0010670A"/>
    <w:rsid w:val="0010701E"/>
    <w:rsid w:val="0011107E"/>
    <w:rsid w:val="00111B66"/>
    <w:rsid w:val="00113019"/>
    <w:rsid w:val="00114B89"/>
    <w:rsid w:val="001169DD"/>
    <w:rsid w:val="0011701D"/>
    <w:rsid w:val="00117217"/>
    <w:rsid w:val="00117288"/>
    <w:rsid w:val="00117689"/>
    <w:rsid w:val="00120C17"/>
    <w:rsid w:val="00120FE7"/>
    <w:rsid w:val="001235DD"/>
    <w:rsid w:val="00124D01"/>
    <w:rsid w:val="0012541B"/>
    <w:rsid w:val="00125644"/>
    <w:rsid w:val="00125889"/>
    <w:rsid w:val="0012611E"/>
    <w:rsid w:val="00130D03"/>
    <w:rsid w:val="001324C5"/>
    <w:rsid w:val="00133533"/>
    <w:rsid w:val="00133E5F"/>
    <w:rsid w:val="00134EBE"/>
    <w:rsid w:val="00135C5A"/>
    <w:rsid w:val="00137597"/>
    <w:rsid w:val="00137F48"/>
    <w:rsid w:val="00140DEA"/>
    <w:rsid w:val="00142987"/>
    <w:rsid w:val="00142DF0"/>
    <w:rsid w:val="00144090"/>
    <w:rsid w:val="0014473C"/>
    <w:rsid w:val="0014670A"/>
    <w:rsid w:val="00150F6B"/>
    <w:rsid w:val="0015136E"/>
    <w:rsid w:val="00153190"/>
    <w:rsid w:val="00153BBF"/>
    <w:rsid w:val="00154930"/>
    <w:rsid w:val="00155CA1"/>
    <w:rsid w:val="00156887"/>
    <w:rsid w:val="00157013"/>
    <w:rsid w:val="001571BE"/>
    <w:rsid w:val="00157DEE"/>
    <w:rsid w:val="00157E99"/>
    <w:rsid w:val="001617B1"/>
    <w:rsid w:val="00161E95"/>
    <w:rsid w:val="001625B7"/>
    <w:rsid w:val="00162AEE"/>
    <w:rsid w:val="00162B60"/>
    <w:rsid w:val="00163376"/>
    <w:rsid w:val="00164833"/>
    <w:rsid w:val="00165354"/>
    <w:rsid w:val="001665AF"/>
    <w:rsid w:val="00167D12"/>
    <w:rsid w:val="00170A3C"/>
    <w:rsid w:val="00170FD0"/>
    <w:rsid w:val="0017210E"/>
    <w:rsid w:val="00172DCB"/>
    <w:rsid w:val="00173443"/>
    <w:rsid w:val="0017555D"/>
    <w:rsid w:val="00175DF9"/>
    <w:rsid w:val="00176115"/>
    <w:rsid w:val="00177770"/>
    <w:rsid w:val="00180714"/>
    <w:rsid w:val="00180B1A"/>
    <w:rsid w:val="00184D0E"/>
    <w:rsid w:val="00185343"/>
    <w:rsid w:val="00186274"/>
    <w:rsid w:val="001876D0"/>
    <w:rsid w:val="001879FF"/>
    <w:rsid w:val="001920A1"/>
    <w:rsid w:val="001920C1"/>
    <w:rsid w:val="00192401"/>
    <w:rsid w:val="00194268"/>
    <w:rsid w:val="00196F1C"/>
    <w:rsid w:val="00197AFB"/>
    <w:rsid w:val="001A4FEB"/>
    <w:rsid w:val="001A5532"/>
    <w:rsid w:val="001A64E5"/>
    <w:rsid w:val="001A7269"/>
    <w:rsid w:val="001A7632"/>
    <w:rsid w:val="001B1224"/>
    <w:rsid w:val="001B1513"/>
    <w:rsid w:val="001B176C"/>
    <w:rsid w:val="001B1B17"/>
    <w:rsid w:val="001B25E4"/>
    <w:rsid w:val="001B2CB2"/>
    <w:rsid w:val="001B2E75"/>
    <w:rsid w:val="001B38CF"/>
    <w:rsid w:val="001B4A09"/>
    <w:rsid w:val="001B5BD4"/>
    <w:rsid w:val="001B63CF"/>
    <w:rsid w:val="001B6F8A"/>
    <w:rsid w:val="001C0C51"/>
    <w:rsid w:val="001C3670"/>
    <w:rsid w:val="001C4795"/>
    <w:rsid w:val="001C493F"/>
    <w:rsid w:val="001C5598"/>
    <w:rsid w:val="001C5A25"/>
    <w:rsid w:val="001C5E12"/>
    <w:rsid w:val="001D0C84"/>
    <w:rsid w:val="001D1666"/>
    <w:rsid w:val="001D2E21"/>
    <w:rsid w:val="001D416F"/>
    <w:rsid w:val="001D512B"/>
    <w:rsid w:val="001D5DB6"/>
    <w:rsid w:val="001D68D8"/>
    <w:rsid w:val="001E039B"/>
    <w:rsid w:val="001E095C"/>
    <w:rsid w:val="001E1B46"/>
    <w:rsid w:val="001E2817"/>
    <w:rsid w:val="001E3C8F"/>
    <w:rsid w:val="001E431C"/>
    <w:rsid w:val="001E54A4"/>
    <w:rsid w:val="001E68BF"/>
    <w:rsid w:val="001E7502"/>
    <w:rsid w:val="001E7AEF"/>
    <w:rsid w:val="001F06F3"/>
    <w:rsid w:val="001F1C44"/>
    <w:rsid w:val="001F3319"/>
    <w:rsid w:val="001F3BC7"/>
    <w:rsid w:val="001F461D"/>
    <w:rsid w:val="001F632E"/>
    <w:rsid w:val="001F688A"/>
    <w:rsid w:val="00200DD7"/>
    <w:rsid w:val="0020100B"/>
    <w:rsid w:val="00201A8F"/>
    <w:rsid w:val="0020211E"/>
    <w:rsid w:val="002044E4"/>
    <w:rsid w:val="002045AF"/>
    <w:rsid w:val="002050CA"/>
    <w:rsid w:val="0021022B"/>
    <w:rsid w:val="002117DF"/>
    <w:rsid w:val="002128CB"/>
    <w:rsid w:val="00215BEF"/>
    <w:rsid w:val="002164E5"/>
    <w:rsid w:val="00223A1C"/>
    <w:rsid w:val="00223BEA"/>
    <w:rsid w:val="00223CA8"/>
    <w:rsid w:val="00224264"/>
    <w:rsid w:val="0022433F"/>
    <w:rsid w:val="00225CA4"/>
    <w:rsid w:val="00225E69"/>
    <w:rsid w:val="00226EA0"/>
    <w:rsid w:val="00226FF7"/>
    <w:rsid w:val="00230386"/>
    <w:rsid w:val="00232431"/>
    <w:rsid w:val="002346F5"/>
    <w:rsid w:val="00234DBD"/>
    <w:rsid w:val="00235810"/>
    <w:rsid w:val="002361E3"/>
    <w:rsid w:val="00236D6A"/>
    <w:rsid w:val="002404EF"/>
    <w:rsid w:val="0024085D"/>
    <w:rsid w:val="00240A6D"/>
    <w:rsid w:val="00241644"/>
    <w:rsid w:val="00242F45"/>
    <w:rsid w:val="00243D4D"/>
    <w:rsid w:val="00251035"/>
    <w:rsid w:val="00253C89"/>
    <w:rsid w:val="00254537"/>
    <w:rsid w:val="00254B7C"/>
    <w:rsid w:val="00254EAD"/>
    <w:rsid w:val="002562FE"/>
    <w:rsid w:val="002616CB"/>
    <w:rsid w:val="002643D7"/>
    <w:rsid w:val="00265123"/>
    <w:rsid w:val="0026595A"/>
    <w:rsid w:val="00265A90"/>
    <w:rsid w:val="00266D7B"/>
    <w:rsid w:val="00273210"/>
    <w:rsid w:val="00275083"/>
    <w:rsid w:val="00275BDE"/>
    <w:rsid w:val="0027677C"/>
    <w:rsid w:val="00280D0D"/>
    <w:rsid w:val="00281AC2"/>
    <w:rsid w:val="00284181"/>
    <w:rsid w:val="002841FE"/>
    <w:rsid w:val="002843C3"/>
    <w:rsid w:val="0028453D"/>
    <w:rsid w:val="00285420"/>
    <w:rsid w:val="002855A6"/>
    <w:rsid w:val="002901DA"/>
    <w:rsid w:val="00291168"/>
    <w:rsid w:val="002921BA"/>
    <w:rsid w:val="00292EC6"/>
    <w:rsid w:val="00292F01"/>
    <w:rsid w:val="002A1512"/>
    <w:rsid w:val="002A1995"/>
    <w:rsid w:val="002A2B2F"/>
    <w:rsid w:val="002A36BE"/>
    <w:rsid w:val="002A3AE0"/>
    <w:rsid w:val="002A4377"/>
    <w:rsid w:val="002A4E0D"/>
    <w:rsid w:val="002A65F8"/>
    <w:rsid w:val="002A755C"/>
    <w:rsid w:val="002A7A43"/>
    <w:rsid w:val="002A7E6E"/>
    <w:rsid w:val="002B0715"/>
    <w:rsid w:val="002B0A22"/>
    <w:rsid w:val="002B0A4D"/>
    <w:rsid w:val="002B17FE"/>
    <w:rsid w:val="002B1DE4"/>
    <w:rsid w:val="002B1E7F"/>
    <w:rsid w:val="002B3A72"/>
    <w:rsid w:val="002B481D"/>
    <w:rsid w:val="002B48C7"/>
    <w:rsid w:val="002B5297"/>
    <w:rsid w:val="002B5575"/>
    <w:rsid w:val="002B5FC6"/>
    <w:rsid w:val="002C0995"/>
    <w:rsid w:val="002C1019"/>
    <w:rsid w:val="002C4689"/>
    <w:rsid w:val="002C47DA"/>
    <w:rsid w:val="002C5818"/>
    <w:rsid w:val="002C6266"/>
    <w:rsid w:val="002C70C1"/>
    <w:rsid w:val="002C7E5F"/>
    <w:rsid w:val="002D11D2"/>
    <w:rsid w:val="002D3F09"/>
    <w:rsid w:val="002D4F98"/>
    <w:rsid w:val="002D61CD"/>
    <w:rsid w:val="002E29B1"/>
    <w:rsid w:val="002E2DA8"/>
    <w:rsid w:val="002E376F"/>
    <w:rsid w:val="002E50C1"/>
    <w:rsid w:val="002E5631"/>
    <w:rsid w:val="002E61E1"/>
    <w:rsid w:val="002E7D56"/>
    <w:rsid w:val="002F0B35"/>
    <w:rsid w:val="002F0CF3"/>
    <w:rsid w:val="002F1215"/>
    <w:rsid w:val="002F13DD"/>
    <w:rsid w:val="002F13E1"/>
    <w:rsid w:val="002F2F74"/>
    <w:rsid w:val="002F472E"/>
    <w:rsid w:val="002F65C1"/>
    <w:rsid w:val="002F67C5"/>
    <w:rsid w:val="002F69F6"/>
    <w:rsid w:val="002F7AD2"/>
    <w:rsid w:val="00301924"/>
    <w:rsid w:val="003019C9"/>
    <w:rsid w:val="00302E21"/>
    <w:rsid w:val="00304FAF"/>
    <w:rsid w:val="003070A4"/>
    <w:rsid w:val="0031023E"/>
    <w:rsid w:val="00311020"/>
    <w:rsid w:val="00311F75"/>
    <w:rsid w:val="00312BC3"/>
    <w:rsid w:val="00314ACB"/>
    <w:rsid w:val="00315E71"/>
    <w:rsid w:val="00317F15"/>
    <w:rsid w:val="00321AEE"/>
    <w:rsid w:val="00321E8D"/>
    <w:rsid w:val="00323AEC"/>
    <w:rsid w:val="00323B95"/>
    <w:rsid w:val="00324F6C"/>
    <w:rsid w:val="00325CA5"/>
    <w:rsid w:val="0032759C"/>
    <w:rsid w:val="00330788"/>
    <w:rsid w:val="00330FBC"/>
    <w:rsid w:val="003312FD"/>
    <w:rsid w:val="00336B25"/>
    <w:rsid w:val="0033791C"/>
    <w:rsid w:val="003404CA"/>
    <w:rsid w:val="003407D2"/>
    <w:rsid w:val="003416D4"/>
    <w:rsid w:val="003424DF"/>
    <w:rsid w:val="00342FA4"/>
    <w:rsid w:val="00344418"/>
    <w:rsid w:val="00344B6D"/>
    <w:rsid w:val="00344E87"/>
    <w:rsid w:val="0034674C"/>
    <w:rsid w:val="00346F09"/>
    <w:rsid w:val="00350BC8"/>
    <w:rsid w:val="00350BF5"/>
    <w:rsid w:val="00352FEB"/>
    <w:rsid w:val="003530C6"/>
    <w:rsid w:val="0035353C"/>
    <w:rsid w:val="00353AC4"/>
    <w:rsid w:val="00354270"/>
    <w:rsid w:val="00354AC8"/>
    <w:rsid w:val="00354B99"/>
    <w:rsid w:val="00354D7A"/>
    <w:rsid w:val="00355CA9"/>
    <w:rsid w:val="00356B87"/>
    <w:rsid w:val="003573C3"/>
    <w:rsid w:val="0035794F"/>
    <w:rsid w:val="00357ABF"/>
    <w:rsid w:val="00360D1B"/>
    <w:rsid w:val="003630A5"/>
    <w:rsid w:val="003634C1"/>
    <w:rsid w:val="0036377D"/>
    <w:rsid w:val="003637CA"/>
    <w:rsid w:val="00363F0E"/>
    <w:rsid w:val="00364229"/>
    <w:rsid w:val="00364387"/>
    <w:rsid w:val="003655BE"/>
    <w:rsid w:val="00366724"/>
    <w:rsid w:val="00366EA5"/>
    <w:rsid w:val="00367242"/>
    <w:rsid w:val="0037041C"/>
    <w:rsid w:val="00370B21"/>
    <w:rsid w:val="003712CB"/>
    <w:rsid w:val="003713D1"/>
    <w:rsid w:val="003810C5"/>
    <w:rsid w:val="00381794"/>
    <w:rsid w:val="00382F7F"/>
    <w:rsid w:val="00383727"/>
    <w:rsid w:val="00385473"/>
    <w:rsid w:val="00386C00"/>
    <w:rsid w:val="003902A3"/>
    <w:rsid w:val="003926B2"/>
    <w:rsid w:val="00393324"/>
    <w:rsid w:val="00393509"/>
    <w:rsid w:val="00395220"/>
    <w:rsid w:val="00395505"/>
    <w:rsid w:val="00395C08"/>
    <w:rsid w:val="00396BAE"/>
    <w:rsid w:val="003974A6"/>
    <w:rsid w:val="003A0BC9"/>
    <w:rsid w:val="003A26BF"/>
    <w:rsid w:val="003A3067"/>
    <w:rsid w:val="003A6AEE"/>
    <w:rsid w:val="003A7704"/>
    <w:rsid w:val="003B0F21"/>
    <w:rsid w:val="003B0F26"/>
    <w:rsid w:val="003B2E1E"/>
    <w:rsid w:val="003B2E67"/>
    <w:rsid w:val="003B31B7"/>
    <w:rsid w:val="003B361D"/>
    <w:rsid w:val="003B61A8"/>
    <w:rsid w:val="003B737A"/>
    <w:rsid w:val="003B7521"/>
    <w:rsid w:val="003C054A"/>
    <w:rsid w:val="003C100A"/>
    <w:rsid w:val="003C233A"/>
    <w:rsid w:val="003C2B9A"/>
    <w:rsid w:val="003C3816"/>
    <w:rsid w:val="003C3FB7"/>
    <w:rsid w:val="003C46AE"/>
    <w:rsid w:val="003C5278"/>
    <w:rsid w:val="003C52AD"/>
    <w:rsid w:val="003C7C3C"/>
    <w:rsid w:val="003D2205"/>
    <w:rsid w:val="003D253E"/>
    <w:rsid w:val="003D2E57"/>
    <w:rsid w:val="003D49CC"/>
    <w:rsid w:val="003D4EBA"/>
    <w:rsid w:val="003D65E6"/>
    <w:rsid w:val="003E06D1"/>
    <w:rsid w:val="003E2D97"/>
    <w:rsid w:val="003E4EE6"/>
    <w:rsid w:val="003E643A"/>
    <w:rsid w:val="003E6D0E"/>
    <w:rsid w:val="003E75AB"/>
    <w:rsid w:val="003F0F8F"/>
    <w:rsid w:val="003F3A65"/>
    <w:rsid w:val="003F5584"/>
    <w:rsid w:val="003F65CC"/>
    <w:rsid w:val="003F6723"/>
    <w:rsid w:val="003F67A8"/>
    <w:rsid w:val="003F7981"/>
    <w:rsid w:val="003F7DC3"/>
    <w:rsid w:val="00401155"/>
    <w:rsid w:val="0040149B"/>
    <w:rsid w:val="00401FF4"/>
    <w:rsid w:val="00402640"/>
    <w:rsid w:val="0040412F"/>
    <w:rsid w:val="004048CA"/>
    <w:rsid w:val="00405C70"/>
    <w:rsid w:val="00406C17"/>
    <w:rsid w:val="00407AF0"/>
    <w:rsid w:val="00410E61"/>
    <w:rsid w:val="00411F7E"/>
    <w:rsid w:val="00412573"/>
    <w:rsid w:val="0041337A"/>
    <w:rsid w:val="004134FA"/>
    <w:rsid w:val="00414806"/>
    <w:rsid w:val="00414D2B"/>
    <w:rsid w:val="00415A10"/>
    <w:rsid w:val="00415E90"/>
    <w:rsid w:val="00417D6F"/>
    <w:rsid w:val="004211BD"/>
    <w:rsid w:val="00421860"/>
    <w:rsid w:val="004219E0"/>
    <w:rsid w:val="004219E3"/>
    <w:rsid w:val="00421B60"/>
    <w:rsid w:val="00422CCF"/>
    <w:rsid w:val="00423BE0"/>
    <w:rsid w:val="00423D76"/>
    <w:rsid w:val="00424EFA"/>
    <w:rsid w:val="00425E49"/>
    <w:rsid w:val="00426A5F"/>
    <w:rsid w:val="004270FC"/>
    <w:rsid w:val="004272AC"/>
    <w:rsid w:val="004277C9"/>
    <w:rsid w:val="00430FC4"/>
    <w:rsid w:val="0043316A"/>
    <w:rsid w:val="00433C94"/>
    <w:rsid w:val="004348BF"/>
    <w:rsid w:val="004358BA"/>
    <w:rsid w:val="0043653F"/>
    <w:rsid w:val="00436BBB"/>
    <w:rsid w:val="00436D5C"/>
    <w:rsid w:val="00436F24"/>
    <w:rsid w:val="00436FCC"/>
    <w:rsid w:val="00437355"/>
    <w:rsid w:val="004413E8"/>
    <w:rsid w:val="004442D4"/>
    <w:rsid w:val="00444AAA"/>
    <w:rsid w:val="004452E5"/>
    <w:rsid w:val="0044597D"/>
    <w:rsid w:val="00446ADA"/>
    <w:rsid w:val="00451C1A"/>
    <w:rsid w:val="00452884"/>
    <w:rsid w:val="004558BC"/>
    <w:rsid w:val="00455D71"/>
    <w:rsid w:val="00455EC8"/>
    <w:rsid w:val="0045643B"/>
    <w:rsid w:val="0045647C"/>
    <w:rsid w:val="00456F31"/>
    <w:rsid w:val="00457470"/>
    <w:rsid w:val="004605B2"/>
    <w:rsid w:val="004631DB"/>
    <w:rsid w:val="00463CA9"/>
    <w:rsid w:val="00464544"/>
    <w:rsid w:val="004656B9"/>
    <w:rsid w:val="00466290"/>
    <w:rsid w:val="00466F2A"/>
    <w:rsid w:val="004674B2"/>
    <w:rsid w:val="0046786D"/>
    <w:rsid w:val="0047139E"/>
    <w:rsid w:val="00474773"/>
    <w:rsid w:val="00474AFE"/>
    <w:rsid w:val="00475061"/>
    <w:rsid w:val="00475C48"/>
    <w:rsid w:val="00476F0E"/>
    <w:rsid w:val="0047766A"/>
    <w:rsid w:val="00477C05"/>
    <w:rsid w:val="00480E11"/>
    <w:rsid w:val="0048341D"/>
    <w:rsid w:val="00484025"/>
    <w:rsid w:val="0049050B"/>
    <w:rsid w:val="00490E32"/>
    <w:rsid w:val="004921C0"/>
    <w:rsid w:val="004928A5"/>
    <w:rsid w:val="00492E51"/>
    <w:rsid w:val="004955CA"/>
    <w:rsid w:val="00495A45"/>
    <w:rsid w:val="0049607E"/>
    <w:rsid w:val="0049616C"/>
    <w:rsid w:val="0049678A"/>
    <w:rsid w:val="004971C5"/>
    <w:rsid w:val="00497558"/>
    <w:rsid w:val="0049770A"/>
    <w:rsid w:val="0049788B"/>
    <w:rsid w:val="00497A01"/>
    <w:rsid w:val="004A058D"/>
    <w:rsid w:val="004A05F8"/>
    <w:rsid w:val="004A0E35"/>
    <w:rsid w:val="004A17DA"/>
    <w:rsid w:val="004A2486"/>
    <w:rsid w:val="004A2DDB"/>
    <w:rsid w:val="004A3540"/>
    <w:rsid w:val="004A36AD"/>
    <w:rsid w:val="004A3E90"/>
    <w:rsid w:val="004A4B0D"/>
    <w:rsid w:val="004A56DC"/>
    <w:rsid w:val="004A693C"/>
    <w:rsid w:val="004A6DFA"/>
    <w:rsid w:val="004A73D7"/>
    <w:rsid w:val="004B174B"/>
    <w:rsid w:val="004B1BE5"/>
    <w:rsid w:val="004B305A"/>
    <w:rsid w:val="004B7203"/>
    <w:rsid w:val="004B731D"/>
    <w:rsid w:val="004C0986"/>
    <w:rsid w:val="004C1C0B"/>
    <w:rsid w:val="004C207E"/>
    <w:rsid w:val="004C2577"/>
    <w:rsid w:val="004C2998"/>
    <w:rsid w:val="004C307E"/>
    <w:rsid w:val="004C45B8"/>
    <w:rsid w:val="004C4DD2"/>
    <w:rsid w:val="004C4EF6"/>
    <w:rsid w:val="004C5638"/>
    <w:rsid w:val="004C5D5C"/>
    <w:rsid w:val="004C64FD"/>
    <w:rsid w:val="004C6CD0"/>
    <w:rsid w:val="004C6D79"/>
    <w:rsid w:val="004C74C0"/>
    <w:rsid w:val="004D1259"/>
    <w:rsid w:val="004D13E6"/>
    <w:rsid w:val="004D1E6B"/>
    <w:rsid w:val="004D294A"/>
    <w:rsid w:val="004D33B8"/>
    <w:rsid w:val="004D3A7E"/>
    <w:rsid w:val="004D77AA"/>
    <w:rsid w:val="004D7AF6"/>
    <w:rsid w:val="004D7DFA"/>
    <w:rsid w:val="004E01B0"/>
    <w:rsid w:val="004E216A"/>
    <w:rsid w:val="004E2459"/>
    <w:rsid w:val="004E3B93"/>
    <w:rsid w:val="004E413C"/>
    <w:rsid w:val="004E5283"/>
    <w:rsid w:val="004E5EEE"/>
    <w:rsid w:val="004E7ACF"/>
    <w:rsid w:val="004F114D"/>
    <w:rsid w:val="004F2327"/>
    <w:rsid w:val="004F41D1"/>
    <w:rsid w:val="004F47D0"/>
    <w:rsid w:val="004F5F06"/>
    <w:rsid w:val="004F6478"/>
    <w:rsid w:val="004F6AD6"/>
    <w:rsid w:val="004F7893"/>
    <w:rsid w:val="004F7B69"/>
    <w:rsid w:val="005021D3"/>
    <w:rsid w:val="005025AD"/>
    <w:rsid w:val="00505562"/>
    <w:rsid w:val="00505EBC"/>
    <w:rsid w:val="00507DF5"/>
    <w:rsid w:val="00507E15"/>
    <w:rsid w:val="00510BF0"/>
    <w:rsid w:val="00510F4A"/>
    <w:rsid w:val="0051129F"/>
    <w:rsid w:val="00512AC3"/>
    <w:rsid w:val="00513F44"/>
    <w:rsid w:val="005141C4"/>
    <w:rsid w:val="00515A26"/>
    <w:rsid w:val="00515AF1"/>
    <w:rsid w:val="00515F0D"/>
    <w:rsid w:val="0051667A"/>
    <w:rsid w:val="00516D1E"/>
    <w:rsid w:val="00517038"/>
    <w:rsid w:val="0051787F"/>
    <w:rsid w:val="00520802"/>
    <w:rsid w:val="00520920"/>
    <w:rsid w:val="00522DE3"/>
    <w:rsid w:val="00524402"/>
    <w:rsid w:val="005253E7"/>
    <w:rsid w:val="005257A6"/>
    <w:rsid w:val="005263BE"/>
    <w:rsid w:val="00526688"/>
    <w:rsid w:val="00526757"/>
    <w:rsid w:val="00527D62"/>
    <w:rsid w:val="005308BD"/>
    <w:rsid w:val="005316D2"/>
    <w:rsid w:val="00531B87"/>
    <w:rsid w:val="00531E2D"/>
    <w:rsid w:val="005324CC"/>
    <w:rsid w:val="00534CAA"/>
    <w:rsid w:val="00535146"/>
    <w:rsid w:val="0053543B"/>
    <w:rsid w:val="00535453"/>
    <w:rsid w:val="00535EA6"/>
    <w:rsid w:val="00541541"/>
    <w:rsid w:val="00542648"/>
    <w:rsid w:val="00543417"/>
    <w:rsid w:val="00544143"/>
    <w:rsid w:val="00544512"/>
    <w:rsid w:val="00544A9F"/>
    <w:rsid w:val="00547A78"/>
    <w:rsid w:val="00550972"/>
    <w:rsid w:val="00551567"/>
    <w:rsid w:val="0055166F"/>
    <w:rsid w:val="00551B98"/>
    <w:rsid w:val="005533C3"/>
    <w:rsid w:val="0055364A"/>
    <w:rsid w:val="00553F97"/>
    <w:rsid w:val="00554786"/>
    <w:rsid w:val="00557211"/>
    <w:rsid w:val="00557EB1"/>
    <w:rsid w:val="00557F05"/>
    <w:rsid w:val="005600F4"/>
    <w:rsid w:val="00560E23"/>
    <w:rsid w:val="00561E45"/>
    <w:rsid w:val="00563997"/>
    <w:rsid w:val="00563F78"/>
    <w:rsid w:val="00571136"/>
    <w:rsid w:val="00571D8D"/>
    <w:rsid w:val="00571E55"/>
    <w:rsid w:val="0057270F"/>
    <w:rsid w:val="0057325A"/>
    <w:rsid w:val="0057343E"/>
    <w:rsid w:val="00573D35"/>
    <w:rsid w:val="0057412D"/>
    <w:rsid w:val="00574205"/>
    <w:rsid w:val="00576215"/>
    <w:rsid w:val="00580029"/>
    <w:rsid w:val="005807F1"/>
    <w:rsid w:val="00580CA3"/>
    <w:rsid w:val="00580D3F"/>
    <w:rsid w:val="00581404"/>
    <w:rsid w:val="0058182F"/>
    <w:rsid w:val="0058237A"/>
    <w:rsid w:val="00583011"/>
    <w:rsid w:val="005844E3"/>
    <w:rsid w:val="00584818"/>
    <w:rsid w:val="00584839"/>
    <w:rsid w:val="005853AA"/>
    <w:rsid w:val="0058556B"/>
    <w:rsid w:val="005855BB"/>
    <w:rsid w:val="0058693E"/>
    <w:rsid w:val="00587A97"/>
    <w:rsid w:val="00590C45"/>
    <w:rsid w:val="00590FFC"/>
    <w:rsid w:val="00591685"/>
    <w:rsid w:val="005919B7"/>
    <w:rsid w:val="00591CBE"/>
    <w:rsid w:val="00592C7A"/>
    <w:rsid w:val="00593AD3"/>
    <w:rsid w:val="00593EC0"/>
    <w:rsid w:val="005942E0"/>
    <w:rsid w:val="005947A3"/>
    <w:rsid w:val="005958D3"/>
    <w:rsid w:val="00595BA7"/>
    <w:rsid w:val="0059612E"/>
    <w:rsid w:val="0059763F"/>
    <w:rsid w:val="005A097D"/>
    <w:rsid w:val="005A10CE"/>
    <w:rsid w:val="005A2989"/>
    <w:rsid w:val="005A2D94"/>
    <w:rsid w:val="005A41BF"/>
    <w:rsid w:val="005A4229"/>
    <w:rsid w:val="005A62AB"/>
    <w:rsid w:val="005A64B9"/>
    <w:rsid w:val="005B108E"/>
    <w:rsid w:val="005B199F"/>
    <w:rsid w:val="005B1CF4"/>
    <w:rsid w:val="005B2A62"/>
    <w:rsid w:val="005B43AE"/>
    <w:rsid w:val="005B4765"/>
    <w:rsid w:val="005B4C87"/>
    <w:rsid w:val="005B729D"/>
    <w:rsid w:val="005B7B24"/>
    <w:rsid w:val="005C04A0"/>
    <w:rsid w:val="005C12C5"/>
    <w:rsid w:val="005C3054"/>
    <w:rsid w:val="005C3714"/>
    <w:rsid w:val="005C5121"/>
    <w:rsid w:val="005C59BD"/>
    <w:rsid w:val="005C636C"/>
    <w:rsid w:val="005C6AD8"/>
    <w:rsid w:val="005C6DF1"/>
    <w:rsid w:val="005C75AA"/>
    <w:rsid w:val="005C79A7"/>
    <w:rsid w:val="005D07DF"/>
    <w:rsid w:val="005D10D1"/>
    <w:rsid w:val="005D1398"/>
    <w:rsid w:val="005D1C4C"/>
    <w:rsid w:val="005D2421"/>
    <w:rsid w:val="005D3BA7"/>
    <w:rsid w:val="005D4197"/>
    <w:rsid w:val="005D4B4F"/>
    <w:rsid w:val="005D4BBB"/>
    <w:rsid w:val="005D4D0A"/>
    <w:rsid w:val="005D57A4"/>
    <w:rsid w:val="005D6410"/>
    <w:rsid w:val="005D755C"/>
    <w:rsid w:val="005E025B"/>
    <w:rsid w:val="005E2617"/>
    <w:rsid w:val="005E28E5"/>
    <w:rsid w:val="005E3689"/>
    <w:rsid w:val="005E3970"/>
    <w:rsid w:val="005E3E41"/>
    <w:rsid w:val="005E481D"/>
    <w:rsid w:val="005E54E1"/>
    <w:rsid w:val="005E6383"/>
    <w:rsid w:val="005E643B"/>
    <w:rsid w:val="005E6F3A"/>
    <w:rsid w:val="005E7C4E"/>
    <w:rsid w:val="005F0578"/>
    <w:rsid w:val="005F115A"/>
    <w:rsid w:val="005F1389"/>
    <w:rsid w:val="005F13D7"/>
    <w:rsid w:val="005F1995"/>
    <w:rsid w:val="005F19BF"/>
    <w:rsid w:val="005F2A3D"/>
    <w:rsid w:val="005F3EE3"/>
    <w:rsid w:val="005F3F24"/>
    <w:rsid w:val="005F40A0"/>
    <w:rsid w:val="005F50BD"/>
    <w:rsid w:val="005F6BC7"/>
    <w:rsid w:val="005F70D0"/>
    <w:rsid w:val="005F7A23"/>
    <w:rsid w:val="005F7C71"/>
    <w:rsid w:val="00600A32"/>
    <w:rsid w:val="00601651"/>
    <w:rsid w:val="00601B40"/>
    <w:rsid w:val="0060344C"/>
    <w:rsid w:val="006053A2"/>
    <w:rsid w:val="00605B51"/>
    <w:rsid w:val="00606211"/>
    <w:rsid w:val="00606B5B"/>
    <w:rsid w:val="00607F6F"/>
    <w:rsid w:val="00610708"/>
    <w:rsid w:val="00610EFB"/>
    <w:rsid w:val="00610F12"/>
    <w:rsid w:val="006116AF"/>
    <w:rsid w:val="00612A09"/>
    <w:rsid w:val="00612D02"/>
    <w:rsid w:val="0061368B"/>
    <w:rsid w:val="00614387"/>
    <w:rsid w:val="0061459E"/>
    <w:rsid w:val="0061556D"/>
    <w:rsid w:val="006156A8"/>
    <w:rsid w:val="00615ACC"/>
    <w:rsid w:val="00616EF8"/>
    <w:rsid w:val="006204D3"/>
    <w:rsid w:val="0062144E"/>
    <w:rsid w:val="0062385D"/>
    <w:rsid w:val="00625D21"/>
    <w:rsid w:val="006278B5"/>
    <w:rsid w:val="00627B4A"/>
    <w:rsid w:val="00627DA6"/>
    <w:rsid w:val="0063087C"/>
    <w:rsid w:val="0063123A"/>
    <w:rsid w:val="0063235C"/>
    <w:rsid w:val="0063240F"/>
    <w:rsid w:val="00632514"/>
    <w:rsid w:val="006352EB"/>
    <w:rsid w:val="006359E6"/>
    <w:rsid w:val="00635B40"/>
    <w:rsid w:val="00635C0D"/>
    <w:rsid w:val="00637535"/>
    <w:rsid w:val="0063757B"/>
    <w:rsid w:val="00640AB4"/>
    <w:rsid w:val="006433E3"/>
    <w:rsid w:val="00643B47"/>
    <w:rsid w:val="00643DF2"/>
    <w:rsid w:val="00643E92"/>
    <w:rsid w:val="00645A86"/>
    <w:rsid w:val="00645F91"/>
    <w:rsid w:val="0064638A"/>
    <w:rsid w:val="00646422"/>
    <w:rsid w:val="006477DE"/>
    <w:rsid w:val="00647DA1"/>
    <w:rsid w:val="00651E4B"/>
    <w:rsid w:val="0065265B"/>
    <w:rsid w:val="0065333B"/>
    <w:rsid w:val="00653CF6"/>
    <w:rsid w:val="00653F17"/>
    <w:rsid w:val="00654ACB"/>
    <w:rsid w:val="00654F69"/>
    <w:rsid w:val="00655A91"/>
    <w:rsid w:val="00655B66"/>
    <w:rsid w:val="00656ACC"/>
    <w:rsid w:val="00656D16"/>
    <w:rsid w:val="00656FAB"/>
    <w:rsid w:val="006576C2"/>
    <w:rsid w:val="006578F3"/>
    <w:rsid w:val="00660596"/>
    <w:rsid w:val="00661317"/>
    <w:rsid w:val="00664BBD"/>
    <w:rsid w:val="0066506E"/>
    <w:rsid w:val="006701BD"/>
    <w:rsid w:val="00670D47"/>
    <w:rsid w:val="00671582"/>
    <w:rsid w:val="00671D55"/>
    <w:rsid w:val="006735F0"/>
    <w:rsid w:val="00673DF7"/>
    <w:rsid w:val="0067505C"/>
    <w:rsid w:val="006754DE"/>
    <w:rsid w:val="00676D28"/>
    <w:rsid w:val="00677D4C"/>
    <w:rsid w:val="00682013"/>
    <w:rsid w:val="006825EF"/>
    <w:rsid w:val="0068261D"/>
    <w:rsid w:val="00682E77"/>
    <w:rsid w:val="00685AFB"/>
    <w:rsid w:val="006867FE"/>
    <w:rsid w:val="00687589"/>
    <w:rsid w:val="00691B86"/>
    <w:rsid w:val="00692223"/>
    <w:rsid w:val="00693932"/>
    <w:rsid w:val="006957F5"/>
    <w:rsid w:val="0069664F"/>
    <w:rsid w:val="00696879"/>
    <w:rsid w:val="00696DAE"/>
    <w:rsid w:val="0069783F"/>
    <w:rsid w:val="006A02B7"/>
    <w:rsid w:val="006A1055"/>
    <w:rsid w:val="006A1903"/>
    <w:rsid w:val="006A25E9"/>
    <w:rsid w:val="006A2A31"/>
    <w:rsid w:val="006A37D6"/>
    <w:rsid w:val="006A649E"/>
    <w:rsid w:val="006A65AC"/>
    <w:rsid w:val="006B0031"/>
    <w:rsid w:val="006B12BD"/>
    <w:rsid w:val="006B13E3"/>
    <w:rsid w:val="006B2180"/>
    <w:rsid w:val="006B2506"/>
    <w:rsid w:val="006B2737"/>
    <w:rsid w:val="006B2D19"/>
    <w:rsid w:val="006B3DE1"/>
    <w:rsid w:val="006B5385"/>
    <w:rsid w:val="006B5715"/>
    <w:rsid w:val="006B5A44"/>
    <w:rsid w:val="006B5EF7"/>
    <w:rsid w:val="006B5F87"/>
    <w:rsid w:val="006B64D9"/>
    <w:rsid w:val="006C1409"/>
    <w:rsid w:val="006C1A60"/>
    <w:rsid w:val="006C26FB"/>
    <w:rsid w:val="006C2D20"/>
    <w:rsid w:val="006C3013"/>
    <w:rsid w:val="006C30AC"/>
    <w:rsid w:val="006C36FB"/>
    <w:rsid w:val="006C3A80"/>
    <w:rsid w:val="006C3C4B"/>
    <w:rsid w:val="006C415A"/>
    <w:rsid w:val="006C48C2"/>
    <w:rsid w:val="006C4C18"/>
    <w:rsid w:val="006C5466"/>
    <w:rsid w:val="006C662A"/>
    <w:rsid w:val="006D0D95"/>
    <w:rsid w:val="006D1BAE"/>
    <w:rsid w:val="006D236D"/>
    <w:rsid w:val="006D27FF"/>
    <w:rsid w:val="006D33DE"/>
    <w:rsid w:val="006D5CFC"/>
    <w:rsid w:val="006D6B27"/>
    <w:rsid w:val="006D6DDD"/>
    <w:rsid w:val="006D6E66"/>
    <w:rsid w:val="006D72E7"/>
    <w:rsid w:val="006E0F45"/>
    <w:rsid w:val="006E1F05"/>
    <w:rsid w:val="006E2414"/>
    <w:rsid w:val="006E2502"/>
    <w:rsid w:val="006E2D36"/>
    <w:rsid w:val="006E3364"/>
    <w:rsid w:val="006E3C2D"/>
    <w:rsid w:val="006E3CE3"/>
    <w:rsid w:val="006E4BFE"/>
    <w:rsid w:val="006E659D"/>
    <w:rsid w:val="006E718A"/>
    <w:rsid w:val="006E7236"/>
    <w:rsid w:val="006F048F"/>
    <w:rsid w:val="006F0EFE"/>
    <w:rsid w:val="006F13C6"/>
    <w:rsid w:val="006F1B6E"/>
    <w:rsid w:val="006F208B"/>
    <w:rsid w:val="006F400C"/>
    <w:rsid w:val="006F41AB"/>
    <w:rsid w:val="006F4322"/>
    <w:rsid w:val="006F4F8B"/>
    <w:rsid w:val="006F5452"/>
    <w:rsid w:val="006F6924"/>
    <w:rsid w:val="00702DDE"/>
    <w:rsid w:val="0070565E"/>
    <w:rsid w:val="00707806"/>
    <w:rsid w:val="00707D07"/>
    <w:rsid w:val="007122FD"/>
    <w:rsid w:val="00714482"/>
    <w:rsid w:val="00714770"/>
    <w:rsid w:val="00714BA4"/>
    <w:rsid w:val="00716AC1"/>
    <w:rsid w:val="00717D29"/>
    <w:rsid w:val="00721403"/>
    <w:rsid w:val="00721D69"/>
    <w:rsid w:val="00722761"/>
    <w:rsid w:val="00724A1F"/>
    <w:rsid w:val="00724D53"/>
    <w:rsid w:val="0072751A"/>
    <w:rsid w:val="007277DE"/>
    <w:rsid w:val="00727D42"/>
    <w:rsid w:val="0073047A"/>
    <w:rsid w:val="007311FA"/>
    <w:rsid w:val="00734D1E"/>
    <w:rsid w:val="00735D60"/>
    <w:rsid w:val="00736968"/>
    <w:rsid w:val="0073762A"/>
    <w:rsid w:val="00740598"/>
    <w:rsid w:val="0074245B"/>
    <w:rsid w:val="00745F22"/>
    <w:rsid w:val="007467FA"/>
    <w:rsid w:val="0074754D"/>
    <w:rsid w:val="00747825"/>
    <w:rsid w:val="0074787A"/>
    <w:rsid w:val="00747D6C"/>
    <w:rsid w:val="00747FBC"/>
    <w:rsid w:val="007508D1"/>
    <w:rsid w:val="007527A8"/>
    <w:rsid w:val="0075465E"/>
    <w:rsid w:val="007557E2"/>
    <w:rsid w:val="007571D8"/>
    <w:rsid w:val="00757943"/>
    <w:rsid w:val="00757B80"/>
    <w:rsid w:val="00760597"/>
    <w:rsid w:val="0076061F"/>
    <w:rsid w:val="00760B16"/>
    <w:rsid w:val="00760DE6"/>
    <w:rsid w:val="00761BC9"/>
    <w:rsid w:val="007626F5"/>
    <w:rsid w:val="007637BB"/>
    <w:rsid w:val="007638AC"/>
    <w:rsid w:val="007662B2"/>
    <w:rsid w:val="00766E72"/>
    <w:rsid w:val="00770BB9"/>
    <w:rsid w:val="0077107C"/>
    <w:rsid w:val="00771AEB"/>
    <w:rsid w:val="00772DC9"/>
    <w:rsid w:val="00773CC1"/>
    <w:rsid w:val="00774C4E"/>
    <w:rsid w:val="00776B6A"/>
    <w:rsid w:val="00777D5E"/>
    <w:rsid w:val="00781494"/>
    <w:rsid w:val="00782927"/>
    <w:rsid w:val="007832D2"/>
    <w:rsid w:val="0078592E"/>
    <w:rsid w:val="007867FD"/>
    <w:rsid w:val="00787E32"/>
    <w:rsid w:val="007927CB"/>
    <w:rsid w:val="00792FA7"/>
    <w:rsid w:val="007932BC"/>
    <w:rsid w:val="00795C90"/>
    <w:rsid w:val="00795CB0"/>
    <w:rsid w:val="007A0611"/>
    <w:rsid w:val="007A0D0E"/>
    <w:rsid w:val="007A5E4C"/>
    <w:rsid w:val="007A777A"/>
    <w:rsid w:val="007A7C55"/>
    <w:rsid w:val="007B1EB5"/>
    <w:rsid w:val="007B50A4"/>
    <w:rsid w:val="007B50D7"/>
    <w:rsid w:val="007C1FA2"/>
    <w:rsid w:val="007C233A"/>
    <w:rsid w:val="007C2771"/>
    <w:rsid w:val="007C3283"/>
    <w:rsid w:val="007C336F"/>
    <w:rsid w:val="007C3FD3"/>
    <w:rsid w:val="007C40AA"/>
    <w:rsid w:val="007C40C9"/>
    <w:rsid w:val="007C4F9F"/>
    <w:rsid w:val="007C5724"/>
    <w:rsid w:val="007C5BEB"/>
    <w:rsid w:val="007C7CE2"/>
    <w:rsid w:val="007D09C8"/>
    <w:rsid w:val="007D1B8C"/>
    <w:rsid w:val="007D1E3C"/>
    <w:rsid w:val="007D461A"/>
    <w:rsid w:val="007D5534"/>
    <w:rsid w:val="007D5C75"/>
    <w:rsid w:val="007D6532"/>
    <w:rsid w:val="007D7C04"/>
    <w:rsid w:val="007E03B6"/>
    <w:rsid w:val="007E0E83"/>
    <w:rsid w:val="007E1930"/>
    <w:rsid w:val="007E1A7B"/>
    <w:rsid w:val="007E245A"/>
    <w:rsid w:val="007E5375"/>
    <w:rsid w:val="007E66A5"/>
    <w:rsid w:val="007E6D98"/>
    <w:rsid w:val="007F0BAD"/>
    <w:rsid w:val="007F1924"/>
    <w:rsid w:val="007F1B8E"/>
    <w:rsid w:val="007F2932"/>
    <w:rsid w:val="007F2B48"/>
    <w:rsid w:val="007F5B53"/>
    <w:rsid w:val="007F5CF4"/>
    <w:rsid w:val="007F5F2C"/>
    <w:rsid w:val="00800735"/>
    <w:rsid w:val="00801172"/>
    <w:rsid w:val="00801675"/>
    <w:rsid w:val="00802565"/>
    <w:rsid w:val="008032B6"/>
    <w:rsid w:val="0080595F"/>
    <w:rsid w:val="00806308"/>
    <w:rsid w:val="00811B72"/>
    <w:rsid w:val="008124C7"/>
    <w:rsid w:val="00814612"/>
    <w:rsid w:val="00815BA2"/>
    <w:rsid w:val="00817215"/>
    <w:rsid w:val="008175F6"/>
    <w:rsid w:val="0082029C"/>
    <w:rsid w:val="00821FC3"/>
    <w:rsid w:val="0082288B"/>
    <w:rsid w:val="00822EC2"/>
    <w:rsid w:val="008231EA"/>
    <w:rsid w:val="00823B1D"/>
    <w:rsid w:val="00824EE3"/>
    <w:rsid w:val="00824FB3"/>
    <w:rsid w:val="008253F5"/>
    <w:rsid w:val="00825822"/>
    <w:rsid w:val="00826928"/>
    <w:rsid w:val="008277F7"/>
    <w:rsid w:val="00827FE1"/>
    <w:rsid w:val="00830AC0"/>
    <w:rsid w:val="0083104E"/>
    <w:rsid w:val="008317E3"/>
    <w:rsid w:val="00832333"/>
    <w:rsid w:val="008332F8"/>
    <w:rsid w:val="00833F91"/>
    <w:rsid w:val="00834BFD"/>
    <w:rsid w:val="00834F53"/>
    <w:rsid w:val="008351C3"/>
    <w:rsid w:val="00835C7E"/>
    <w:rsid w:val="00836E16"/>
    <w:rsid w:val="008409F1"/>
    <w:rsid w:val="00841869"/>
    <w:rsid w:val="00842A78"/>
    <w:rsid w:val="00842AEE"/>
    <w:rsid w:val="00846B43"/>
    <w:rsid w:val="00846ED7"/>
    <w:rsid w:val="0084740E"/>
    <w:rsid w:val="00847749"/>
    <w:rsid w:val="00850CEC"/>
    <w:rsid w:val="0085152E"/>
    <w:rsid w:val="00853CF3"/>
    <w:rsid w:val="00856135"/>
    <w:rsid w:val="008572DA"/>
    <w:rsid w:val="00857B26"/>
    <w:rsid w:val="0086115A"/>
    <w:rsid w:val="00861BAD"/>
    <w:rsid w:val="00863DEE"/>
    <w:rsid w:val="008647C7"/>
    <w:rsid w:val="008651CA"/>
    <w:rsid w:val="00867BE7"/>
    <w:rsid w:val="008717CA"/>
    <w:rsid w:val="00872C15"/>
    <w:rsid w:val="008748E5"/>
    <w:rsid w:val="00875BC5"/>
    <w:rsid w:val="00875F51"/>
    <w:rsid w:val="00876998"/>
    <w:rsid w:val="0087748B"/>
    <w:rsid w:val="00877615"/>
    <w:rsid w:val="00880328"/>
    <w:rsid w:val="00880675"/>
    <w:rsid w:val="00882A92"/>
    <w:rsid w:val="0088308C"/>
    <w:rsid w:val="0088325C"/>
    <w:rsid w:val="0088341E"/>
    <w:rsid w:val="00884AF7"/>
    <w:rsid w:val="00884F72"/>
    <w:rsid w:val="008853C8"/>
    <w:rsid w:val="008863DF"/>
    <w:rsid w:val="00886593"/>
    <w:rsid w:val="00890028"/>
    <w:rsid w:val="00890337"/>
    <w:rsid w:val="00891387"/>
    <w:rsid w:val="00891E49"/>
    <w:rsid w:val="0089217B"/>
    <w:rsid w:val="00893693"/>
    <w:rsid w:val="00893FD2"/>
    <w:rsid w:val="00894106"/>
    <w:rsid w:val="00894D8D"/>
    <w:rsid w:val="00896B85"/>
    <w:rsid w:val="0089709E"/>
    <w:rsid w:val="008A049D"/>
    <w:rsid w:val="008A1A58"/>
    <w:rsid w:val="008A33C5"/>
    <w:rsid w:val="008A360C"/>
    <w:rsid w:val="008A5DD7"/>
    <w:rsid w:val="008A674F"/>
    <w:rsid w:val="008A6956"/>
    <w:rsid w:val="008A6B32"/>
    <w:rsid w:val="008B051B"/>
    <w:rsid w:val="008B1171"/>
    <w:rsid w:val="008B297D"/>
    <w:rsid w:val="008B2B70"/>
    <w:rsid w:val="008B3160"/>
    <w:rsid w:val="008B4413"/>
    <w:rsid w:val="008B5153"/>
    <w:rsid w:val="008B68A3"/>
    <w:rsid w:val="008B6F75"/>
    <w:rsid w:val="008B7C5F"/>
    <w:rsid w:val="008C0900"/>
    <w:rsid w:val="008C1C98"/>
    <w:rsid w:val="008C2FF6"/>
    <w:rsid w:val="008C4485"/>
    <w:rsid w:val="008C535C"/>
    <w:rsid w:val="008C60E5"/>
    <w:rsid w:val="008C6664"/>
    <w:rsid w:val="008C6A64"/>
    <w:rsid w:val="008C7244"/>
    <w:rsid w:val="008C7631"/>
    <w:rsid w:val="008D02BD"/>
    <w:rsid w:val="008D043F"/>
    <w:rsid w:val="008D34E9"/>
    <w:rsid w:val="008D425B"/>
    <w:rsid w:val="008D5B77"/>
    <w:rsid w:val="008D61EB"/>
    <w:rsid w:val="008E193A"/>
    <w:rsid w:val="008E1A23"/>
    <w:rsid w:val="008E295D"/>
    <w:rsid w:val="008E2BC2"/>
    <w:rsid w:val="008E3540"/>
    <w:rsid w:val="008E51CA"/>
    <w:rsid w:val="008E56F7"/>
    <w:rsid w:val="008F2EDC"/>
    <w:rsid w:val="008F4814"/>
    <w:rsid w:val="008F5967"/>
    <w:rsid w:val="008F683E"/>
    <w:rsid w:val="008F7346"/>
    <w:rsid w:val="00900C6C"/>
    <w:rsid w:val="0090155E"/>
    <w:rsid w:val="00901F00"/>
    <w:rsid w:val="009034F5"/>
    <w:rsid w:val="00904E35"/>
    <w:rsid w:val="009054BE"/>
    <w:rsid w:val="009062C7"/>
    <w:rsid w:val="009063F6"/>
    <w:rsid w:val="0090774C"/>
    <w:rsid w:val="00911899"/>
    <w:rsid w:val="00914911"/>
    <w:rsid w:val="009155A6"/>
    <w:rsid w:val="00916349"/>
    <w:rsid w:val="009167F5"/>
    <w:rsid w:val="00924211"/>
    <w:rsid w:val="00924986"/>
    <w:rsid w:val="009263BE"/>
    <w:rsid w:val="00926E76"/>
    <w:rsid w:val="00927631"/>
    <w:rsid w:val="00932E31"/>
    <w:rsid w:val="00933982"/>
    <w:rsid w:val="00934E23"/>
    <w:rsid w:val="0093509E"/>
    <w:rsid w:val="009358E1"/>
    <w:rsid w:val="00935BD9"/>
    <w:rsid w:val="009360A0"/>
    <w:rsid w:val="00936E24"/>
    <w:rsid w:val="00936F12"/>
    <w:rsid w:val="009375E9"/>
    <w:rsid w:val="00937615"/>
    <w:rsid w:val="00937FE0"/>
    <w:rsid w:val="009404F4"/>
    <w:rsid w:val="00941582"/>
    <w:rsid w:val="009416CE"/>
    <w:rsid w:val="009427AB"/>
    <w:rsid w:val="00943CE3"/>
    <w:rsid w:val="0094528A"/>
    <w:rsid w:val="00945885"/>
    <w:rsid w:val="00945B92"/>
    <w:rsid w:val="00947756"/>
    <w:rsid w:val="00947C3B"/>
    <w:rsid w:val="009502E7"/>
    <w:rsid w:val="009508F0"/>
    <w:rsid w:val="009511F3"/>
    <w:rsid w:val="0095137C"/>
    <w:rsid w:val="009525B4"/>
    <w:rsid w:val="00952646"/>
    <w:rsid w:val="009538E4"/>
    <w:rsid w:val="00953B67"/>
    <w:rsid w:val="009547DF"/>
    <w:rsid w:val="00954ED0"/>
    <w:rsid w:val="00956F3D"/>
    <w:rsid w:val="00960C2C"/>
    <w:rsid w:val="0096263B"/>
    <w:rsid w:val="0096681E"/>
    <w:rsid w:val="00966A02"/>
    <w:rsid w:val="00966F7E"/>
    <w:rsid w:val="00967713"/>
    <w:rsid w:val="00972897"/>
    <w:rsid w:val="00973C06"/>
    <w:rsid w:val="00973DAD"/>
    <w:rsid w:val="009742AA"/>
    <w:rsid w:val="00975987"/>
    <w:rsid w:val="00975A35"/>
    <w:rsid w:val="00977C18"/>
    <w:rsid w:val="009807F0"/>
    <w:rsid w:val="009807FB"/>
    <w:rsid w:val="00981913"/>
    <w:rsid w:val="009856A9"/>
    <w:rsid w:val="00985B54"/>
    <w:rsid w:val="009865DA"/>
    <w:rsid w:val="00986B04"/>
    <w:rsid w:val="00986F1C"/>
    <w:rsid w:val="00987CBB"/>
    <w:rsid w:val="00990D8A"/>
    <w:rsid w:val="009912A8"/>
    <w:rsid w:val="009921B7"/>
    <w:rsid w:val="0099420F"/>
    <w:rsid w:val="0099519E"/>
    <w:rsid w:val="00995ABF"/>
    <w:rsid w:val="00995C92"/>
    <w:rsid w:val="00996CCD"/>
    <w:rsid w:val="00997459"/>
    <w:rsid w:val="00997A8B"/>
    <w:rsid w:val="009A075B"/>
    <w:rsid w:val="009A1B4A"/>
    <w:rsid w:val="009A1BA8"/>
    <w:rsid w:val="009A22D4"/>
    <w:rsid w:val="009A2BBF"/>
    <w:rsid w:val="009A2E1C"/>
    <w:rsid w:val="009A3105"/>
    <w:rsid w:val="009A368B"/>
    <w:rsid w:val="009A4CC4"/>
    <w:rsid w:val="009A51B4"/>
    <w:rsid w:val="009A53AD"/>
    <w:rsid w:val="009A65AF"/>
    <w:rsid w:val="009A6C1E"/>
    <w:rsid w:val="009A7A47"/>
    <w:rsid w:val="009A7F97"/>
    <w:rsid w:val="009B0DB7"/>
    <w:rsid w:val="009B1004"/>
    <w:rsid w:val="009B2AEA"/>
    <w:rsid w:val="009B2B04"/>
    <w:rsid w:val="009B4475"/>
    <w:rsid w:val="009C0EF1"/>
    <w:rsid w:val="009C129E"/>
    <w:rsid w:val="009C25AF"/>
    <w:rsid w:val="009C4A28"/>
    <w:rsid w:val="009C64C8"/>
    <w:rsid w:val="009C7383"/>
    <w:rsid w:val="009C7FBC"/>
    <w:rsid w:val="009D0E10"/>
    <w:rsid w:val="009D2351"/>
    <w:rsid w:val="009D27CE"/>
    <w:rsid w:val="009D2AE3"/>
    <w:rsid w:val="009D364E"/>
    <w:rsid w:val="009D5DFB"/>
    <w:rsid w:val="009D71F2"/>
    <w:rsid w:val="009E092A"/>
    <w:rsid w:val="009E1941"/>
    <w:rsid w:val="009E222A"/>
    <w:rsid w:val="009E37DE"/>
    <w:rsid w:val="009E5E99"/>
    <w:rsid w:val="009E604E"/>
    <w:rsid w:val="009E6601"/>
    <w:rsid w:val="009E73C3"/>
    <w:rsid w:val="009F1B4A"/>
    <w:rsid w:val="009F1E92"/>
    <w:rsid w:val="009F2E3B"/>
    <w:rsid w:val="009F3347"/>
    <w:rsid w:val="009F3CF6"/>
    <w:rsid w:val="009F5626"/>
    <w:rsid w:val="009F581C"/>
    <w:rsid w:val="00A018A8"/>
    <w:rsid w:val="00A0264B"/>
    <w:rsid w:val="00A039E3"/>
    <w:rsid w:val="00A04EE4"/>
    <w:rsid w:val="00A06894"/>
    <w:rsid w:val="00A11439"/>
    <w:rsid w:val="00A117CF"/>
    <w:rsid w:val="00A1208D"/>
    <w:rsid w:val="00A12321"/>
    <w:rsid w:val="00A1268E"/>
    <w:rsid w:val="00A126B3"/>
    <w:rsid w:val="00A13B49"/>
    <w:rsid w:val="00A15C6F"/>
    <w:rsid w:val="00A16DF5"/>
    <w:rsid w:val="00A20813"/>
    <w:rsid w:val="00A20E2A"/>
    <w:rsid w:val="00A2107F"/>
    <w:rsid w:val="00A21EBB"/>
    <w:rsid w:val="00A22B56"/>
    <w:rsid w:val="00A22C80"/>
    <w:rsid w:val="00A230B0"/>
    <w:rsid w:val="00A23CB9"/>
    <w:rsid w:val="00A263E0"/>
    <w:rsid w:val="00A26CA8"/>
    <w:rsid w:val="00A27308"/>
    <w:rsid w:val="00A31189"/>
    <w:rsid w:val="00A31D67"/>
    <w:rsid w:val="00A32A67"/>
    <w:rsid w:val="00A33018"/>
    <w:rsid w:val="00A333DF"/>
    <w:rsid w:val="00A3428A"/>
    <w:rsid w:val="00A35960"/>
    <w:rsid w:val="00A366FF"/>
    <w:rsid w:val="00A37E7A"/>
    <w:rsid w:val="00A40AC5"/>
    <w:rsid w:val="00A40C25"/>
    <w:rsid w:val="00A45625"/>
    <w:rsid w:val="00A47509"/>
    <w:rsid w:val="00A51AB4"/>
    <w:rsid w:val="00A52E89"/>
    <w:rsid w:val="00A531C3"/>
    <w:rsid w:val="00A53D61"/>
    <w:rsid w:val="00A54800"/>
    <w:rsid w:val="00A562CC"/>
    <w:rsid w:val="00A567D7"/>
    <w:rsid w:val="00A57620"/>
    <w:rsid w:val="00A61E86"/>
    <w:rsid w:val="00A62F31"/>
    <w:rsid w:val="00A631E0"/>
    <w:rsid w:val="00A63426"/>
    <w:rsid w:val="00A646D1"/>
    <w:rsid w:val="00A66C97"/>
    <w:rsid w:val="00A71421"/>
    <w:rsid w:val="00A7173D"/>
    <w:rsid w:val="00A736D1"/>
    <w:rsid w:val="00A73FBD"/>
    <w:rsid w:val="00A74C2D"/>
    <w:rsid w:val="00A7734F"/>
    <w:rsid w:val="00A77611"/>
    <w:rsid w:val="00A80546"/>
    <w:rsid w:val="00A80F3E"/>
    <w:rsid w:val="00A8234C"/>
    <w:rsid w:val="00A82B1C"/>
    <w:rsid w:val="00A82F25"/>
    <w:rsid w:val="00A84306"/>
    <w:rsid w:val="00A8461E"/>
    <w:rsid w:val="00A859C1"/>
    <w:rsid w:val="00A85AEC"/>
    <w:rsid w:val="00A85E26"/>
    <w:rsid w:val="00A86B33"/>
    <w:rsid w:val="00A913D9"/>
    <w:rsid w:val="00A95B37"/>
    <w:rsid w:val="00A9671D"/>
    <w:rsid w:val="00AA4626"/>
    <w:rsid w:val="00AA6634"/>
    <w:rsid w:val="00AA69EE"/>
    <w:rsid w:val="00AB0564"/>
    <w:rsid w:val="00AB0CA7"/>
    <w:rsid w:val="00AB0EB5"/>
    <w:rsid w:val="00AB0F85"/>
    <w:rsid w:val="00AB12E2"/>
    <w:rsid w:val="00AB46B8"/>
    <w:rsid w:val="00AB5368"/>
    <w:rsid w:val="00AB7A66"/>
    <w:rsid w:val="00AC0396"/>
    <w:rsid w:val="00AC0834"/>
    <w:rsid w:val="00AC1222"/>
    <w:rsid w:val="00AC173F"/>
    <w:rsid w:val="00AC201D"/>
    <w:rsid w:val="00AC2CED"/>
    <w:rsid w:val="00AC47D8"/>
    <w:rsid w:val="00AC4949"/>
    <w:rsid w:val="00AC4B59"/>
    <w:rsid w:val="00AC4E87"/>
    <w:rsid w:val="00AC625F"/>
    <w:rsid w:val="00AC6E9C"/>
    <w:rsid w:val="00AD00B0"/>
    <w:rsid w:val="00AD058E"/>
    <w:rsid w:val="00AD261D"/>
    <w:rsid w:val="00AD27D0"/>
    <w:rsid w:val="00AD2997"/>
    <w:rsid w:val="00AD2BE4"/>
    <w:rsid w:val="00AD31CE"/>
    <w:rsid w:val="00AD3D67"/>
    <w:rsid w:val="00AD575D"/>
    <w:rsid w:val="00AD6438"/>
    <w:rsid w:val="00AD7C0F"/>
    <w:rsid w:val="00AD7F49"/>
    <w:rsid w:val="00AE0B18"/>
    <w:rsid w:val="00AE1FEE"/>
    <w:rsid w:val="00AE34AF"/>
    <w:rsid w:val="00AE632E"/>
    <w:rsid w:val="00AE7F5F"/>
    <w:rsid w:val="00AF1133"/>
    <w:rsid w:val="00AF2163"/>
    <w:rsid w:val="00AF27FD"/>
    <w:rsid w:val="00AF3071"/>
    <w:rsid w:val="00AF30A9"/>
    <w:rsid w:val="00AF3599"/>
    <w:rsid w:val="00AF3996"/>
    <w:rsid w:val="00AF68F9"/>
    <w:rsid w:val="00B0045C"/>
    <w:rsid w:val="00B0084F"/>
    <w:rsid w:val="00B01641"/>
    <w:rsid w:val="00B018DD"/>
    <w:rsid w:val="00B01F44"/>
    <w:rsid w:val="00B02859"/>
    <w:rsid w:val="00B02A43"/>
    <w:rsid w:val="00B041EF"/>
    <w:rsid w:val="00B04C6E"/>
    <w:rsid w:val="00B0606A"/>
    <w:rsid w:val="00B10FD2"/>
    <w:rsid w:val="00B1151E"/>
    <w:rsid w:val="00B117D6"/>
    <w:rsid w:val="00B11C61"/>
    <w:rsid w:val="00B14A1C"/>
    <w:rsid w:val="00B1707D"/>
    <w:rsid w:val="00B170AA"/>
    <w:rsid w:val="00B171CD"/>
    <w:rsid w:val="00B21942"/>
    <w:rsid w:val="00B21B70"/>
    <w:rsid w:val="00B222D0"/>
    <w:rsid w:val="00B228DE"/>
    <w:rsid w:val="00B23FCF"/>
    <w:rsid w:val="00B248A4"/>
    <w:rsid w:val="00B25A8D"/>
    <w:rsid w:val="00B2669F"/>
    <w:rsid w:val="00B27610"/>
    <w:rsid w:val="00B302B1"/>
    <w:rsid w:val="00B32F25"/>
    <w:rsid w:val="00B33554"/>
    <w:rsid w:val="00B33FF9"/>
    <w:rsid w:val="00B372F2"/>
    <w:rsid w:val="00B37412"/>
    <w:rsid w:val="00B37E71"/>
    <w:rsid w:val="00B402B1"/>
    <w:rsid w:val="00B41A87"/>
    <w:rsid w:val="00B41F5F"/>
    <w:rsid w:val="00B429DB"/>
    <w:rsid w:val="00B42FDE"/>
    <w:rsid w:val="00B43051"/>
    <w:rsid w:val="00B44703"/>
    <w:rsid w:val="00B47C67"/>
    <w:rsid w:val="00B47F88"/>
    <w:rsid w:val="00B510B4"/>
    <w:rsid w:val="00B51C0B"/>
    <w:rsid w:val="00B52B46"/>
    <w:rsid w:val="00B52C9D"/>
    <w:rsid w:val="00B53821"/>
    <w:rsid w:val="00B53E71"/>
    <w:rsid w:val="00B54233"/>
    <w:rsid w:val="00B55AEB"/>
    <w:rsid w:val="00B5611F"/>
    <w:rsid w:val="00B57FA0"/>
    <w:rsid w:val="00B60A67"/>
    <w:rsid w:val="00B6361F"/>
    <w:rsid w:val="00B6398F"/>
    <w:rsid w:val="00B6631A"/>
    <w:rsid w:val="00B664E6"/>
    <w:rsid w:val="00B71065"/>
    <w:rsid w:val="00B71087"/>
    <w:rsid w:val="00B7286C"/>
    <w:rsid w:val="00B73498"/>
    <w:rsid w:val="00B738F8"/>
    <w:rsid w:val="00B73CB9"/>
    <w:rsid w:val="00B75759"/>
    <w:rsid w:val="00B76D88"/>
    <w:rsid w:val="00B81637"/>
    <w:rsid w:val="00B81B1D"/>
    <w:rsid w:val="00B81C3D"/>
    <w:rsid w:val="00B81E9B"/>
    <w:rsid w:val="00B83423"/>
    <w:rsid w:val="00B8447C"/>
    <w:rsid w:val="00B8479E"/>
    <w:rsid w:val="00B84DE6"/>
    <w:rsid w:val="00B85244"/>
    <w:rsid w:val="00B85B8E"/>
    <w:rsid w:val="00B90288"/>
    <w:rsid w:val="00B905A8"/>
    <w:rsid w:val="00B912C8"/>
    <w:rsid w:val="00B9203B"/>
    <w:rsid w:val="00B92662"/>
    <w:rsid w:val="00B93CEF"/>
    <w:rsid w:val="00B9690C"/>
    <w:rsid w:val="00B9712D"/>
    <w:rsid w:val="00B97205"/>
    <w:rsid w:val="00B975C2"/>
    <w:rsid w:val="00BA1AAD"/>
    <w:rsid w:val="00BA2858"/>
    <w:rsid w:val="00BA29ED"/>
    <w:rsid w:val="00BA2FA6"/>
    <w:rsid w:val="00BA3EE4"/>
    <w:rsid w:val="00BA4FD0"/>
    <w:rsid w:val="00BB13B0"/>
    <w:rsid w:val="00BB1862"/>
    <w:rsid w:val="00BB31C3"/>
    <w:rsid w:val="00BB3872"/>
    <w:rsid w:val="00BB4675"/>
    <w:rsid w:val="00BB5474"/>
    <w:rsid w:val="00BB59EF"/>
    <w:rsid w:val="00BB66C9"/>
    <w:rsid w:val="00BB7E31"/>
    <w:rsid w:val="00BC0CE8"/>
    <w:rsid w:val="00BC398A"/>
    <w:rsid w:val="00BC3EEA"/>
    <w:rsid w:val="00BC4836"/>
    <w:rsid w:val="00BC5A23"/>
    <w:rsid w:val="00BC68E7"/>
    <w:rsid w:val="00BC752E"/>
    <w:rsid w:val="00BC7AF4"/>
    <w:rsid w:val="00BD124E"/>
    <w:rsid w:val="00BD23BF"/>
    <w:rsid w:val="00BD251E"/>
    <w:rsid w:val="00BD2629"/>
    <w:rsid w:val="00BD3D98"/>
    <w:rsid w:val="00BD3F47"/>
    <w:rsid w:val="00BD4F22"/>
    <w:rsid w:val="00BD6187"/>
    <w:rsid w:val="00BD63E6"/>
    <w:rsid w:val="00BD6837"/>
    <w:rsid w:val="00BD6F1A"/>
    <w:rsid w:val="00BE0590"/>
    <w:rsid w:val="00BE13A8"/>
    <w:rsid w:val="00BE1CDD"/>
    <w:rsid w:val="00BE22FF"/>
    <w:rsid w:val="00BE28CC"/>
    <w:rsid w:val="00BE35A0"/>
    <w:rsid w:val="00BE390E"/>
    <w:rsid w:val="00BE3E01"/>
    <w:rsid w:val="00BE538D"/>
    <w:rsid w:val="00BE6A84"/>
    <w:rsid w:val="00BF0ED6"/>
    <w:rsid w:val="00BF128C"/>
    <w:rsid w:val="00BF19AE"/>
    <w:rsid w:val="00BF56D4"/>
    <w:rsid w:val="00BF57C0"/>
    <w:rsid w:val="00BF58B4"/>
    <w:rsid w:val="00BF5B43"/>
    <w:rsid w:val="00BF5EB9"/>
    <w:rsid w:val="00BF627D"/>
    <w:rsid w:val="00BF7386"/>
    <w:rsid w:val="00C0057B"/>
    <w:rsid w:val="00C00A73"/>
    <w:rsid w:val="00C00FF4"/>
    <w:rsid w:val="00C010CA"/>
    <w:rsid w:val="00C01335"/>
    <w:rsid w:val="00C025C9"/>
    <w:rsid w:val="00C04AA2"/>
    <w:rsid w:val="00C04FE1"/>
    <w:rsid w:val="00C07CC5"/>
    <w:rsid w:val="00C116EA"/>
    <w:rsid w:val="00C118F9"/>
    <w:rsid w:val="00C130B9"/>
    <w:rsid w:val="00C13A1B"/>
    <w:rsid w:val="00C1402F"/>
    <w:rsid w:val="00C1651B"/>
    <w:rsid w:val="00C233F9"/>
    <w:rsid w:val="00C23408"/>
    <w:rsid w:val="00C24AE5"/>
    <w:rsid w:val="00C26238"/>
    <w:rsid w:val="00C304BC"/>
    <w:rsid w:val="00C31230"/>
    <w:rsid w:val="00C31CDB"/>
    <w:rsid w:val="00C32B88"/>
    <w:rsid w:val="00C34E4B"/>
    <w:rsid w:val="00C369ED"/>
    <w:rsid w:val="00C36B19"/>
    <w:rsid w:val="00C372B2"/>
    <w:rsid w:val="00C401B9"/>
    <w:rsid w:val="00C404DB"/>
    <w:rsid w:val="00C439B6"/>
    <w:rsid w:val="00C456DA"/>
    <w:rsid w:val="00C45E36"/>
    <w:rsid w:val="00C5085F"/>
    <w:rsid w:val="00C51451"/>
    <w:rsid w:val="00C5179E"/>
    <w:rsid w:val="00C518C0"/>
    <w:rsid w:val="00C5378F"/>
    <w:rsid w:val="00C54984"/>
    <w:rsid w:val="00C561BA"/>
    <w:rsid w:val="00C60268"/>
    <w:rsid w:val="00C6138A"/>
    <w:rsid w:val="00C62C50"/>
    <w:rsid w:val="00C648D1"/>
    <w:rsid w:val="00C64972"/>
    <w:rsid w:val="00C64D57"/>
    <w:rsid w:val="00C656D1"/>
    <w:rsid w:val="00C665C5"/>
    <w:rsid w:val="00C6759A"/>
    <w:rsid w:val="00C70083"/>
    <w:rsid w:val="00C70A4D"/>
    <w:rsid w:val="00C71C70"/>
    <w:rsid w:val="00C72961"/>
    <w:rsid w:val="00C7370C"/>
    <w:rsid w:val="00C7446B"/>
    <w:rsid w:val="00C753D2"/>
    <w:rsid w:val="00C77612"/>
    <w:rsid w:val="00C80ED3"/>
    <w:rsid w:val="00C81F86"/>
    <w:rsid w:val="00C83E8F"/>
    <w:rsid w:val="00C8565C"/>
    <w:rsid w:val="00C8714A"/>
    <w:rsid w:val="00C871F8"/>
    <w:rsid w:val="00C8723D"/>
    <w:rsid w:val="00C90497"/>
    <w:rsid w:val="00C90D56"/>
    <w:rsid w:val="00C934B8"/>
    <w:rsid w:val="00C93EC5"/>
    <w:rsid w:val="00C93F00"/>
    <w:rsid w:val="00C9544A"/>
    <w:rsid w:val="00C95555"/>
    <w:rsid w:val="00CA003E"/>
    <w:rsid w:val="00CA043F"/>
    <w:rsid w:val="00CA0A9F"/>
    <w:rsid w:val="00CA0B29"/>
    <w:rsid w:val="00CA1788"/>
    <w:rsid w:val="00CA1AC7"/>
    <w:rsid w:val="00CA2575"/>
    <w:rsid w:val="00CA3EAA"/>
    <w:rsid w:val="00CA4A50"/>
    <w:rsid w:val="00CA6E10"/>
    <w:rsid w:val="00CA6E16"/>
    <w:rsid w:val="00CA74F6"/>
    <w:rsid w:val="00CB1142"/>
    <w:rsid w:val="00CB185B"/>
    <w:rsid w:val="00CB1B42"/>
    <w:rsid w:val="00CB4DFE"/>
    <w:rsid w:val="00CB5D05"/>
    <w:rsid w:val="00CB6214"/>
    <w:rsid w:val="00CB660D"/>
    <w:rsid w:val="00CC09F9"/>
    <w:rsid w:val="00CC12BB"/>
    <w:rsid w:val="00CC4189"/>
    <w:rsid w:val="00CC58C3"/>
    <w:rsid w:val="00CC6C01"/>
    <w:rsid w:val="00CC6C1B"/>
    <w:rsid w:val="00CC7F1F"/>
    <w:rsid w:val="00CD074C"/>
    <w:rsid w:val="00CD0D5B"/>
    <w:rsid w:val="00CD1467"/>
    <w:rsid w:val="00CD1BBD"/>
    <w:rsid w:val="00CD20F9"/>
    <w:rsid w:val="00CD2663"/>
    <w:rsid w:val="00CD3B61"/>
    <w:rsid w:val="00CD41AD"/>
    <w:rsid w:val="00CD52AF"/>
    <w:rsid w:val="00CD532A"/>
    <w:rsid w:val="00CD6839"/>
    <w:rsid w:val="00CD7872"/>
    <w:rsid w:val="00CE2103"/>
    <w:rsid w:val="00CE26F4"/>
    <w:rsid w:val="00CE2883"/>
    <w:rsid w:val="00CE3D28"/>
    <w:rsid w:val="00CE52EE"/>
    <w:rsid w:val="00CE62C9"/>
    <w:rsid w:val="00CE6C11"/>
    <w:rsid w:val="00CE7493"/>
    <w:rsid w:val="00CE7B04"/>
    <w:rsid w:val="00CF007B"/>
    <w:rsid w:val="00CF1478"/>
    <w:rsid w:val="00CF19B5"/>
    <w:rsid w:val="00CF1ACE"/>
    <w:rsid w:val="00CF1FDC"/>
    <w:rsid w:val="00CF4EF8"/>
    <w:rsid w:val="00CF56BE"/>
    <w:rsid w:val="00CF5DA8"/>
    <w:rsid w:val="00CF5DD9"/>
    <w:rsid w:val="00CF6D43"/>
    <w:rsid w:val="00CF76E5"/>
    <w:rsid w:val="00D000D0"/>
    <w:rsid w:val="00D00476"/>
    <w:rsid w:val="00D006BD"/>
    <w:rsid w:val="00D00E56"/>
    <w:rsid w:val="00D01B32"/>
    <w:rsid w:val="00D0224E"/>
    <w:rsid w:val="00D02DAD"/>
    <w:rsid w:val="00D03548"/>
    <w:rsid w:val="00D05318"/>
    <w:rsid w:val="00D05ADE"/>
    <w:rsid w:val="00D05FED"/>
    <w:rsid w:val="00D066FF"/>
    <w:rsid w:val="00D06FF3"/>
    <w:rsid w:val="00D0723D"/>
    <w:rsid w:val="00D1147A"/>
    <w:rsid w:val="00D118BA"/>
    <w:rsid w:val="00D12E8A"/>
    <w:rsid w:val="00D14556"/>
    <w:rsid w:val="00D1569E"/>
    <w:rsid w:val="00D17D68"/>
    <w:rsid w:val="00D2293A"/>
    <w:rsid w:val="00D23DF7"/>
    <w:rsid w:val="00D26364"/>
    <w:rsid w:val="00D27225"/>
    <w:rsid w:val="00D273A9"/>
    <w:rsid w:val="00D273F6"/>
    <w:rsid w:val="00D31271"/>
    <w:rsid w:val="00D312CE"/>
    <w:rsid w:val="00D3257A"/>
    <w:rsid w:val="00D325A7"/>
    <w:rsid w:val="00D33EC0"/>
    <w:rsid w:val="00D3467A"/>
    <w:rsid w:val="00D34DF7"/>
    <w:rsid w:val="00D34E6E"/>
    <w:rsid w:val="00D35355"/>
    <w:rsid w:val="00D37717"/>
    <w:rsid w:val="00D41822"/>
    <w:rsid w:val="00D41A64"/>
    <w:rsid w:val="00D43FB6"/>
    <w:rsid w:val="00D46554"/>
    <w:rsid w:val="00D47796"/>
    <w:rsid w:val="00D47EC3"/>
    <w:rsid w:val="00D50BD4"/>
    <w:rsid w:val="00D52125"/>
    <w:rsid w:val="00D5237F"/>
    <w:rsid w:val="00D535A1"/>
    <w:rsid w:val="00D53C7C"/>
    <w:rsid w:val="00D54241"/>
    <w:rsid w:val="00D5511D"/>
    <w:rsid w:val="00D55C8F"/>
    <w:rsid w:val="00D56AF7"/>
    <w:rsid w:val="00D56D9E"/>
    <w:rsid w:val="00D60083"/>
    <w:rsid w:val="00D60547"/>
    <w:rsid w:val="00D6113E"/>
    <w:rsid w:val="00D62E87"/>
    <w:rsid w:val="00D62EB2"/>
    <w:rsid w:val="00D63187"/>
    <w:rsid w:val="00D6325A"/>
    <w:rsid w:val="00D63BB7"/>
    <w:rsid w:val="00D63D1E"/>
    <w:rsid w:val="00D641DE"/>
    <w:rsid w:val="00D64460"/>
    <w:rsid w:val="00D6640F"/>
    <w:rsid w:val="00D66E5E"/>
    <w:rsid w:val="00D67DA6"/>
    <w:rsid w:val="00D70416"/>
    <w:rsid w:val="00D70FC7"/>
    <w:rsid w:val="00D712C4"/>
    <w:rsid w:val="00D72869"/>
    <w:rsid w:val="00D73D99"/>
    <w:rsid w:val="00D75E2D"/>
    <w:rsid w:val="00D77124"/>
    <w:rsid w:val="00D7799B"/>
    <w:rsid w:val="00D80469"/>
    <w:rsid w:val="00D8218C"/>
    <w:rsid w:val="00D82AE5"/>
    <w:rsid w:val="00D8336E"/>
    <w:rsid w:val="00D833AC"/>
    <w:rsid w:val="00D84380"/>
    <w:rsid w:val="00D86F71"/>
    <w:rsid w:val="00D90023"/>
    <w:rsid w:val="00D911C7"/>
    <w:rsid w:val="00D9199E"/>
    <w:rsid w:val="00D919DE"/>
    <w:rsid w:val="00D92AE6"/>
    <w:rsid w:val="00D938B8"/>
    <w:rsid w:val="00D96A2C"/>
    <w:rsid w:val="00DA08E8"/>
    <w:rsid w:val="00DA1B25"/>
    <w:rsid w:val="00DA3005"/>
    <w:rsid w:val="00DA3B6B"/>
    <w:rsid w:val="00DA6838"/>
    <w:rsid w:val="00DA7D69"/>
    <w:rsid w:val="00DA7DC9"/>
    <w:rsid w:val="00DB0072"/>
    <w:rsid w:val="00DB076B"/>
    <w:rsid w:val="00DB1C10"/>
    <w:rsid w:val="00DB301E"/>
    <w:rsid w:val="00DB44D3"/>
    <w:rsid w:val="00DB450E"/>
    <w:rsid w:val="00DB57EA"/>
    <w:rsid w:val="00DB5943"/>
    <w:rsid w:val="00DB6643"/>
    <w:rsid w:val="00DB714D"/>
    <w:rsid w:val="00DB7569"/>
    <w:rsid w:val="00DC0318"/>
    <w:rsid w:val="00DC046F"/>
    <w:rsid w:val="00DC1137"/>
    <w:rsid w:val="00DC16CF"/>
    <w:rsid w:val="00DC3098"/>
    <w:rsid w:val="00DC5A03"/>
    <w:rsid w:val="00DC631E"/>
    <w:rsid w:val="00DC6E05"/>
    <w:rsid w:val="00DD01EB"/>
    <w:rsid w:val="00DD052C"/>
    <w:rsid w:val="00DD0E9E"/>
    <w:rsid w:val="00DD1907"/>
    <w:rsid w:val="00DD2AE7"/>
    <w:rsid w:val="00DD44EA"/>
    <w:rsid w:val="00DD492C"/>
    <w:rsid w:val="00DD7118"/>
    <w:rsid w:val="00DD79E2"/>
    <w:rsid w:val="00DD7E9E"/>
    <w:rsid w:val="00DE0DA2"/>
    <w:rsid w:val="00DE2895"/>
    <w:rsid w:val="00DE59D4"/>
    <w:rsid w:val="00DE5C80"/>
    <w:rsid w:val="00DE5E42"/>
    <w:rsid w:val="00DE64EF"/>
    <w:rsid w:val="00DE6655"/>
    <w:rsid w:val="00DE6844"/>
    <w:rsid w:val="00DE694F"/>
    <w:rsid w:val="00DE6ADF"/>
    <w:rsid w:val="00DF076E"/>
    <w:rsid w:val="00DF27A5"/>
    <w:rsid w:val="00DF2A4B"/>
    <w:rsid w:val="00DF2F8B"/>
    <w:rsid w:val="00DF443B"/>
    <w:rsid w:val="00DF44E8"/>
    <w:rsid w:val="00DF579E"/>
    <w:rsid w:val="00DF5AFC"/>
    <w:rsid w:val="00DF5FC5"/>
    <w:rsid w:val="00DF61A9"/>
    <w:rsid w:val="00E0179D"/>
    <w:rsid w:val="00E01DEA"/>
    <w:rsid w:val="00E025A2"/>
    <w:rsid w:val="00E025F2"/>
    <w:rsid w:val="00E02ACF"/>
    <w:rsid w:val="00E07AF1"/>
    <w:rsid w:val="00E1011B"/>
    <w:rsid w:val="00E10C2A"/>
    <w:rsid w:val="00E12656"/>
    <w:rsid w:val="00E137B3"/>
    <w:rsid w:val="00E13902"/>
    <w:rsid w:val="00E13ABA"/>
    <w:rsid w:val="00E148B2"/>
    <w:rsid w:val="00E17493"/>
    <w:rsid w:val="00E17637"/>
    <w:rsid w:val="00E17EF7"/>
    <w:rsid w:val="00E20C1F"/>
    <w:rsid w:val="00E22DE7"/>
    <w:rsid w:val="00E23556"/>
    <w:rsid w:val="00E236B9"/>
    <w:rsid w:val="00E23A46"/>
    <w:rsid w:val="00E2568B"/>
    <w:rsid w:val="00E267D5"/>
    <w:rsid w:val="00E26C67"/>
    <w:rsid w:val="00E2715E"/>
    <w:rsid w:val="00E27DB6"/>
    <w:rsid w:val="00E30768"/>
    <w:rsid w:val="00E32419"/>
    <w:rsid w:val="00E32FEF"/>
    <w:rsid w:val="00E34BBD"/>
    <w:rsid w:val="00E3565F"/>
    <w:rsid w:val="00E35C74"/>
    <w:rsid w:val="00E3755B"/>
    <w:rsid w:val="00E41A28"/>
    <w:rsid w:val="00E42B7E"/>
    <w:rsid w:val="00E43977"/>
    <w:rsid w:val="00E44806"/>
    <w:rsid w:val="00E44A36"/>
    <w:rsid w:val="00E44B7A"/>
    <w:rsid w:val="00E45ACE"/>
    <w:rsid w:val="00E4795B"/>
    <w:rsid w:val="00E500CE"/>
    <w:rsid w:val="00E501B2"/>
    <w:rsid w:val="00E52E92"/>
    <w:rsid w:val="00E53DC6"/>
    <w:rsid w:val="00E54800"/>
    <w:rsid w:val="00E5669B"/>
    <w:rsid w:val="00E572E4"/>
    <w:rsid w:val="00E607C0"/>
    <w:rsid w:val="00E61BA4"/>
    <w:rsid w:val="00E6347A"/>
    <w:rsid w:val="00E6482E"/>
    <w:rsid w:val="00E64833"/>
    <w:rsid w:val="00E64ADD"/>
    <w:rsid w:val="00E65DD5"/>
    <w:rsid w:val="00E72D7B"/>
    <w:rsid w:val="00E737A5"/>
    <w:rsid w:val="00E749E7"/>
    <w:rsid w:val="00E74C34"/>
    <w:rsid w:val="00E75B91"/>
    <w:rsid w:val="00E762B8"/>
    <w:rsid w:val="00E80B10"/>
    <w:rsid w:val="00E80FBF"/>
    <w:rsid w:val="00E81745"/>
    <w:rsid w:val="00E82098"/>
    <w:rsid w:val="00E82344"/>
    <w:rsid w:val="00E82BE6"/>
    <w:rsid w:val="00E8333B"/>
    <w:rsid w:val="00E8393D"/>
    <w:rsid w:val="00E841C6"/>
    <w:rsid w:val="00E850DF"/>
    <w:rsid w:val="00E851D3"/>
    <w:rsid w:val="00E854DB"/>
    <w:rsid w:val="00E85886"/>
    <w:rsid w:val="00E86079"/>
    <w:rsid w:val="00E861B8"/>
    <w:rsid w:val="00E86918"/>
    <w:rsid w:val="00E8709A"/>
    <w:rsid w:val="00E9069A"/>
    <w:rsid w:val="00E91919"/>
    <w:rsid w:val="00E946FB"/>
    <w:rsid w:val="00E95BDA"/>
    <w:rsid w:val="00E9673F"/>
    <w:rsid w:val="00E9699C"/>
    <w:rsid w:val="00E9709D"/>
    <w:rsid w:val="00EA09BC"/>
    <w:rsid w:val="00EA1811"/>
    <w:rsid w:val="00EA43E0"/>
    <w:rsid w:val="00EA4B31"/>
    <w:rsid w:val="00EA526A"/>
    <w:rsid w:val="00EA587D"/>
    <w:rsid w:val="00EA6F8A"/>
    <w:rsid w:val="00EA70FD"/>
    <w:rsid w:val="00EB0E7F"/>
    <w:rsid w:val="00EB1428"/>
    <w:rsid w:val="00EB149E"/>
    <w:rsid w:val="00EB1AA2"/>
    <w:rsid w:val="00EB302A"/>
    <w:rsid w:val="00EB4B79"/>
    <w:rsid w:val="00EB5329"/>
    <w:rsid w:val="00EB5C9B"/>
    <w:rsid w:val="00EB7318"/>
    <w:rsid w:val="00EB77FD"/>
    <w:rsid w:val="00EC08A9"/>
    <w:rsid w:val="00EC240D"/>
    <w:rsid w:val="00EC3117"/>
    <w:rsid w:val="00EC38E9"/>
    <w:rsid w:val="00EC54F1"/>
    <w:rsid w:val="00EC5CF4"/>
    <w:rsid w:val="00EC6405"/>
    <w:rsid w:val="00EC6442"/>
    <w:rsid w:val="00EC7A29"/>
    <w:rsid w:val="00EC7D07"/>
    <w:rsid w:val="00EC7FA8"/>
    <w:rsid w:val="00ED0393"/>
    <w:rsid w:val="00ED0EF6"/>
    <w:rsid w:val="00ED12D9"/>
    <w:rsid w:val="00ED2DFE"/>
    <w:rsid w:val="00ED3004"/>
    <w:rsid w:val="00ED3AD6"/>
    <w:rsid w:val="00ED3EC5"/>
    <w:rsid w:val="00ED5052"/>
    <w:rsid w:val="00ED6942"/>
    <w:rsid w:val="00ED6FEC"/>
    <w:rsid w:val="00ED7081"/>
    <w:rsid w:val="00EE02A6"/>
    <w:rsid w:val="00EE23E7"/>
    <w:rsid w:val="00EE25E5"/>
    <w:rsid w:val="00EE2711"/>
    <w:rsid w:val="00EE2763"/>
    <w:rsid w:val="00EE34F9"/>
    <w:rsid w:val="00EE372C"/>
    <w:rsid w:val="00EE5682"/>
    <w:rsid w:val="00EE5EED"/>
    <w:rsid w:val="00EF3EB6"/>
    <w:rsid w:val="00EF4CA0"/>
    <w:rsid w:val="00EF5114"/>
    <w:rsid w:val="00EF6546"/>
    <w:rsid w:val="00EF6BDC"/>
    <w:rsid w:val="00EF7A96"/>
    <w:rsid w:val="00F02D8B"/>
    <w:rsid w:val="00F038CB"/>
    <w:rsid w:val="00F03DF9"/>
    <w:rsid w:val="00F056BD"/>
    <w:rsid w:val="00F05B4A"/>
    <w:rsid w:val="00F0693D"/>
    <w:rsid w:val="00F111E9"/>
    <w:rsid w:val="00F12BFD"/>
    <w:rsid w:val="00F12D7B"/>
    <w:rsid w:val="00F13625"/>
    <w:rsid w:val="00F15AD9"/>
    <w:rsid w:val="00F164D2"/>
    <w:rsid w:val="00F17DDC"/>
    <w:rsid w:val="00F2051B"/>
    <w:rsid w:val="00F20D73"/>
    <w:rsid w:val="00F2243D"/>
    <w:rsid w:val="00F22B6F"/>
    <w:rsid w:val="00F256E2"/>
    <w:rsid w:val="00F26E89"/>
    <w:rsid w:val="00F27FFE"/>
    <w:rsid w:val="00F31783"/>
    <w:rsid w:val="00F31B19"/>
    <w:rsid w:val="00F33E5A"/>
    <w:rsid w:val="00F346AF"/>
    <w:rsid w:val="00F354E2"/>
    <w:rsid w:val="00F35C0F"/>
    <w:rsid w:val="00F35E2D"/>
    <w:rsid w:val="00F35FDA"/>
    <w:rsid w:val="00F414CF"/>
    <w:rsid w:val="00F416EA"/>
    <w:rsid w:val="00F41ADA"/>
    <w:rsid w:val="00F42093"/>
    <w:rsid w:val="00F423F3"/>
    <w:rsid w:val="00F4535A"/>
    <w:rsid w:val="00F46C26"/>
    <w:rsid w:val="00F46E45"/>
    <w:rsid w:val="00F506B2"/>
    <w:rsid w:val="00F511BB"/>
    <w:rsid w:val="00F5141A"/>
    <w:rsid w:val="00F51AB2"/>
    <w:rsid w:val="00F51AF2"/>
    <w:rsid w:val="00F5267A"/>
    <w:rsid w:val="00F53795"/>
    <w:rsid w:val="00F537F9"/>
    <w:rsid w:val="00F53866"/>
    <w:rsid w:val="00F5613A"/>
    <w:rsid w:val="00F56DF3"/>
    <w:rsid w:val="00F57EF9"/>
    <w:rsid w:val="00F602BD"/>
    <w:rsid w:val="00F603C0"/>
    <w:rsid w:val="00F630DE"/>
    <w:rsid w:val="00F63A1C"/>
    <w:rsid w:val="00F64158"/>
    <w:rsid w:val="00F656EC"/>
    <w:rsid w:val="00F6619A"/>
    <w:rsid w:val="00F665AE"/>
    <w:rsid w:val="00F66CF4"/>
    <w:rsid w:val="00F676DC"/>
    <w:rsid w:val="00F71810"/>
    <w:rsid w:val="00F72AFF"/>
    <w:rsid w:val="00F72D76"/>
    <w:rsid w:val="00F73850"/>
    <w:rsid w:val="00F73C15"/>
    <w:rsid w:val="00F74236"/>
    <w:rsid w:val="00F75EA3"/>
    <w:rsid w:val="00F76105"/>
    <w:rsid w:val="00F76816"/>
    <w:rsid w:val="00F7690A"/>
    <w:rsid w:val="00F7732A"/>
    <w:rsid w:val="00F806E5"/>
    <w:rsid w:val="00F82966"/>
    <w:rsid w:val="00F83DD0"/>
    <w:rsid w:val="00F8463B"/>
    <w:rsid w:val="00F84BE0"/>
    <w:rsid w:val="00F85155"/>
    <w:rsid w:val="00F86F8B"/>
    <w:rsid w:val="00F87398"/>
    <w:rsid w:val="00F87977"/>
    <w:rsid w:val="00F900DC"/>
    <w:rsid w:val="00F9098B"/>
    <w:rsid w:val="00F91837"/>
    <w:rsid w:val="00F92402"/>
    <w:rsid w:val="00F93D00"/>
    <w:rsid w:val="00F9406D"/>
    <w:rsid w:val="00F94313"/>
    <w:rsid w:val="00F947F1"/>
    <w:rsid w:val="00F94E2C"/>
    <w:rsid w:val="00F95565"/>
    <w:rsid w:val="00F972D9"/>
    <w:rsid w:val="00F97799"/>
    <w:rsid w:val="00FA0DCD"/>
    <w:rsid w:val="00FA142E"/>
    <w:rsid w:val="00FA1959"/>
    <w:rsid w:val="00FA19CA"/>
    <w:rsid w:val="00FA1F11"/>
    <w:rsid w:val="00FA2359"/>
    <w:rsid w:val="00FA28FF"/>
    <w:rsid w:val="00FA5B30"/>
    <w:rsid w:val="00FA60E9"/>
    <w:rsid w:val="00FA791F"/>
    <w:rsid w:val="00FB0692"/>
    <w:rsid w:val="00FB133E"/>
    <w:rsid w:val="00FB1D2E"/>
    <w:rsid w:val="00FB3533"/>
    <w:rsid w:val="00FB3FF0"/>
    <w:rsid w:val="00FB53C7"/>
    <w:rsid w:val="00FB634D"/>
    <w:rsid w:val="00FB6FA8"/>
    <w:rsid w:val="00FB7E0E"/>
    <w:rsid w:val="00FC0051"/>
    <w:rsid w:val="00FC036A"/>
    <w:rsid w:val="00FC0E12"/>
    <w:rsid w:val="00FC3631"/>
    <w:rsid w:val="00FC7DA2"/>
    <w:rsid w:val="00FD00F8"/>
    <w:rsid w:val="00FD2F07"/>
    <w:rsid w:val="00FD4DE6"/>
    <w:rsid w:val="00FE00AF"/>
    <w:rsid w:val="00FE0D7C"/>
    <w:rsid w:val="00FE14A6"/>
    <w:rsid w:val="00FE1528"/>
    <w:rsid w:val="00FE1CAA"/>
    <w:rsid w:val="00FE2298"/>
    <w:rsid w:val="00FE23AA"/>
    <w:rsid w:val="00FE253C"/>
    <w:rsid w:val="00FE2A5A"/>
    <w:rsid w:val="00FE4E0D"/>
    <w:rsid w:val="00FE52D7"/>
    <w:rsid w:val="00FE67F7"/>
    <w:rsid w:val="00FE756F"/>
    <w:rsid w:val="00FE7644"/>
    <w:rsid w:val="00FE7E13"/>
    <w:rsid w:val="00FF25FA"/>
    <w:rsid w:val="00FF3C02"/>
    <w:rsid w:val="00FF4A3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98650A"/>
  <w15:docId w15:val="{7D09B47C-4B28-4125-8A25-3F031339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ADD"/>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uiPriority w:val="9"/>
    <w:qFormat/>
    <w:rsid w:val="008E56F7"/>
    <w:pPr>
      <w:keepNext/>
      <w:pageBreakBefore/>
      <w:spacing w:before="240"/>
      <w:outlineLvl w:val="0"/>
    </w:pPr>
    <w:rPr>
      <w:rFonts w:cs="Arial"/>
      <w:b/>
      <w:snapToGrid w:val="0"/>
      <w:kern w:val="28"/>
      <w:sz w:val="40"/>
      <w:szCs w:val="20"/>
    </w:rPr>
  </w:style>
  <w:style w:type="paragraph" w:styleId="Heading2">
    <w:name w:val="heading 2"/>
    <w:basedOn w:val="Normal"/>
    <w:next w:val="Normal"/>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link w:val="Heading4Char"/>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2050CA"/>
    <w:pPr>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semiHidden/>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uiPriority w:val="99"/>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uiPriority w:val="99"/>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0"/>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autoRedefine/>
    <w:uiPriority w:val="39"/>
    <w:rsid w:val="00896B85"/>
    <w:pPr>
      <w:tabs>
        <w:tab w:val="right" w:pos="9360"/>
      </w:tabs>
      <w:spacing w:before="300"/>
      <w:ind w:right="-6"/>
    </w:pPr>
    <w:rPr>
      <w:b/>
      <w:noProof/>
      <w:szCs w:val="36"/>
    </w:rPr>
  </w:style>
  <w:style w:type="paragraph" w:styleId="TOC2">
    <w:name w:val="toc 2"/>
    <w:basedOn w:val="Normal"/>
    <w:next w:val="Normal"/>
    <w:autoRedefine/>
    <w:uiPriority w:val="39"/>
    <w:rsid w:val="00827FE1"/>
    <w:pPr>
      <w:tabs>
        <w:tab w:val="clear" w:pos="567"/>
        <w:tab w:val="right" w:pos="9360"/>
      </w:tabs>
      <w:spacing w:before="140"/>
      <w:ind w:left="1260" w:right="278" w:hanging="709"/>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link w:val="BodyTextChar"/>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uiPriority w:val="11"/>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5"/>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uiPriority w:val="20"/>
    <w:qFormat/>
    <w:rsid w:val="00001E5A"/>
    <w:rPr>
      <w:i/>
      <w:iCs/>
    </w:rPr>
  </w:style>
  <w:style w:type="paragraph" w:customStyle="1" w:styleId="Heading1numbered">
    <w:name w:val="Heading 1 (numbered)"/>
    <w:basedOn w:val="Heading1"/>
    <w:next w:val="Normal"/>
    <w:semiHidden/>
    <w:rsid w:val="00E64ADD"/>
    <w:pPr>
      <w:numPr>
        <w:numId w:val="26"/>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uiPriority w:val="99"/>
    <w:semiHidden/>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26"/>
      </w:numPr>
      <w:tabs>
        <w:tab w:val="clear" w:pos="567"/>
      </w:tabs>
      <w:spacing w:after="120"/>
    </w:pPr>
  </w:style>
  <w:style w:type="paragraph" w:styleId="Title">
    <w:name w:val="Title"/>
    <w:basedOn w:val="Normal"/>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link w:val="BulletedListLevel2Char"/>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26"/>
      </w:numPr>
      <w:tabs>
        <w:tab w:val="clear" w:pos="567"/>
        <w:tab w:val="clear" w:pos="851"/>
        <w:tab w:val="num" w:pos="1702"/>
      </w:tabs>
      <w:spacing w:after="120"/>
      <w:ind w:left="1702"/>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26"/>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6"/>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semiHidden/>
    <w:rsid w:val="00E64ADD"/>
    <w:rPr>
      <w:rFonts w:ascii="Tahoma" w:hAnsi="Tahoma" w:cs="Tahoma"/>
      <w:sz w:val="16"/>
      <w:szCs w:val="16"/>
    </w:rPr>
  </w:style>
  <w:style w:type="character" w:styleId="CommentReference">
    <w:name w:val="annotation reference"/>
    <w:semiHidden/>
    <w:rsid w:val="00E64ADD"/>
    <w:rPr>
      <w:sz w:val="16"/>
      <w:szCs w:val="16"/>
    </w:rPr>
  </w:style>
  <w:style w:type="paragraph" w:styleId="CommentText">
    <w:name w:val="annotation text"/>
    <w:basedOn w:val="Normal"/>
    <w:link w:val="CommentTextChar"/>
    <w:semiHidden/>
    <w:rsid w:val="00E64ADD"/>
    <w:rPr>
      <w:sz w:val="20"/>
      <w:szCs w:val="20"/>
    </w:rPr>
  </w:style>
  <w:style w:type="paragraph" w:styleId="CommentSubject">
    <w:name w:val="annotation subject"/>
    <w:basedOn w:val="CommentText"/>
    <w:next w:val="CommentText"/>
    <w:semiHidden/>
    <w:rsid w:val="00E64ADD"/>
    <w:rPr>
      <w:b/>
      <w:bCs/>
    </w:rPr>
  </w:style>
  <w:style w:type="character" w:styleId="EndnoteReference">
    <w:name w:val="endnote reference"/>
    <w:semiHidden/>
    <w:rsid w:val="00E64ADD"/>
    <w:rPr>
      <w:vertAlign w:val="superscript"/>
    </w:rPr>
  </w:style>
  <w:style w:type="paragraph" w:styleId="EndnoteText">
    <w:name w:val="endnote text"/>
    <w:basedOn w:val="Normal"/>
    <w:semiHidden/>
    <w:rsid w:val="00E64ADD"/>
    <w:rPr>
      <w:sz w:val="20"/>
      <w:szCs w:val="20"/>
    </w:rPr>
  </w:style>
  <w:style w:type="paragraph" w:styleId="Index1">
    <w:name w:val="index 1"/>
    <w:basedOn w:val="Normal"/>
    <w:next w:val="Normal"/>
    <w:autoRedefine/>
    <w:semiHidden/>
    <w:rsid w:val="00E64ADD"/>
    <w:pPr>
      <w:tabs>
        <w:tab w:val="clear" w:pos="567"/>
      </w:tabs>
      <w:ind w:left="220" w:hanging="220"/>
    </w:pPr>
  </w:style>
  <w:style w:type="paragraph" w:styleId="Index2">
    <w:name w:val="index 2"/>
    <w:basedOn w:val="Normal"/>
    <w:next w:val="Normal"/>
    <w:autoRedefine/>
    <w:semiHidden/>
    <w:rsid w:val="00E64ADD"/>
    <w:pPr>
      <w:tabs>
        <w:tab w:val="clear" w:pos="567"/>
      </w:tabs>
      <w:ind w:left="440" w:hanging="220"/>
    </w:pPr>
  </w:style>
  <w:style w:type="paragraph" w:styleId="Index3">
    <w:name w:val="index 3"/>
    <w:basedOn w:val="Normal"/>
    <w:next w:val="Normal"/>
    <w:autoRedefine/>
    <w:semiHidden/>
    <w:rsid w:val="00E64ADD"/>
    <w:pPr>
      <w:tabs>
        <w:tab w:val="clear" w:pos="567"/>
      </w:tabs>
      <w:ind w:left="660" w:hanging="220"/>
    </w:pPr>
  </w:style>
  <w:style w:type="paragraph" w:styleId="Index4">
    <w:name w:val="index 4"/>
    <w:basedOn w:val="Normal"/>
    <w:next w:val="Normal"/>
    <w:autoRedefine/>
    <w:semiHidden/>
    <w:rsid w:val="00E64ADD"/>
    <w:pPr>
      <w:tabs>
        <w:tab w:val="clear" w:pos="567"/>
      </w:tabs>
      <w:ind w:left="880" w:hanging="220"/>
    </w:p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semiHidden/>
    <w:rsid w:val="00E64ADD"/>
    <w:pPr>
      <w:tabs>
        <w:tab w:val="clear" w:pos="567"/>
      </w:tabs>
      <w:ind w:left="440"/>
    </w:pPr>
  </w:style>
  <w:style w:type="paragraph" w:styleId="TOC4">
    <w:name w:val="toc 4"/>
    <w:basedOn w:val="Normal"/>
    <w:next w:val="Normal"/>
    <w:autoRedefine/>
    <w:semiHidden/>
    <w:rsid w:val="00E64ADD"/>
    <w:pPr>
      <w:tabs>
        <w:tab w:val="clear" w:pos="567"/>
      </w:tabs>
      <w:ind w:left="660"/>
    </w:pPr>
  </w:style>
  <w:style w:type="paragraph" w:styleId="TOC5">
    <w:name w:val="toc 5"/>
    <w:basedOn w:val="Normal"/>
    <w:next w:val="Normal"/>
    <w:autoRedefine/>
    <w:semiHidden/>
    <w:rsid w:val="00E64ADD"/>
    <w:pPr>
      <w:tabs>
        <w:tab w:val="clear" w:pos="567"/>
      </w:tabs>
      <w:ind w:left="880"/>
    </w:pPr>
  </w:style>
  <w:style w:type="paragraph" w:styleId="TOC6">
    <w:name w:val="toc 6"/>
    <w:basedOn w:val="Normal"/>
    <w:next w:val="Normal"/>
    <w:autoRedefine/>
    <w:semiHidden/>
    <w:rsid w:val="00E64ADD"/>
    <w:pPr>
      <w:tabs>
        <w:tab w:val="clear" w:pos="567"/>
      </w:tabs>
      <w:ind w:left="1100"/>
    </w:pPr>
  </w:style>
  <w:style w:type="paragraph" w:styleId="TOC7">
    <w:name w:val="toc 7"/>
    <w:basedOn w:val="Normal"/>
    <w:next w:val="Normal"/>
    <w:autoRedefine/>
    <w:semiHidden/>
    <w:rsid w:val="00E64ADD"/>
    <w:pPr>
      <w:tabs>
        <w:tab w:val="clear" w:pos="567"/>
      </w:tabs>
      <w:ind w:left="1320"/>
    </w:pPr>
  </w:style>
  <w:style w:type="paragraph" w:styleId="TOC8">
    <w:name w:val="toc 8"/>
    <w:basedOn w:val="Normal"/>
    <w:next w:val="Normal"/>
    <w:autoRedefine/>
    <w:semiHidden/>
    <w:rsid w:val="00E64ADD"/>
    <w:pPr>
      <w:tabs>
        <w:tab w:val="clear" w:pos="567"/>
      </w:tabs>
      <w:ind w:left="1540"/>
    </w:pPr>
  </w:style>
  <w:style w:type="paragraph" w:styleId="TOC9">
    <w:name w:val="toc 9"/>
    <w:basedOn w:val="Normal"/>
    <w:next w:val="Normal"/>
    <w:autoRedefine/>
    <w:semiHidden/>
    <w:rsid w:val="00E64ADD"/>
    <w:pPr>
      <w:tabs>
        <w:tab w:val="clear" w:pos="567"/>
      </w:tabs>
      <w:ind w:left="1760"/>
    </w:pPr>
  </w:style>
  <w:style w:type="numbering" w:styleId="111111">
    <w:name w:val="Outline List 2"/>
    <w:basedOn w:val="NoList"/>
    <w:semiHidden/>
    <w:rsid w:val="00E64ADD"/>
    <w:pPr>
      <w:numPr>
        <w:numId w:val="17"/>
      </w:numPr>
    </w:pPr>
  </w:style>
  <w:style w:type="numbering" w:styleId="1ai">
    <w:name w:val="Outline List 1"/>
    <w:basedOn w:val="NoList"/>
    <w:semiHidden/>
    <w:rsid w:val="00E64ADD"/>
    <w:pPr>
      <w:numPr>
        <w:numId w:val="18"/>
      </w:numPr>
    </w:pPr>
  </w:style>
  <w:style w:type="numbering" w:styleId="ArticleSection">
    <w:name w:val="Outline List 3"/>
    <w:basedOn w:val="NoList"/>
    <w:semiHidden/>
    <w:rsid w:val="00E64ADD"/>
    <w:pPr>
      <w:numPr>
        <w:numId w:val="19"/>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tabs>
        <w:tab w:val="clear" w:pos="360"/>
      </w:tabs>
      <w:ind w:left="567" w:hanging="567"/>
    </w:pPr>
  </w:style>
  <w:style w:type="paragraph" w:styleId="ListBullet2">
    <w:name w:val="List Bullet 2"/>
    <w:basedOn w:val="Normal"/>
    <w:semiHidden/>
    <w:rsid w:val="00850CEC"/>
    <w:pPr>
      <w:numPr>
        <w:numId w:val="21"/>
      </w:numPr>
      <w:tabs>
        <w:tab w:val="clear" w:pos="567"/>
        <w:tab w:val="left" w:pos="1134"/>
      </w:tabs>
      <w:ind w:left="1134" w:hanging="567"/>
    </w:pPr>
  </w:style>
  <w:style w:type="paragraph" w:styleId="ListBullet3">
    <w:name w:val="List Bullet 3"/>
    <w:basedOn w:val="ListBullet2"/>
    <w:semiHidden/>
    <w:rsid w:val="00850CEC"/>
    <w:pPr>
      <w:numPr>
        <w:numId w:val="22"/>
      </w:numPr>
      <w:tabs>
        <w:tab w:val="left" w:pos="1701"/>
      </w:tabs>
      <w:ind w:left="1701" w:hanging="567"/>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semiHidden/>
    <w:rsid w:val="00850CEC"/>
    <w:pPr>
      <w:numPr>
        <w:numId w:val="23"/>
      </w:numPr>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otnoteTextChar">
    <w:name w:val="Footnote Text Char"/>
    <w:link w:val="FootnoteText"/>
    <w:uiPriority w:val="99"/>
    <w:rsid w:val="00B60A67"/>
    <w:rPr>
      <w:rFonts w:ascii="Gill Sans MT" w:hAnsi="Gill Sans MT"/>
      <w:color w:val="000000"/>
      <w:lang w:eastAsia="en-US"/>
    </w:rPr>
  </w:style>
  <w:style w:type="character" w:customStyle="1" w:styleId="CommentTextChar">
    <w:name w:val="Comment Text Char"/>
    <w:link w:val="CommentText"/>
    <w:semiHidden/>
    <w:rsid w:val="00B60A67"/>
    <w:rPr>
      <w:rFonts w:ascii="Gill Sans MT" w:hAnsi="Gill Sans MT"/>
      <w:lang w:eastAsia="en-US"/>
    </w:rPr>
  </w:style>
  <w:style w:type="character" w:customStyle="1" w:styleId="HeaderChar">
    <w:name w:val="Header Char"/>
    <w:link w:val="Header"/>
    <w:uiPriority w:val="99"/>
    <w:rsid w:val="00B60A67"/>
    <w:rPr>
      <w:rFonts w:ascii="Gill Sans MT" w:hAnsi="Gill Sans MT"/>
      <w:sz w:val="16"/>
      <w:szCs w:val="22"/>
      <w:lang w:eastAsia="en-US"/>
    </w:rPr>
  </w:style>
  <w:style w:type="paragraph" w:styleId="ListParagraph">
    <w:name w:val="List Paragraph"/>
    <w:basedOn w:val="Normal"/>
    <w:uiPriority w:val="34"/>
    <w:qFormat/>
    <w:rsid w:val="004F6AD6"/>
    <w:pPr>
      <w:numPr>
        <w:numId w:val="24"/>
      </w:numPr>
      <w:tabs>
        <w:tab w:val="clear" w:pos="567"/>
      </w:tabs>
      <w:spacing w:after="0" w:line="240" w:lineRule="auto"/>
      <w:jc w:val="both"/>
    </w:pPr>
    <w:rPr>
      <w:sz w:val="24"/>
      <w:szCs w:val="24"/>
      <w:lang w:eastAsia="en-AU"/>
    </w:rPr>
  </w:style>
  <w:style w:type="paragraph" w:customStyle="1" w:styleId="Default">
    <w:name w:val="Default"/>
    <w:rsid w:val="00B60A67"/>
    <w:pPr>
      <w:autoSpaceDE w:val="0"/>
      <w:autoSpaceDN w:val="0"/>
      <w:adjustRightInd w:val="0"/>
    </w:pPr>
    <w:rPr>
      <w:rFonts w:ascii="Calibri" w:eastAsia="Calibri" w:hAnsi="Calibri" w:cs="Calibri"/>
      <w:color w:val="000000"/>
      <w:sz w:val="24"/>
      <w:szCs w:val="24"/>
      <w:lang w:eastAsia="en-US"/>
    </w:rPr>
  </w:style>
  <w:style w:type="character" w:customStyle="1" w:styleId="Heading4Char">
    <w:name w:val="Heading 4 Char"/>
    <w:link w:val="Heading4"/>
    <w:rsid w:val="00B60A67"/>
    <w:rPr>
      <w:rFonts w:ascii="Gill Sans MT" w:hAnsi="Gill Sans MT"/>
      <w:b/>
      <w:bCs/>
      <w:sz w:val="24"/>
      <w:szCs w:val="22"/>
    </w:rPr>
  </w:style>
  <w:style w:type="paragraph" w:styleId="Revision">
    <w:name w:val="Revision"/>
    <w:hidden/>
    <w:uiPriority w:val="99"/>
    <w:semiHidden/>
    <w:rsid w:val="00B60A67"/>
    <w:rPr>
      <w:rFonts w:ascii="Gill Sans MT" w:hAnsi="Gill Sans MT"/>
      <w:sz w:val="22"/>
      <w:szCs w:val="22"/>
      <w:lang w:eastAsia="en-US"/>
    </w:rPr>
  </w:style>
  <w:style w:type="character" w:customStyle="1" w:styleId="BodyTextChar">
    <w:name w:val="Body Text Char"/>
    <w:link w:val="BodyText"/>
    <w:rsid w:val="00B60A67"/>
    <w:rPr>
      <w:rFonts w:ascii="Gill Sans MT" w:hAnsi="Gill Sans MT"/>
      <w:sz w:val="22"/>
      <w:szCs w:val="22"/>
      <w:lang w:eastAsia="en-US"/>
    </w:rPr>
  </w:style>
  <w:style w:type="paragraph" w:customStyle="1" w:styleId="NormalItalics">
    <w:name w:val="NormalItalics"/>
    <w:basedOn w:val="Normal"/>
    <w:rsid w:val="00736968"/>
    <w:pPr>
      <w:tabs>
        <w:tab w:val="clear" w:pos="567"/>
      </w:tabs>
      <w:spacing w:before="120" w:after="240" w:line="240" w:lineRule="auto"/>
      <w:ind w:left="720"/>
    </w:pPr>
    <w:rPr>
      <w:rFonts w:ascii="Times New Roman" w:hAnsi="Times New Roman"/>
      <w:i/>
      <w:iCs/>
      <w:sz w:val="24"/>
      <w:szCs w:val="24"/>
    </w:rPr>
  </w:style>
  <w:style w:type="character" w:customStyle="1" w:styleId="BulletedListLevel1Char">
    <w:name w:val="Bulleted List Level 1 Char"/>
    <w:basedOn w:val="DefaultParagraphFont"/>
    <w:link w:val="BulletedListLevel1"/>
    <w:rsid w:val="005B4C87"/>
    <w:rPr>
      <w:rFonts w:ascii="Gill Sans MT" w:hAnsi="Gill Sans MT"/>
      <w:sz w:val="22"/>
      <w:szCs w:val="24"/>
      <w:lang w:eastAsia="en-US"/>
    </w:rPr>
  </w:style>
  <w:style w:type="character" w:customStyle="1" w:styleId="BulletedListLevel2Char">
    <w:name w:val="Bulleted List Level 2 Char"/>
    <w:basedOn w:val="DefaultParagraphFont"/>
    <w:link w:val="BulletedListLevel2"/>
    <w:semiHidden/>
    <w:rsid w:val="005B4C87"/>
    <w:rPr>
      <w:rFonts w:ascii="Gill Sans MT" w:hAnsi="Gill Sans MT" w:cs="Arial"/>
      <w:snapToGrid w:val="0"/>
      <w:kern w:val="28"/>
      <w:sz w:val="22"/>
      <w:lang w:eastAsia="en-US"/>
    </w:rPr>
  </w:style>
  <w:style w:type="table" w:styleId="LightShading-Accent1">
    <w:name w:val="Light Shading Accent 1"/>
    <w:basedOn w:val="TableNormal"/>
    <w:uiPriority w:val="60"/>
    <w:rsid w:val="00057DB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ntro">
    <w:name w:val="Intro"/>
    <w:basedOn w:val="Normal"/>
    <w:qFormat/>
    <w:rsid w:val="00057DB7"/>
    <w:pPr>
      <w:tabs>
        <w:tab w:val="clear" w:pos="567"/>
      </w:tabs>
      <w:spacing w:after="380" w:line="240" w:lineRule="auto"/>
    </w:pPr>
    <w:rPr>
      <w:rFonts w:ascii="Arial" w:eastAsia="MS Mincho" w:hAnsi="Arial"/>
      <w:sz w:val="24"/>
      <w:szCs w:val="24"/>
      <w:lang w:val="en-GB"/>
    </w:rPr>
  </w:style>
  <w:style w:type="character" w:customStyle="1" w:styleId="SubtitleChar">
    <w:name w:val="Subtitle Char"/>
    <w:basedOn w:val="DefaultParagraphFont"/>
    <w:link w:val="Subtitle"/>
    <w:uiPriority w:val="11"/>
    <w:rsid w:val="00B53821"/>
    <w:rPr>
      <w:rFonts w:ascii="Gill Sans MT" w:hAnsi="Gill Sans MT" w:cs="Arial"/>
      <w:sz w:val="24"/>
      <w:szCs w:val="22"/>
      <w:lang w:eastAsia="en-US"/>
    </w:rPr>
  </w:style>
  <w:style w:type="character" w:styleId="IntenseEmphasis">
    <w:name w:val="Intense Emphasis"/>
    <w:basedOn w:val="DefaultParagraphFont"/>
    <w:uiPriority w:val="21"/>
    <w:qFormat/>
    <w:rsid w:val="00861BAD"/>
  </w:style>
  <w:style w:type="character" w:customStyle="1" w:styleId="Heading1Char">
    <w:name w:val="Heading 1 Char"/>
    <w:basedOn w:val="DefaultParagraphFont"/>
    <w:link w:val="Heading1"/>
    <w:uiPriority w:val="9"/>
    <w:rsid w:val="00B10FD2"/>
    <w:rPr>
      <w:rFonts w:ascii="Gill Sans MT" w:hAnsi="Gill Sans MT" w:cs="Arial"/>
      <w:b/>
      <w:snapToGrid w:val="0"/>
      <w:kern w:val="28"/>
      <w:sz w:val="40"/>
      <w:lang w:eastAsia="en-US"/>
    </w:rPr>
  </w:style>
  <w:style w:type="paragraph" w:styleId="Bibliography">
    <w:name w:val="Bibliography"/>
    <w:basedOn w:val="Normal"/>
    <w:next w:val="Normal"/>
    <w:uiPriority w:val="37"/>
    <w:unhideWhenUsed/>
    <w:rsid w:val="00B10FD2"/>
  </w:style>
  <w:style w:type="paragraph" w:customStyle="1" w:styleId="Pa15">
    <w:name w:val="Pa15"/>
    <w:basedOn w:val="Default"/>
    <w:next w:val="Default"/>
    <w:uiPriority w:val="99"/>
    <w:rsid w:val="00512AC3"/>
    <w:pPr>
      <w:spacing w:line="221" w:lineRule="atLeast"/>
    </w:pPr>
    <w:rPr>
      <w:rFonts w:ascii="Gill Sans" w:eastAsia="Times New Roman" w:hAnsi="Gill Sans" w:cs="Times New Roman"/>
      <w:color w:val="auto"/>
      <w:lang w:eastAsia="en-AU"/>
    </w:rPr>
  </w:style>
  <w:style w:type="paragraph" w:customStyle="1" w:styleId="Pa5">
    <w:name w:val="Pa5"/>
    <w:basedOn w:val="Default"/>
    <w:next w:val="Default"/>
    <w:uiPriority w:val="99"/>
    <w:rsid w:val="00C5179E"/>
    <w:pPr>
      <w:spacing w:line="221" w:lineRule="atLeast"/>
    </w:pPr>
    <w:rPr>
      <w:rFonts w:ascii="GillSans Light" w:eastAsia="Times New Roman" w:hAnsi="GillSans Light"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8262">
      <w:bodyDiv w:val="1"/>
      <w:marLeft w:val="0"/>
      <w:marRight w:val="0"/>
      <w:marTop w:val="0"/>
      <w:marBottom w:val="0"/>
      <w:divBdr>
        <w:top w:val="none" w:sz="0" w:space="0" w:color="auto"/>
        <w:left w:val="none" w:sz="0" w:space="0" w:color="auto"/>
        <w:bottom w:val="none" w:sz="0" w:space="0" w:color="auto"/>
        <w:right w:val="none" w:sz="0" w:space="0" w:color="auto"/>
      </w:divBdr>
    </w:div>
    <w:div w:id="279579276">
      <w:bodyDiv w:val="1"/>
      <w:marLeft w:val="0"/>
      <w:marRight w:val="0"/>
      <w:marTop w:val="0"/>
      <w:marBottom w:val="0"/>
      <w:divBdr>
        <w:top w:val="none" w:sz="0" w:space="0" w:color="auto"/>
        <w:left w:val="none" w:sz="0" w:space="0" w:color="auto"/>
        <w:bottom w:val="none" w:sz="0" w:space="0" w:color="auto"/>
        <w:right w:val="none" w:sz="0" w:space="0" w:color="auto"/>
      </w:divBdr>
      <w:divsChild>
        <w:div w:id="319115860">
          <w:marLeft w:val="446"/>
          <w:marRight w:val="0"/>
          <w:marTop w:val="0"/>
          <w:marBottom w:val="0"/>
          <w:divBdr>
            <w:top w:val="none" w:sz="0" w:space="0" w:color="auto"/>
            <w:left w:val="none" w:sz="0" w:space="0" w:color="auto"/>
            <w:bottom w:val="none" w:sz="0" w:space="0" w:color="auto"/>
            <w:right w:val="none" w:sz="0" w:space="0" w:color="auto"/>
          </w:divBdr>
        </w:div>
        <w:div w:id="1691176128">
          <w:marLeft w:val="446"/>
          <w:marRight w:val="0"/>
          <w:marTop w:val="0"/>
          <w:marBottom w:val="0"/>
          <w:divBdr>
            <w:top w:val="none" w:sz="0" w:space="0" w:color="auto"/>
            <w:left w:val="none" w:sz="0" w:space="0" w:color="auto"/>
            <w:bottom w:val="none" w:sz="0" w:space="0" w:color="auto"/>
            <w:right w:val="none" w:sz="0" w:space="0" w:color="auto"/>
          </w:divBdr>
        </w:div>
        <w:div w:id="1904481191">
          <w:marLeft w:val="446"/>
          <w:marRight w:val="0"/>
          <w:marTop w:val="0"/>
          <w:marBottom w:val="0"/>
          <w:divBdr>
            <w:top w:val="none" w:sz="0" w:space="0" w:color="auto"/>
            <w:left w:val="none" w:sz="0" w:space="0" w:color="auto"/>
            <w:bottom w:val="none" w:sz="0" w:space="0" w:color="auto"/>
            <w:right w:val="none" w:sz="0" w:space="0" w:color="auto"/>
          </w:divBdr>
        </w:div>
        <w:div w:id="2023121540">
          <w:marLeft w:val="446"/>
          <w:marRight w:val="0"/>
          <w:marTop w:val="0"/>
          <w:marBottom w:val="0"/>
          <w:divBdr>
            <w:top w:val="none" w:sz="0" w:space="0" w:color="auto"/>
            <w:left w:val="none" w:sz="0" w:space="0" w:color="auto"/>
            <w:bottom w:val="none" w:sz="0" w:space="0" w:color="auto"/>
            <w:right w:val="none" w:sz="0" w:space="0" w:color="auto"/>
          </w:divBdr>
        </w:div>
      </w:divsChild>
    </w:div>
    <w:div w:id="518593048">
      <w:bodyDiv w:val="1"/>
      <w:marLeft w:val="0"/>
      <w:marRight w:val="0"/>
      <w:marTop w:val="0"/>
      <w:marBottom w:val="0"/>
      <w:divBdr>
        <w:top w:val="none" w:sz="0" w:space="0" w:color="auto"/>
        <w:left w:val="none" w:sz="0" w:space="0" w:color="auto"/>
        <w:bottom w:val="none" w:sz="0" w:space="0" w:color="auto"/>
        <w:right w:val="none" w:sz="0" w:space="0" w:color="auto"/>
      </w:divBdr>
    </w:div>
    <w:div w:id="521865978">
      <w:bodyDiv w:val="1"/>
      <w:marLeft w:val="0"/>
      <w:marRight w:val="0"/>
      <w:marTop w:val="0"/>
      <w:marBottom w:val="0"/>
      <w:divBdr>
        <w:top w:val="none" w:sz="0" w:space="0" w:color="auto"/>
        <w:left w:val="none" w:sz="0" w:space="0" w:color="auto"/>
        <w:bottom w:val="none" w:sz="0" w:space="0" w:color="auto"/>
        <w:right w:val="none" w:sz="0" w:space="0" w:color="auto"/>
      </w:divBdr>
    </w:div>
    <w:div w:id="608853915">
      <w:bodyDiv w:val="1"/>
      <w:marLeft w:val="0"/>
      <w:marRight w:val="0"/>
      <w:marTop w:val="0"/>
      <w:marBottom w:val="0"/>
      <w:divBdr>
        <w:top w:val="none" w:sz="0" w:space="0" w:color="auto"/>
        <w:left w:val="none" w:sz="0" w:space="0" w:color="auto"/>
        <w:bottom w:val="none" w:sz="0" w:space="0" w:color="auto"/>
        <w:right w:val="none" w:sz="0" w:space="0" w:color="auto"/>
      </w:divBdr>
    </w:div>
    <w:div w:id="765885315">
      <w:bodyDiv w:val="1"/>
      <w:marLeft w:val="0"/>
      <w:marRight w:val="0"/>
      <w:marTop w:val="0"/>
      <w:marBottom w:val="0"/>
      <w:divBdr>
        <w:top w:val="none" w:sz="0" w:space="0" w:color="auto"/>
        <w:left w:val="none" w:sz="0" w:space="0" w:color="auto"/>
        <w:bottom w:val="none" w:sz="0" w:space="0" w:color="auto"/>
        <w:right w:val="none" w:sz="0" w:space="0" w:color="auto"/>
      </w:divBdr>
    </w:div>
    <w:div w:id="778526005">
      <w:bodyDiv w:val="1"/>
      <w:marLeft w:val="0"/>
      <w:marRight w:val="0"/>
      <w:marTop w:val="0"/>
      <w:marBottom w:val="0"/>
      <w:divBdr>
        <w:top w:val="none" w:sz="0" w:space="0" w:color="auto"/>
        <w:left w:val="none" w:sz="0" w:space="0" w:color="auto"/>
        <w:bottom w:val="none" w:sz="0" w:space="0" w:color="auto"/>
        <w:right w:val="none" w:sz="0" w:space="0" w:color="auto"/>
      </w:divBdr>
    </w:div>
    <w:div w:id="825515569">
      <w:bodyDiv w:val="1"/>
      <w:marLeft w:val="0"/>
      <w:marRight w:val="0"/>
      <w:marTop w:val="0"/>
      <w:marBottom w:val="0"/>
      <w:divBdr>
        <w:top w:val="none" w:sz="0" w:space="0" w:color="auto"/>
        <w:left w:val="none" w:sz="0" w:space="0" w:color="auto"/>
        <w:bottom w:val="none" w:sz="0" w:space="0" w:color="auto"/>
        <w:right w:val="none" w:sz="0" w:space="0" w:color="auto"/>
      </w:divBdr>
    </w:div>
    <w:div w:id="914053440">
      <w:bodyDiv w:val="1"/>
      <w:marLeft w:val="0"/>
      <w:marRight w:val="0"/>
      <w:marTop w:val="0"/>
      <w:marBottom w:val="0"/>
      <w:divBdr>
        <w:top w:val="none" w:sz="0" w:space="0" w:color="auto"/>
        <w:left w:val="none" w:sz="0" w:space="0" w:color="auto"/>
        <w:bottom w:val="none" w:sz="0" w:space="0" w:color="auto"/>
        <w:right w:val="none" w:sz="0" w:space="0" w:color="auto"/>
      </w:divBdr>
    </w:div>
    <w:div w:id="974486369">
      <w:bodyDiv w:val="1"/>
      <w:marLeft w:val="0"/>
      <w:marRight w:val="0"/>
      <w:marTop w:val="0"/>
      <w:marBottom w:val="0"/>
      <w:divBdr>
        <w:top w:val="none" w:sz="0" w:space="0" w:color="auto"/>
        <w:left w:val="none" w:sz="0" w:space="0" w:color="auto"/>
        <w:bottom w:val="none" w:sz="0" w:space="0" w:color="auto"/>
        <w:right w:val="none" w:sz="0" w:space="0" w:color="auto"/>
      </w:divBdr>
    </w:div>
    <w:div w:id="1223365201">
      <w:bodyDiv w:val="1"/>
      <w:marLeft w:val="0"/>
      <w:marRight w:val="0"/>
      <w:marTop w:val="0"/>
      <w:marBottom w:val="0"/>
      <w:divBdr>
        <w:top w:val="none" w:sz="0" w:space="0" w:color="auto"/>
        <w:left w:val="none" w:sz="0" w:space="0" w:color="auto"/>
        <w:bottom w:val="none" w:sz="0" w:space="0" w:color="auto"/>
        <w:right w:val="none" w:sz="0" w:space="0" w:color="auto"/>
      </w:divBdr>
    </w:div>
    <w:div w:id="1235311880">
      <w:bodyDiv w:val="1"/>
      <w:marLeft w:val="0"/>
      <w:marRight w:val="0"/>
      <w:marTop w:val="0"/>
      <w:marBottom w:val="0"/>
      <w:divBdr>
        <w:top w:val="none" w:sz="0" w:space="0" w:color="auto"/>
        <w:left w:val="none" w:sz="0" w:space="0" w:color="auto"/>
        <w:bottom w:val="none" w:sz="0" w:space="0" w:color="auto"/>
        <w:right w:val="none" w:sz="0" w:space="0" w:color="auto"/>
      </w:divBdr>
    </w:div>
    <w:div w:id="1455711219">
      <w:bodyDiv w:val="1"/>
      <w:marLeft w:val="0"/>
      <w:marRight w:val="0"/>
      <w:marTop w:val="0"/>
      <w:marBottom w:val="0"/>
      <w:divBdr>
        <w:top w:val="none" w:sz="0" w:space="0" w:color="auto"/>
        <w:left w:val="none" w:sz="0" w:space="0" w:color="auto"/>
        <w:bottom w:val="none" w:sz="0" w:space="0" w:color="auto"/>
        <w:right w:val="none" w:sz="0" w:space="0" w:color="auto"/>
      </w:divBdr>
    </w:div>
    <w:div w:id="1523930507">
      <w:bodyDiv w:val="1"/>
      <w:marLeft w:val="0"/>
      <w:marRight w:val="0"/>
      <w:marTop w:val="0"/>
      <w:marBottom w:val="0"/>
      <w:divBdr>
        <w:top w:val="none" w:sz="0" w:space="0" w:color="auto"/>
        <w:left w:val="none" w:sz="0" w:space="0" w:color="auto"/>
        <w:bottom w:val="none" w:sz="0" w:space="0" w:color="auto"/>
        <w:right w:val="none" w:sz="0" w:space="0" w:color="auto"/>
      </w:divBdr>
    </w:div>
    <w:div w:id="1589844056">
      <w:bodyDiv w:val="1"/>
      <w:marLeft w:val="0"/>
      <w:marRight w:val="0"/>
      <w:marTop w:val="0"/>
      <w:marBottom w:val="0"/>
      <w:divBdr>
        <w:top w:val="none" w:sz="0" w:space="0" w:color="auto"/>
        <w:left w:val="none" w:sz="0" w:space="0" w:color="auto"/>
        <w:bottom w:val="none" w:sz="0" w:space="0" w:color="auto"/>
        <w:right w:val="none" w:sz="0" w:space="0" w:color="auto"/>
      </w:divBdr>
    </w:div>
    <w:div w:id="1694304722">
      <w:bodyDiv w:val="1"/>
      <w:marLeft w:val="0"/>
      <w:marRight w:val="0"/>
      <w:marTop w:val="0"/>
      <w:marBottom w:val="0"/>
      <w:divBdr>
        <w:top w:val="none" w:sz="0" w:space="0" w:color="auto"/>
        <w:left w:val="none" w:sz="0" w:space="0" w:color="auto"/>
        <w:bottom w:val="none" w:sz="0" w:space="0" w:color="auto"/>
        <w:right w:val="none" w:sz="0" w:space="0" w:color="auto"/>
      </w:divBdr>
    </w:div>
    <w:div w:id="1724987932">
      <w:bodyDiv w:val="1"/>
      <w:marLeft w:val="0"/>
      <w:marRight w:val="0"/>
      <w:marTop w:val="0"/>
      <w:marBottom w:val="0"/>
      <w:divBdr>
        <w:top w:val="none" w:sz="0" w:space="0" w:color="auto"/>
        <w:left w:val="none" w:sz="0" w:space="0" w:color="auto"/>
        <w:bottom w:val="none" w:sz="0" w:space="0" w:color="auto"/>
        <w:right w:val="none" w:sz="0" w:space="0" w:color="auto"/>
      </w:divBdr>
    </w:div>
    <w:div w:id="1821072584">
      <w:bodyDiv w:val="1"/>
      <w:marLeft w:val="0"/>
      <w:marRight w:val="0"/>
      <w:marTop w:val="0"/>
      <w:marBottom w:val="0"/>
      <w:divBdr>
        <w:top w:val="none" w:sz="0" w:space="0" w:color="auto"/>
        <w:left w:val="none" w:sz="0" w:space="0" w:color="auto"/>
        <w:bottom w:val="none" w:sz="0" w:space="0" w:color="auto"/>
        <w:right w:val="none" w:sz="0" w:space="0" w:color="auto"/>
      </w:divBdr>
    </w:div>
    <w:div w:id="1926835390">
      <w:bodyDiv w:val="1"/>
      <w:marLeft w:val="0"/>
      <w:marRight w:val="0"/>
      <w:marTop w:val="0"/>
      <w:marBottom w:val="0"/>
      <w:divBdr>
        <w:top w:val="none" w:sz="0" w:space="0" w:color="auto"/>
        <w:left w:val="none" w:sz="0" w:space="0" w:color="auto"/>
        <w:bottom w:val="none" w:sz="0" w:space="0" w:color="auto"/>
        <w:right w:val="none" w:sz="0" w:space="0" w:color="auto"/>
      </w:divBdr>
    </w:div>
    <w:div w:id="20772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cid:image003.png@01D217E3.1A02C590" TargetMode="Externa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header" Target="header9.xml"/><Relationship Id="rId61"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eader" Target="header10.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eader" Target="header8.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austlii.edu.au/au/legis/tas/num_act/thoa201151o2011346/s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public\templates\a%20General%20-%20DHHS%20and%20TH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DHH13</b:Tag>
    <b:SourceType>Report</b:SourceType>
    <b:Guid>{1B0293B6-B7F6-4135-A6FE-776E9EEDEC32}</b:Guid>
    <b:Author>
      <b:Author>
        <b:NameList>
          <b:Person>
            <b:Last>DHHS</b:Last>
          </b:Person>
        </b:NameList>
      </b:Author>
    </b:Author>
    <b:Title>Health Indicators - Tasmania 2013</b:Title>
    <b:Year>2013</b:Year>
    <b:Publisher>Department of Health and Human Services</b:Publisher>
    <b:City>Hobart</b:City>
    <b:RefOrder>2</b:RefOrder>
  </b:Source>
  <b:Source>
    <b:Tag>AIH16</b:Tag>
    <b:SourceType>Report</b:SourceType>
    <b:Guid>{8B0C0664-5323-4FD1-A1E1-F0FDBB331504}</b:Guid>
    <b:Author>
      <b:Author>
        <b:NameList>
          <b:Person>
            <b:Last>AIHW</b:Last>
          </b:Person>
        </b:NameList>
      </b:Author>
    </b:Author>
    <b:Title>Admitted Patient Care 2014_15</b:Title>
    <b:Year>2016</b:Year>
    <b:Publisher>Australian Government</b:Publisher>
    <b:City>Canberra</b:City>
    <b:RefOrder>4</b:RefOrder>
  </b:Source>
  <b:Source>
    <b:Tag>AIH11</b:Tag>
    <b:SourceType>Report</b:SourceType>
    <b:Guid>{FDCA6D6F-C18E-49AB-9B6F-B517FB144CF0}</b:Guid>
    <b:Title>Impact and Causes of Illness and Death in Australia</b:Title>
    <b:Year>2011</b:Year>
    <b:Publisher>Australian Government</b:Publisher>
    <b:City>Canberra</b:City>
    <b:Author>
      <b:Author>
        <b:NameList>
          <b:Person>
            <b:Last>AIHW</b:Last>
          </b:Person>
        </b:NameList>
      </b:Author>
    </b:Author>
    <b:RefOrder>1</b:RefOrder>
  </b:Source>
  <b:Source>
    <b:Tag>Wor16</b:Tag>
    <b:SourceType>InternetSite</b:SourceType>
    <b:Guid>{EDE2637E-9075-4A9B-9188-B1EFCA6689FE}</b:Guid>
    <b:Author>
      <b:Author>
        <b:NameList>
          <b:Person>
            <b:Last>Bank</b:Last>
            <b:First>World</b:First>
          </b:Person>
        </b:NameList>
      </b:Author>
    </b:Author>
    <b:Title>World bank data</b:Title>
    <b:YearAccessed>2016</b:YearAccessed>
    <b:MonthAccessed>Feb</b:MonthAccessed>
    <b:RefOrder>6</b:RefOrder>
  </b:Source>
  <b:Source>
    <b:Tag>Mar11</b:Tag>
    <b:SourceType>JournalArticle</b:SourceType>
    <b:Guid>{64067391-1B94-4C40-9BF3-60418FF4BA78}</b:Guid>
    <b:Year>2011</b:Year>
    <b:Author>
      <b:Author>
        <b:NameList>
          <b:Person>
            <b:Last>Marengoni</b:Last>
            <b:First>A</b:First>
          </b:Person>
        </b:NameList>
      </b:Author>
    </b:Author>
    <b:JournalName>Ageing Research Reviews</b:JournalName>
    <b:Pages>430-439</b:Pages>
    <b:Volume>10</b:Volume>
    <b:RefOrder>7</b:RefOrder>
  </b:Source>
  <b:Source>
    <b:Tag>MSa13</b:Tag>
    <b:SourceType>JournalArticle</b:SourceType>
    <b:Guid>{37EBE9F1-4DA0-4C95-8E24-1A9A0B2558D6}</b:Guid>
    <b:Author>
      <b:Author>
        <b:NameList>
          <b:Person>
            <b:Last>Salive</b:Last>
            <b:First>M</b:First>
          </b:Person>
        </b:NameList>
      </b:Author>
    </b:Author>
    <b:Title>Multi morbidity in Older Adults</b:Title>
    <b:JournalName>Epidemiologic Reviews</b:JournalName>
    <b:Year>2013</b:Year>
    <b:RefOrder>9</b:RefOrder>
  </b:Source>
  <b:Source>
    <b:Tag>CBo</b:Tag>
    <b:SourceType>JournalArticle</b:SourceType>
    <b:Guid>{BB52C916-4142-4DD7-BFF8-1BE4AE517C36}</b:Guid>
    <b:Author>
      <b:Author>
        <b:NameList>
          <b:Person>
            <b:Last>Boyd</b:Last>
            <b:First>C</b:First>
          </b:Person>
        </b:NameList>
      </b:Author>
    </b:Author>
    <b:Title>Future of Multimorbidity Research: How should understanding of multimorbidity inform health system design? </b:Title>
    <b:JournalName>Public Health Reviews</b:JournalName>
    <b:Year>2010</b:Year>
    <b:Pages>451</b:Pages>
    <b:Volume>2</b:Volume>
    <b:Issue>32</b:Issue>
    <b:RefOrder>17</b:RefOrder>
  </b:Source>
  <b:Source xmlns:b="http://schemas.openxmlformats.org/officeDocument/2006/bibliography">
    <b:Tag>GCa08</b:Tag>
    <b:SourceType>JournalArticle</b:SourceType>
    <b:Guid>{AAE2884C-E55B-46E4-B946-1F621D7DDC9A}</b:Guid>
    <b:Author>
      <b:Author>
        <b:NameList>
          <b:Person>
            <b:Last>Caughey</b:Last>
            <b:First>G</b:First>
          </b:Person>
        </b:NameList>
      </b:Author>
    </b:Author>
    <b:Title>Prevalence of comorbidity of chrtonic diseases in Australia</b:Title>
    <b:JournalName>BMC</b:JournalName>
    <b:Year>2008</b:Year>
    <b:Pages>221</b:Pages>
    <b:Volume>8</b:Volume>
    <b:RefOrder>8</b:RefOrder>
  </b:Source>
  <b:Source>
    <b:Tag>One16</b:Tag>
    <b:SourceType>Report</b:SourceType>
    <b:Guid>{7C70A8D5-90F1-4214-BC55-836C70C658D7}</b:Guid>
    <b:Author>
      <b:Author>
        <b:NameList>
          <b:Person>
            <b:Last>One State</b:Last>
            <b:First>One</b:First>
            <b:Middle>Health System, Better Outcomes</b:Middle>
          </b:Person>
        </b:NameList>
      </b:Author>
    </b:Author>
    <b:Title>Healthy Tasmania Five Year Strategic Plan</b:Title>
    <b:Year>2016</b:Year>
    <b:RefOrder>10</b:RefOrder>
  </b:Source>
  <b:Source>
    <b:Tag>Tas14</b:Tag>
    <b:SourceType>Report</b:SourceType>
    <b:Guid>{F3626604-344F-4C00-8823-1B2EF147CD03}</b:Guid>
    <b:Title>2014 Population Projections - Tasmania and its local Government</b:Title>
    <b:Year>2014</b:Year>
    <b:Author>
      <b:Author>
        <b:NameList>
          <b:Person>
            <b:Last>Treasury</b:Last>
            <b:First>Tasmanian</b:First>
            <b:Middle>State</b:Middle>
          </b:Person>
        </b:NameList>
      </b:Author>
    </b:Author>
    <b:Publisher>Tasmanian State Treasury</b:Publisher>
    <b:City>hobart</b:City>
    <b:RefOrder>3</b:RefOrder>
  </b:Source>
  <b:Source>
    <b:Tag>NTDoH15</b:Tag>
    <b:SourceType>Report</b:SourceType>
    <b:Guid>{AB60697D-370B-4C51-A2CA-77955D279493}</b:Guid>
    <b:Author>
      <b:Author>
        <b:NameList>
          <b:Person>
            <b:Last>Health</b:Last>
            <b:First>Northern</b:First>
            <b:Middle>Territory Department of</b:Middle>
          </b:Person>
        </b:NameList>
      </b:Author>
    </b:Author>
    <b:Title>Spectrum of Stakeholder Engagement</b:Title>
    <b:Year>2015</b:Year>
    <b:RefOrder>18</b:RefOrder>
  </b:Source>
  <b:Source>
    <b:Tag>AIH12</b:Tag>
    <b:SourceType>Report</b:SourceType>
    <b:Guid>{D49FF506-CE79-4002-ADA0-638FBC6B486F}</b:Guid>
    <b:Author>
      <b:Author>
        <b:NameList>
          <b:Person>
            <b:Last>AIHW</b:Last>
          </b:Person>
        </b:NameList>
      </b:Author>
    </b:Author>
    <b:Title>National Definitions for Elective Surgery Urgency Categories</b:Title>
    <b:Year>2012</b:Year>
    <b:Publisher>AIHW</b:Publisher>
    <b:RefOrder>5</b:RefOrder>
  </b:Source>
  <b:Source>
    <b:Tag>Placeholder1</b:Tag>
    <b:SourceType>Report</b:SourceType>
    <b:Guid>{438747CB-5A1F-42D0-811F-766045793F4D}</b:Guid>
    <b:Author>
      <b:Author>
        <b:NameList>
          <b:Person>
            <b:Last>DHHS-PPP-MRA</b:Last>
          </b:Person>
        </b:NameList>
      </b:Author>
    </b:Author>
    <b:Title>Estimating the Long term Elective Surgery Volume required to maintain a stable Elective Surgery Waiting List in Tasmania</b:Title>
    <b:Year>2015</b:Year>
    <b:Publisher>DHHS</b:Publisher>
    <b:City>Hobart</b:City>
    <b:RefOrder>16</b:RefOrder>
  </b:Source>
  <b:Source>
    <b:Tag>Lou16</b:Tag>
    <b:SourceType>JournalArticle</b:SourceType>
    <b:Guid>{D56E4537-8B31-49D3-B0FA-4F62B7222180}</b:Guid>
    <b:Title>Economic burden of multimorbidity among older adults:impact on healthcare and societal costs</b:Title>
    <b:Year>2016</b:Year>
    <b:Author>
      <b:Author>
        <b:NameList>
          <b:Person>
            <b:Last>Picco</b:Last>
            <b:First>et</b:First>
            <b:Middle>al</b:Middle>
          </b:Person>
        </b:NameList>
      </b:Author>
    </b:Author>
    <b:JournalName>BMC Health Services Research</b:JournalName>
    <b:Pages>173</b:Pages>
    <b:Volume>16</b:Volume>
    <b:RefOrder>14</b:RefOrder>
  </b:Source>
  <b:Source>
    <b:Tag>Rok16</b:Tag>
    <b:SourceType>JournalArticle</b:SourceType>
    <b:Guid>{2CA8BA07-A23D-4798-8210-FD7E66773810}</b:Guid>
    <b:Author>
      <b:Author>
        <b:NameList>
          <b:Person>
            <b:Last>Navickas</b:Last>
            <b:First>Rokas</b:First>
          </b:Person>
        </b:NameList>
      </b:Author>
    </b:Author>
    <b:Title>Multimorbidity: What do we know? What should we do?</b:Title>
    <b:JournalName>Journal of comorbidity</b:JournalName>
    <b:Year>2016</b:Year>
    <b:Pages>4-11</b:Pages>
    <b:Volume>6</b:Volume>
    <b:Issue>1</b:Issue>
    <b:RefOrder>15</b:RefOrder>
  </b:Source>
  <b:Source>
    <b:Tag>Phi15</b:Tag>
    <b:SourceType>JournalArticle</b:SourceType>
    <b:Guid>{C1CD824B-3E2D-4C2D-9263-CC168973CF31}</b:Guid>
    <b:Author>
      <b:Author>
        <b:NameList>
          <b:Person>
            <b:Last>Corvoisier</b:Last>
            <b:First>Philippe</b:First>
          </b:Person>
        </b:NameList>
      </b:Author>
    </b:Author>
    <b:Title>Functional status and comorbidities are associated with in hhospital mortality among older patients with acute decompensated heart failure</b:Title>
    <b:JournalName>Age and Ageing</b:JournalName>
    <b:Year>2015</b:Year>
    <b:Pages>225-231</b:Pages>
    <b:Volume>44</b:Volume>
    <b:RefOrder>12</b:RefOrder>
  </b:Source>
  <b:Source>
    <b:Tag>DWe15</b:Tag>
    <b:SourceType>JournalArticle</b:SourceType>
    <b:Guid>{1771F01C-B153-4EBF-BE89-EFB59B2DF5A1}</b:Guid>
    <b:Author>
      <b:Author>
        <b:NameList>
          <b:Person>
            <b:Last>Weir</b:Last>
            <b:First>D</b:First>
          </b:Person>
        </b:NameList>
      </b:Author>
    </b:Author>
    <b:Title>The impact of multimorbidity on short term events in patients with community acquired pneumonia</b:Title>
    <b:JournalName>Clinical Microbiology and Infection</b:JournalName>
    <b:Year>2015</b:Year>
    <b:Pages>264</b:Pages>
    <b:Volume>21</b:Volume>
    <b:Issue>3</b:Issue>
    <b:RefOrder>11</b:RefOrder>
  </b:Source>
  <b:Source>
    <b:Tag>And16</b:Tag>
    <b:SourceType>JournalArticle</b:SourceType>
    <b:Guid>{A183FE9E-7916-4E39-958E-0AEF3575A8D2}</b:Guid>
    <b:Author>
      <b:Author>
        <b:NameList>
          <b:Person>
            <b:Last>Prior</b:Last>
            <b:First>Anders</b:First>
          </b:Person>
        </b:NameList>
      </b:Author>
    </b:Author>
    <b:Title>The association between perceived stress and mortality among people with multimorbidity</b:Title>
    <b:JournalName>Journal of epidemiology</b:JournalName>
    <b:Year>2016</b:Year>
    <b:Pages>199</b:Pages>
    <b:Volume>184</b:Volume>
    <b:Issue>3</b:Issue>
    <b:RefOrder>13</b:RefOrder>
  </b:Source>
</b:Sources>
</file>

<file path=customXml/itemProps1.xml><?xml version="1.0" encoding="utf-8"?>
<ds:datastoreItem xmlns:ds="http://schemas.openxmlformats.org/officeDocument/2006/customXml" ds:itemID="{AB316BBD-9A5C-482B-B291-4FF5EE15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47</TotalTime>
  <Pages>1</Pages>
  <Words>7861</Words>
  <Characters>44810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52566</CharactersWithSpaces>
  <SharedDoc>false</SharedDoc>
  <HLinks>
    <vt:vector size="36" baseType="variant">
      <vt:variant>
        <vt:i4>1572926</vt:i4>
      </vt:variant>
      <vt:variant>
        <vt:i4>56</vt:i4>
      </vt:variant>
      <vt:variant>
        <vt:i4>0</vt:i4>
      </vt:variant>
      <vt:variant>
        <vt:i4>5</vt:i4>
      </vt:variant>
      <vt:variant>
        <vt:lpwstr/>
      </vt:variant>
      <vt:variant>
        <vt:lpwstr>_Toc180897681</vt:lpwstr>
      </vt:variant>
      <vt:variant>
        <vt:i4>1572926</vt:i4>
      </vt:variant>
      <vt:variant>
        <vt:i4>50</vt:i4>
      </vt:variant>
      <vt:variant>
        <vt:i4>0</vt:i4>
      </vt:variant>
      <vt:variant>
        <vt:i4>5</vt:i4>
      </vt:variant>
      <vt:variant>
        <vt:lpwstr/>
      </vt:variant>
      <vt:variant>
        <vt:lpwstr>_Toc180897680</vt:lpwstr>
      </vt:variant>
      <vt:variant>
        <vt:i4>1507390</vt:i4>
      </vt:variant>
      <vt:variant>
        <vt:i4>44</vt:i4>
      </vt:variant>
      <vt:variant>
        <vt:i4>0</vt:i4>
      </vt:variant>
      <vt:variant>
        <vt:i4>5</vt:i4>
      </vt:variant>
      <vt:variant>
        <vt:lpwstr/>
      </vt:variant>
      <vt:variant>
        <vt:lpwstr>_Toc180897679</vt:lpwstr>
      </vt:variant>
      <vt:variant>
        <vt:i4>1507390</vt:i4>
      </vt:variant>
      <vt:variant>
        <vt:i4>38</vt:i4>
      </vt:variant>
      <vt:variant>
        <vt:i4>0</vt:i4>
      </vt:variant>
      <vt:variant>
        <vt:i4>5</vt:i4>
      </vt:variant>
      <vt:variant>
        <vt:lpwstr/>
      </vt:variant>
      <vt:variant>
        <vt:lpwstr>_Toc180897678</vt:lpwstr>
      </vt:variant>
      <vt:variant>
        <vt:i4>1507390</vt:i4>
      </vt:variant>
      <vt:variant>
        <vt:i4>32</vt:i4>
      </vt:variant>
      <vt:variant>
        <vt:i4>0</vt:i4>
      </vt:variant>
      <vt:variant>
        <vt:i4>5</vt:i4>
      </vt:variant>
      <vt:variant>
        <vt:lpwstr/>
      </vt:variant>
      <vt:variant>
        <vt:lpwstr>_Toc180897677</vt:lpwstr>
      </vt:variant>
      <vt:variant>
        <vt:i4>1507390</vt:i4>
      </vt:variant>
      <vt:variant>
        <vt:i4>26</vt:i4>
      </vt:variant>
      <vt:variant>
        <vt:i4>0</vt:i4>
      </vt:variant>
      <vt:variant>
        <vt:i4>5</vt:i4>
      </vt:variant>
      <vt:variant>
        <vt:lpwstr/>
      </vt:variant>
      <vt:variant>
        <vt:lpwstr>_Toc180897676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hmulcahy</dc:creator>
  <cp:lastModifiedBy>Goodsell, Tina L</cp:lastModifiedBy>
  <cp:revision>4</cp:revision>
  <cp:lastPrinted>2016-10-02T23:04:00Z</cp:lastPrinted>
  <dcterms:created xsi:type="dcterms:W3CDTF">2018-10-01T01:58:00Z</dcterms:created>
  <dcterms:modified xsi:type="dcterms:W3CDTF">2018-10-01T02:44:00Z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 - </vt:lpwstr>
  </property>
  <property fmtid="{D5CDD505-2E9C-101B-9397-08002B2CF9AE}" pid="3" name="Division">
    <vt:lpwstr>Division</vt:lpwstr>
  </property>
  <property fmtid="{D5CDD505-2E9C-101B-9397-08002B2CF9AE}" pid="4" name="Version">
    <vt:lpwstr>VNo</vt:lpwstr>
  </property>
  <property fmtid="{D5CDD505-2E9C-101B-9397-08002B2CF9AE}" pid="5" name="Date">
    <vt:lpwstr>Date</vt:lpwstr>
  </property>
  <property fmtid="{D5CDD505-2E9C-101B-9397-08002B2CF9AE}" pid="6" name="File">
    <vt:lpwstr>File No</vt:lpwstr>
  </property>
  <property fmtid="{D5CDD505-2E9C-101B-9397-08002B2CF9AE}" pid="7" name="ReportTitle1">
    <vt:lpwstr>Report Title 1</vt:lpwstr>
  </property>
  <property fmtid="{D5CDD505-2E9C-101B-9397-08002B2CF9AE}" pid="8" name="ReportTitle2">
    <vt:lpwstr>Report Title 2</vt:lpwstr>
  </property>
  <property fmtid="{D5CDD505-2E9C-101B-9397-08002B2CF9AE}" pid="9" name="ReportTitle3">
    <vt:lpwstr>Report Title 3</vt:lpwstr>
  </property>
  <property fmtid="{D5CDD505-2E9C-101B-9397-08002B2CF9AE}" pid="10" name="DraftCheck">
    <vt:lpwstr>True</vt:lpwstr>
  </property>
  <property fmtid="{D5CDD505-2E9C-101B-9397-08002B2CF9AE}" pid="11" name="DeptOpUnit">
    <vt:lpwstr>Departmental or Operational Unit</vt:lpwstr>
  </property>
  <property fmtid="{D5CDD505-2E9C-101B-9397-08002B2CF9AE}" pid="12" name="SelectDepartment">
    <vt:lpwstr>False</vt:lpwstr>
  </property>
  <property fmtid="{D5CDD505-2E9C-101B-9397-08002B2CF9AE}" pid="13" name="SelectTHONorth">
    <vt:lpwstr>False</vt:lpwstr>
  </property>
  <property fmtid="{D5CDD505-2E9C-101B-9397-08002B2CF9AE}" pid="14" name="SelectTHONorthWest">
    <vt:lpwstr>False</vt:lpwstr>
  </property>
  <property fmtid="{D5CDD505-2E9C-101B-9397-08002B2CF9AE}" pid="15" name="SelectTHOSouth">
    <vt:lpwstr>False</vt:lpwstr>
  </property>
  <property fmtid="{D5CDD505-2E9C-101B-9397-08002B2CF9AE}" pid="16" name="strDeptOpUnit1">
    <vt:lpwstr/>
  </property>
  <property fmtid="{D5CDD505-2E9C-101B-9397-08002B2CF9AE}" pid="17" name="strContact1">
    <vt:lpwstr/>
  </property>
  <property fmtid="{D5CDD505-2E9C-101B-9397-08002B2CF9AE}" pid="18" name="strAreaCode1">
    <vt:lpwstr/>
  </property>
  <property fmtid="{D5CDD505-2E9C-101B-9397-08002B2CF9AE}" pid="19" name="strPhone1">
    <vt:lpwstr/>
  </property>
  <property fmtid="{D5CDD505-2E9C-101B-9397-08002B2CF9AE}" pid="20" name="strEmail1">
    <vt:lpwstr/>
  </property>
  <property fmtid="{D5CDD505-2E9C-101B-9397-08002B2CF9AE}" pid="21" name="strFile1">
    <vt:lpwstr/>
  </property>
  <property fmtid="{D5CDD505-2E9C-101B-9397-08002B2CF9AE}" pid="22" name="strWITS1">
    <vt:lpwstr/>
  </property>
  <property fmtid="{D5CDD505-2E9C-101B-9397-08002B2CF9AE}" pid="23" name="strDate1">
    <vt:lpwstr/>
  </property>
  <property fmtid="{D5CDD505-2E9C-101B-9397-08002B2CF9AE}" pid="24" name="strAttention1">
    <vt:lpwstr/>
  </property>
  <property fmtid="{D5CDD505-2E9C-101B-9397-08002B2CF9AE}" pid="25" name="strAttentionText1">
    <vt:lpwstr/>
  </property>
  <property fmtid="{D5CDD505-2E9C-101B-9397-08002B2CF9AE}" pid="26" name="strSubject1">
    <vt:lpwstr/>
  </property>
  <property fmtid="{D5CDD505-2E9C-101B-9397-08002B2CF9AE}" pid="27" name="strSubjectText1">
    <vt:lpwstr/>
  </property>
  <property fmtid="{D5CDD505-2E9C-101B-9397-08002B2CF9AE}" pid="28" name="strNameSign1">
    <vt:lpwstr/>
  </property>
  <property fmtid="{D5CDD505-2E9C-101B-9397-08002B2CF9AE}" pid="29" name="strTitleSign1">
    <vt:lpwstr/>
  </property>
  <property fmtid="{D5CDD505-2E9C-101B-9397-08002B2CF9AE}" pid="30" name="strName1">
    <vt:lpwstr/>
  </property>
  <property fmtid="{D5CDD505-2E9C-101B-9397-08002B2CF9AE}" pid="31" name="strOrg1">
    <vt:lpwstr/>
  </property>
  <property fmtid="{D5CDD505-2E9C-101B-9397-08002B2CF9AE}" pid="32" name="strOrgCheck1">
    <vt:lpwstr/>
  </property>
  <property fmtid="{D5CDD505-2E9C-101B-9397-08002B2CF9AE}" pid="33" name="strPosTitle1">
    <vt:lpwstr/>
  </property>
  <property fmtid="{D5CDD505-2E9C-101B-9397-08002B2CF9AE}" pid="34" name="strPosTitleCheck1">
    <vt:lpwstr/>
  </property>
  <property fmtid="{D5CDD505-2E9C-101B-9397-08002B2CF9AE}" pid="35" name="strAddress1">
    <vt:lpwstr/>
  </property>
  <property fmtid="{D5CDD505-2E9C-101B-9397-08002B2CF9AE}" pid="36" name="strSuburb1">
    <vt:lpwstr/>
  </property>
  <property fmtid="{D5CDD505-2E9C-101B-9397-08002B2CF9AE}" pid="37" name="strState1">
    <vt:lpwstr/>
  </property>
  <property fmtid="{D5CDD505-2E9C-101B-9397-08002B2CF9AE}" pid="38" name="strPostcode1">
    <vt:lpwstr/>
  </property>
  <property fmtid="{D5CDD505-2E9C-101B-9397-08002B2CF9AE}" pid="39" name="strReturnAddress1">
    <vt:lpwstr/>
  </property>
  <property fmtid="{D5CDD505-2E9C-101B-9397-08002B2CF9AE}" pid="40" name="strRACheck1">
    <vt:lpwstr/>
  </property>
  <property fmtid="{D5CDD505-2E9C-101B-9397-08002B2CF9AE}" pid="41" name="strAttentionCheck1">
    <vt:lpwstr/>
  </property>
  <property fmtid="{D5CDD505-2E9C-101B-9397-08002B2CF9AE}" pid="42" name="strSubjectCheck1">
    <vt:lpwstr/>
  </property>
  <property fmtid="{D5CDD505-2E9C-101B-9397-08002B2CF9AE}" pid="43" name="strRAStreet1">
    <vt:lpwstr/>
  </property>
  <property fmtid="{D5CDD505-2E9C-101B-9397-08002B2CF9AE}" pid="44" name="strRASuburb1">
    <vt:lpwstr/>
  </property>
  <property fmtid="{D5CDD505-2E9C-101B-9397-08002B2CF9AE}" pid="45" name="strRAState1">
    <vt:lpwstr/>
  </property>
  <property fmtid="{D5CDD505-2E9C-101B-9397-08002B2CF9AE}" pid="46" name="strRAPostcode1">
    <vt:lpwstr/>
  </property>
  <property fmtid="{D5CDD505-2E9C-101B-9397-08002B2CF9AE}" pid="47" name="strDear1">
    <vt:lpwstr/>
  </property>
  <property fmtid="{D5CDD505-2E9C-101B-9397-08002B2CF9AE}" pid="48" name="strDearCheck1">
    <vt:lpwstr/>
  </property>
  <property fmtid="{D5CDD505-2E9C-101B-9397-08002B2CF9AE}" pid="49" name="strYoursSincerely1">
    <vt:lpwstr/>
  </property>
  <property fmtid="{D5CDD505-2E9C-101B-9397-08002B2CF9AE}" pid="50" name="strEncCheck1">
    <vt:lpwstr/>
  </property>
  <property fmtid="{D5CDD505-2E9C-101B-9397-08002B2CF9AE}" pid="51" name="strEnc1">
    <vt:lpwstr/>
  </property>
  <property fmtid="{D5CDD505-2E9C-101B-9397-08002B2CF9AE}" pid="52" name="strEncOld1">
    <vt:lpwstr/>
  </property>
  <property fmtid="{D5CDD505-2E9C-101B-9397-08002B2CF9AE}" pid="53" name="strCopyToCheck1">
    <vt:lpwstr/>
  </property>
  <property fmtid="{D5CDD505-2E9C-101B-9397-08002B2CF9AE}" pid="54" name="strCopyTo1">
    <vt:lpwstr/>
  </property>
  <property fmtid="{D5CDD505-2E9C-101B-9397-08002B2CF9AE}" pid="55" name="strCopyToOld1">
    <vt:lpwstr/>
  </property>
  <property fmtid="{D5CDD505-2E9C-101B-9397-08002B2CF9AE}" pid="56" name="PreparedBy1">
    <vt:lpwstr/>
  </property>
  <property fmtid="{D5CDD505-2E9C-101B-9397-08002B2CF9AE}" pid="57" name="PreparedPositionTitle1">
    <vt:lpwstr/>
  </property>
  <property fmtid="{D5CDD505-2E9C-101B-9397-08002B2CF9AE}" pid="58" name="PreparedPhone1">
    <vt:lpwstr/>
  </property>
  <property fmtid="{D5CDD505-2E9C-101B-9397-08002B2CF9AE}" pid="59" name="PreparedDate1">
    <vt:lpwstr/>
  </property>
  <property fmtid="{D5CDD505-2E9C-101B-9397-08002B2CF9AE}" pid="60" name="Through1">
    <vt:lpwstr/>
  </property>
  <property fmtid="{D5CDD505-2E9C-101B-9397-08002B2CF9AE}" pid="61" name="ThroughPositionTitle1">
    <vt:lpwstr/>
  </property>
  <property fmtid="{D5CDD505-2E9C-101B-9397-08002B2CF9AE}" pid="62" name="ThroughPhone1">
    <vt:lpwstr/>
  </property>
  <property fmtid="{D5CDD505-2E9C-101B-9397-08002B2CF9AE}" pid="63" name="ThroughDate1">
    <vt:lpwstr/>
  </property>
  <property fmtid="{D5CDD505-2E9C-101B-9397-08002B2CF9AE}" pid="64" name="Through21">
    <vt:lpwstr/>
  </property>
  <property fmtid="{D5CDD505-2E9C-101B-9397-08002B2CF9AE}" pid="65" name="Through2PositionTitle1">
    <vt:lpwstr/>
  </property>
  <property fmtid="{D5CDD505-2E9C-101B-9397-08002B2CF9AE}" pid="66" name="Through2Phone1">
    <vt:lpwstr/>
  </property>
  <property fmtid="{D5CDD505-2E9C-101B-9397-08002B2CF9AE}" pid="67" name="Through2Date1">
    <vt:lpwstr/>
  </property>
  <property fmtid="{D5CDD505-2E9C-101B-9397-08002B2CF9AE}" pid="68" name="ClearedBy1">
    <vt:lpwstr/>
  </property>
  <property fmtid="{D5CDD505-2E9C-101B-9397-08002B2CF9AE}" pid="69" name="ClearedPositionTitle1">
    <vt:lpwstr/>
  </property>
  <property fmtid="{D5CDD505-2E9C-101B-9397-08002B2CF9AE}" pid="70" name="ClearedPhone1">
    <vt:lpwstr/>
  </property>
  <property fmtid="{D5CDD505-2E9C-101B-9397-08002B2CF9AE}" pid="71" name="ClearedDate1">
    <vt:lpwstr/>
  </property>
  <property fmtid="{D5CDD505-2E9C-101B-9397-08002B2CF9AE}" pid="72" name="_NewReviewCycle">
    <vt:lpwstr/>
  </property>
  <property fmtid="{D5CDD505-2E9C-101B-9397-08002B2CF9AE}" pid="73" name="WITS1">
    <vt:lpwstr/>
  </property>
  <property fmtid="{D5CDD505-2E9C-101B-9397-08002B2CF9AE}" pid="74" name="Acronym1">
    <vt:lpwstr/>
  </property>
  <property fmtid="{D5CDD505-2E9C-101B-9397-08002B2CF9AE}" pid="75" name="SubjectMinute1">
    <vt:lpwstr/>
  </property>
  <property fmtid="{D5CDD505-2E9C-101B-9397-08002B2CF9AE}" pid="76" name="SelectDepartment1">
    <vt:lpwstr/>
  </property>
  <property fmtid="{D5CDD505-2E9C-101B-9397-08002B2CF9AE}" pid="77" name="SelectTHS1">
    <vt:lpwstr/>
  </property>
  <property fmtid="{D5CDD505-2E9C-101B-9397-08002B2CF9AE}" pid="78" name="SelectMinHealth1">
    <vt:lpwstr/>
  </property>
  <property fmtid="{D5CDD505-2E9C-101B-9397-08002B2CF9AE}" pid="79" name="SelectMinHuman1">
    <vt:lpwstr/>
  </property>
  <property fmtid="{D5CDD505-2E9C-101B-9397-08002B2CF9AE}" pid="80" name="SelectMinChildren1">
    <vt:lpwstr/>
  </property>
  <property fmtid="{D5CDD505-2E9C-101B-9397-08002B2CF9AE}" pid="81" name="MinHealthName1">
    <vt:lpwstr/>
  </property>
  <property fmtid="{D5CDD505-2E9C-101B-9397-08002B2CF9AE}" pid="82" name="MinHealthPosition1">
    <vt:lpwstr/>
  </property>
  <property fmtid="{D5CDD505-2E9C-101B-9397-08002B2CF9AE}" pid="83" name="MinHumanName1">
    <vt:lpwstr/>
  </property>
  <property fmtid="{D5CDD505-2E9C-101B-9397-08002B2CF9AE}" pid="84" name="MinHumanPosition1">
    <vt:lpwstr/>
  </property>
  <property fmtid="{D5CDD505-2E9C-101B-9397-08002B2CF9AE}" pid="85" name="MinChildrenName1">
    <vt:lpwstr/>
  </property>
  <property fmtid="{D5CDD505-2E9C-101B-9397-08002B2CF9AE}" pid="86" name="MinChildrenPosition1">
    <vt:lpwstr/>
  </property>
  <property fmtid="{D5CDD505-2E9C-101B-9397-08002B2CF9AE}" pid="87" name="WITSNo1">
    <vt:lpwstr/>
  </property>
  <property fmtid="{D5CDD505-2E9C-101B-9397-08002B2CF9AE}" pid="88" name="UnitAcronym1">
    <vt:lpwstr/>
  </property>
  <property fmtid="{D5CDD505-2E9C-101B-9397-08002B2CF9AE}" pid="89" name="SubjectBriefing1">
    <vt:lpwstr/>
  </property>
</Properties>
</file>