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26B" w:rsidRPr="001B05C8" w:rsidRDefault="00CC226B">
      <w:pPr>
        <w:tabs>
          <w:tab w:val="clear" w:pos="567"/>
        </w:tabs>
        <w:spacing w:after="200" w:line="276" w:lineRule="auto"/>
        <w:rPr>
          <w:rFonts w:eastAsiaTheme="majorEastAsia" w:cstheme="majorBidi"/>
          <w:b/>
          <w:bCs/>
          <w:sz w:val="40"/>
          <w:szCs w:val="28"/>
        </w:rPr>
      </w:pPr>
      <w:r w:rsidRPr="001B05C8">
        <w:rPr>
          <w:noProof/>
          <w:lang w:eastAsia="en-AU"/>
        </w:rPr>
        <w:drawing>
          <wp:anchor distT="0" distB="0" distL="114300" distR="114300" simplePos="0" relativeHeight="251666432" behindDoc="1" locked="0" layoutInCell="1" allowOverlap="1" wp14:anchorId="16A99EB3" wp14:editId="043A0575">
            <wp:simplePos x="0" y="0"/>
            <wp:positionH relativeFrom="page">
              <wp:posOffset>-5080</wp:posOffset>
            </wp:positionH>
            <wp:positionV relativeFrom="page">
              <wp:posOffset>-37769</wp:posOffset>
            </wp:positionV>
            <wp:extent cx="7566103" cy="106992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103" cy="10699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1B05C8">
        <w:br w:type="page"/>
      </w:r>
    </w:p>
    <w:p w:rsidR="000800BD" w:rsidRPr="00912891" w:rsidRDefault="000800BD" w:rsidP="00912891">
      <w:pPr>
        <w:pStyle w:val="Heading2"/>
        <w:rPr>
          <w:sz w:val="40"/>
          <w:szCs w:val="40"/>
        </w:rPr>
      </w:pPr>
      <w:r w:rsidRPr="00912891">
        <w:rPr>
          <w:sz w:val="40"/>
          <w:szCs w:val="40"/>
        </w:rPr>
        <w:lastRenderedPageBreak/>
        <w:t xml:space="preserve">Contents – Part 2 – Regulatory Information </w:t>
      </w:r>
    </w:p>
    <w:p w:rsidR="002D3844" w:rsidRDefault="002D3844">
      <w:pPr>
        <w:pStyle w:val="TOC1"/>
        <w:rPr>
          <w:rFonts w:asciiTheme="minorHAnsi" w:eastAsiaTheme="minorEastAsia" w:hAnsiTheme="minorHAnsi" w:cstheme="minorBidi"/>
          <w:b w:val="0"/>
          <w:szCs w:val="22"/>
          <w:lang w:eastAsia="en-AU"/>
        </w:rPr>
      </w:pPr>
      <w:r>
        <w:rPr>
          <w:b w:val="0"/>
        </w:rPr>
        <w:fldChar w:fldCharType="begin"/>
      </w:r>
      <w:r>
        <w:rPr>
          <w:b w:val="0"/>
        </w:rPr>
        <w:instrText xml:space="preserve"> TOC \o "1-1" \h \z \u </w:instrText>
      </w:r>
      <w:r>
        <w:rPr>
          <w:b w:val="0"/>
        </w:rPr>
        <w:fldChar w:fldCharType="separate"/>
      </w:r>
      <w:hyperlink w:anchor="_Toc430351449" w:history="1">
        <w:r w:rsidRPr="00A80E15">
          <w:rPr>
            <w:rStyle w:val="Hyperlink"/>
            <w:rFonts w:eastAsiaTheme="majorEastAsia"/>
          </w:rPr>
          <w:t>Capital Works and Asset Management</w:t>
        </w:r>
        <w:r>
          <w:rPr>
            <w:webHidden/>
          </w:rPr>
          <w:tab/>
        </w:r>
        <w:r>
          <w:rPr>
            <w:webHidden/>
          </w:rPr>
          <w:fldChar w:fldCharType="begin"/>
        </w:r>
        <w:r>
          <w:rPr>
            <w:webHidden/>
          </w:rPr>
          <w:instrText xml:space="preserve"> PAGEREF _Toc430351449 \h </w:instrText>
        </w:r>
        <w:r>
          <w:rPr>
            <w:webHidden/>
          </w:rPr>
        </w:r>
        <w:r>
          <w:rPr>
            <w:webHidden/>
          </w:rPr>
          <w:fldChar w:fldCharType="separate"/>
        </w:r>
        <w:r w:rsidR="00937E18">
          <w:rPr>
            <w:webHidden/>
          </w:rPr>
          <w:t>39</w:t>
        </w:r>
        <w:r>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0" w:history="1">
        <w:r w:rsidR="002D3844" w:rsidRPr="00A80E15">
          <w:rPr>
            <w:rStyle w:val="Hyperlink"/>
            <w:rFonts w:eastAsiaTheme="majorEastAsia"/>
          </w:rPr>
          <w:t>Consultancies, Contracts and Tenders</w:t>
        </w:r>
        <w:r w:rsidR="002D3844">
          <w:rPr>
            <w:webHidden/>
          </w:rPr>
          <w:tab/>
        </w:r>
        <w:r w:rsidR="002D3844">
          <w:rPr>
            <w:webHidden/>
          </w:rPr>
          <w:fldChar w:fldCharType="begin"/>
        </w:r>
        <w:r w:rsidR="002D3844">
          <w:rPr>
            <w:webHidden/>
          </w:rPr>
          <w:instrText xml:space="preserve"> PAGEREF _Toc430351450 \h </w:instrText>
        </w:r>
        <w:r w:rsidR="002D3844">
          <w:rPr>
            <w:webHidden/>
          </w:rPr>
        </w:r>
        <w:r w:rsidR="002D3844">
          <w:rPr>
            <w:webHidden/>
          </w:rPr>
          <w:fldChar w:fldCharType="separate"/>
        </w:r>
        <w:r w:rsidR="00937E18">
          <w:rPr>
            <w:webHidden/>
          </w:rPr>
          <w:t>48</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1" w:history="1">
        <w:r w:rsidR="002D3844" w:rsidRPr="00A80E15">
          <w:rPr>
            <w:rStyle w:val="Hyperlink"/>
            <w:rFonts w:eastAsiaTheme="majorEastAsia"/>
          </w:rPr>
          <w:t>Community Sector Organisations Funded by the Department</w:t>
        </w:r>
        <w:r w:rsidR="002D3844">
          <w:rPr>
            <w:webHidden/>
          </w:rPr>
          <w:tab/>
        </w:r>
        <w:r w:rsidR="002D3844">
          <w:rPr>
            <w:webHidden/>
          </w:rPr>
          <w:fldChar w:fldCharType="begin"/>
        </w:r>
        <w:r w:rsidR="002D3844">
          <w:rPr>
            <w:webHidden/>
          </w:rPr>
          <w:instrText xml:space="preserve"> PAGEREF _Toc430351451 \h </w:instrText>
        </w:r>
        <w:r w:rsidR="002D3844">
          <w:rPr>
            <w:webHidden/>
          </w:rPr>
        </w:r>
        <w:r w:rsidR="002D3844">
          <w:rPr>
            <w:webHidden/>
          </w:rPr>
          <w:fldChar w:fldCharType="separate"/>
        </w:r>
        <w:r w:rsidR="00937E18">
          <w:rPr>
            <w:webHidden/>
          </w:rPr>
          <w:t>58</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2" w:history="1">
        <w:r w:rsidR="002D3844" w:rsidRPr="00A80E15">
          <w:rPr>
            <w:rStyle w:val="Hyperlink"/>
            <w:rFonts w:eastAsiaTheme="majorEastAsia"/>
          </w:rPr>
          <w:t>Climate Change</w:t>
        </w:r>
        <w:r w:rsidR="002D3844">
          <w:rPr>
            <w:webHidden/>
          </w:rPr>
          <w:tab/>
        </w:r>
        <w:r w:rsidR="002D3844">
          <w:rPr>
            <w:webHidden/>
          </w:rPr>
          <w:fldChar w:fldCharType="begin"/>
        </w:r>
        <w:r w:rsidR="002D3844">
          <w:rPr>
            <w:webHidden/>
          </w:rPr>
          <w:instrText xml:space="preserve"> PAGEREF _Toc430351452 \h </w:instrText>
        </w:r>
        <w:r w:rsidR="002D3844">
          <w:rPr>
            <w:webHidden/>
          </w:rPr>
        </w:r>
        <w:r w:rsidR="002D3844">
          <w:rPr>
            <w:webHidden/>
          </w:rPr>
          <w:fldChar w:fldCharType="separate"/>
        </w:r>
        <w:r w:rsidR="00937E18">
          <w:rPr>
            <w:webHidden/>
          </w:rPr>
          <w:t>74</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3" w:history="1">
        <w:r w:rsidR="002D3844" w:rsidRPr="00A80E15">
          <w:rPr>
            <w:rStyle w:val="Hyperlink"/>
            <w:rFonts w:eastAsiaTheme="majorEastAsia"/>
          </w:rPr>
          <w:t>Risk Management</w:t>
        </w:r>
        <w:r w:rsidR="002D3844">
          <w:rPr>
            <w:webHidden/>
          </w:rPr>
          <w:tab/>
        </w:r>
        <w:r w:rsidR="002D3844">
          <w:rPr>
            <w:webHidden/>
          </w:rPr>
          <w:fldChar w:fldCharType="begin"/>
        </w:r>
        <w:r w:rsidR="002D3844">
          <w:rPr>
            <w:webHidden/>
          </w:rPr>
          <w:instrText xml:space="preserve"> PAGEREF _Toc430351453 \h </w:instrText>
        </w:r>
        <w:r w:rsidR="002D3844">
          <w:rPr>
            <w:webHidden/>
          </w:rPr>
        </w:r>
        <w:r w:rsidR="002D3844">
          <w:rPr>
            <w:webHidden/>
          </w:rPr>
          <w:fldChar w:fldCharType="separate"/>
        </w:r>
        <w:r w:rsidR="00937E18">
          <w:rPr>
            <w:webHidden/>
          </w:rPr>
          <w:t>76</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4" w:history="1">
        <w:r w:rsidR="002D3844" w:rsidRPr="00A80E15">
          <w:rPr>
            <w:rStyle w:val="Hyperlink"/>
            <w:rFonts w:eastAsiaTheme="majorEastAsia"/>
          </w:rPr>
          <w:t>Pricing Policies</w:t>
        </w:r>
        <w:r w:rsidR="002D3844">
          <w:rPr>
            <w:webHidden/>
          </w:rPr>
          <w:tab/>
        </w:r>
        <w:r w:rsidR="002D3844">
          <w:rPr>
            <w:webHidden/>
          </w:rPr>
          <w:fldChar w:fldCharType="begin"/>
        </w:r>
        <w:r w:rsidR="002D3844">
          <w:rPr>
            <w:webHidden/>
          </w:rPr>
          <w:instrText xml:space="preserve"> PAGEREF _Toc430351454 \h </w:instrText>
        </w:r>
        <w:r w:rsidR="002D3844">
          <w:rPr>
            <w:webHidden/>
          </w:rPr>
        </w:r>
        <w:r w:rsidR="002D3844">
          <w:rPr>
            <w:webHidden/>
          </w:rPr>
          <w:fldChar w:fldCharType="separate"/>
        </w:r>
        <w:r w:rsidR="00937E18">
          <w:rPr>
            <w:webHidden/>
          </w:rPr>
          <w:t>77</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5" w:history="1">
        <w:r w:rsidR="002D3844" w:rsidRPr="00A80E15">
          <w:rPr>
            <w:rStyle w:val="Hyperlink"/>
            <w:rFonts w:eastAsiaTheme="majorEastAsia"/>
          </w:rPr>
          <w:t>Administered Payments</w:t>
        </w:r>
        <w:r w:rsidR="002D3844">
          <w:rPr>
            <w:webHidden/>
          </w:rPr>
          <w:tab/>
        </w:r>
        <w:r w:rsidR="002D3844">
          <w:rPr>
            <w:webHidden/>
          </w:rPr>
          <w:fldChar w:fldCharType="begin"/>
        </w:r>
        <w:r w:rsidR="002D3844">
          <w:rPr>
            <w:webHidden/>
          </w:rPr>
          <w:instrText xml:space="preserve"> PAGEREF _Toc430351455 \h </w:instrText>
        </w:r>
        <w:r w:rsidR="002D3844">
          <w:rPr>
            <w:webHidden/>
          </w:rPr>
        </w:r>
        <w:r w:rsidR="002D3844">
          <w:rPr>
            <w:webHidden/>
          </w:rPr>
          <w:fldChar w:fldCharType="separate"/>
        </w:r>
        <w:r w:rsidR="00937E18">
          <w:rPr>
            <w:webHidden/>
          </w:rPr>
          <w:t>77</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6" w:history="1">
        <w:r w:rsidR="002D3844" w:rsidRPr="00A80E15">
          <w:rPr>
            <w:rStyle w:val="Hyperlink"/>
            <w:rFonts w:eastAsiaTheme="majorEastAsia"/>
          </w:rPr>
          <w:t>Superannuation Declaration</w:t>
        </w:r>
        <w:r w:rsidR="002D3844">
          <w:rPr>
            <w:webHidden/>
          </w:rPr>
          <w:tab/>
        </w:r>
        <w:r w:rsidR="002D3844">
          <w:rPr>
            <w:webHidden/>
          </w:rPr>
          <w:fldChar w:fldCharType="begin"/>
        </w:r>
        <w:r w:rsidR="002D3844">
          <w:rPr>
            <w:webHidden/>
          </w:rPr>
          <w:instrText xml:space="preserve"> PAGEREF _Toc430351456 \h </w:instrText>
        </w:r>
        <w:r w:rsidR="002D3844">
          <w:rPr>
            <w:webHidden/>
          </w:rPr>
        </w:r>
        <w:r w:rsidR="002D3844">
          <w:rPr>
            <w:webHidden/>
          </w:rPr>
          <w:fldChar w:fldCharType="separate"/>
        </w:r>
        <w:r w:rsidR="00937E18">
          <w:rPr>
            <w:webHidden/>
          </w:rPr>
          <w:t>77</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7" w:history="1">
        <w:r w:rsidR="002D3844" w:rsidRPr="00A80E15">
          <w:rPr>
            <w:rStyle w:val="Hyperlink"/>
            <w:rFonts w:eastAsiaTheme="majorEastAsia"/>
          </w:rPr>
          <w:t>Public Interest Disclosure</w:t>
        </w:r>
        <w:r w:rsidR="002D3844">
          <w:rPr>
            <w:webHidden/>
          </w:rPr>
          <w:tab/>
        </w:r>
        <w:r w:rsidR="002D3844">
          <w:rPr>
            <w:webHidden/>
          </w:rPr>
          <w:fldChar w:fldCharType="begin"/>
        </w:r>
        <w:r w:rsidR="002D3844">
          <w:rPr>
            <w:webHidden/>
          </w:rPr>
          <w:instrText xml:space="preserve"> PAGEREF _Toc430351457 \h </w:instrText>
        </w:r>
        <w:r w:rsidR="002D3844">
          <w:rPr>
            <w:webHidden/>
          </w:rPr>
        </w:r>
        <w:r w:rsidR="002D3844">
          <w:rPr>
            <w:webHidden/>
          </w:rPr>
          <w:fldChar w:fldCharType="separate"/>
        </w:r>
        <w:r w:rsidR="00937E18">
          <w:rPr>
            <w:webHidden/>
          </w:rPr>
          <w:t>78</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8" w:history="1">
        <w:r w:rsidR="002D3844" w:rsidRPr="00A80E15">
          <w:rPr>
            <w:rStyle w:val="Hyperlink"/>
            <w:rFonts w:eastAsiaTheme="majorEastAsia"/>
          </w:rPr>
          <w:t>Right to Information</w:t>
        </w:r>
        <w:r w:rsidR="002D3844">
          <w:rPr>
            <w:webHidden/>
          </w:rPr>
          <w:tab/>
        </w:r>
        <w:r w:rsidR="002D3844">
          <w:rPr>
            <w:webHidden/>
          </w:rPr>
          <w:fldChar w:fldCharType="begin"/>
        </w:r>
        <w:r w:rsidR="002D3844">
          <w:rPr>
            <w:webHidden/>
          </w:rPr>
          <w:instrText xml:space="preserve"> PAGEREF _Toc430351458 \h </w:instrText>
        </w:r>
        <w:r w:rsidR="002D3844">
          <w:rPr>
            <w:webHidden/>
          </w:rPr>
        </w:r>
        <w:r w:rsidR="002D3844">
          <w:rPr>
            <w:webHidden/>
          </w:rPr>
          <w:fldChar w:fldCharType="separate"/>
        </w:r>
        <w:r w:rsidR="00937E18">
          <w:rPr>
            <w:webHidden/>
          </w:rPr>
          <w:t>79</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59" w:history="1">
        <w:r w:rsidR="002D3844" w:rsidRPr="00A80E15">
          <w:rPr>
            <w:rStyle w:val="Hyperlink"/>
            <w:rFonts w:eastAsiaTheme="majorEastAsia"/>
          </w:rPr>
          <w:t>Legislation</w:t>
        </w:r>
        <w:r w:rsidR="002D3844">
          <w:rPr>
            <w:webHidden/>
          </w:rPr>
          <w:tab/>
        </w:r>
        <w:r w:rsidR="002D3844">
          <w:rPr>
            <w:webHidden/>
          </w:rPr>
          <w:fldChar w:fldCharType="begin"/>
        </w:r>
        <w:r w:rsidR="002D3844">
          <w:rPr>
            <w:webHidden/>
          </w:rPr>
          <w:instrText xml:space="preserve"> PAGEREF _Toc430351459 \h </w:instrText>
        </w:r>
        <w:r w:rsidR="002D3844">
          <w:rPr>
            <w:webHidden/>
          </w:rPr>
        </w:r>
        <w:r w:rsidR="002D3844">
          <w:rPr>
            <w:webHidden/>
          </w:rPr>
          <w:fldChar w:fldCharType="separate"/>
        </w:r>
        <w:r w:rsidR="00937E18">
          <w:rPr>
            <w:webHidden/>
          </w:rPr>
          <w:t>81</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60" w:history="1">
        <w:r w:rsidR="002D3844" w:rsidRPr="00A80E15">
          <w:rPr>
            <w:rStyle w:val="Hyperlink"/>
            <w:rFonts w:eastAsiaTheme="majorEastAsia"/>
          </w:rPr>
          <w:t>Other Annual Reports</w:t>
        </w:r>
        <w:r w:rsidR="002D3844">
          <w:rPr>
            <w:webHidden/>
          </w:rPr>
          <w:tab/>
        </w:r>
        <w:r w:rsidR="002D3844">
          <w:rPr>
            <w:webHidden/>
          </w:rPr>
          <w:fldChar w:fldCharType="begin"/>
        </w:r>
        <w:r w:rsidR="002D3844">
          <w:rPr>
            <w:webHidden/>
          </w:rPr>
          <w:instrText xml:space="preserve"> PAGEREF _Toc430351460 \h </w:instrText>
        </w:r>
        <w:r w:rsidR="002D3844">
          <w:rPr>
            <w:webHidden/>
          </w:rPr>
        </w:r>
        <w:r w:rsidR="002D3844">
          <w:rPr>
            <w:webHidden/>
          </w:rPr>
          <w:fldChar w:fldCharType="separate"/>
        </w:r>
        <w:r w:rsidR="00937E18">
          <w:rPr>
            <w:webHidden/>
          </w:rPr>
          <w:t>85</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61" w:history="1">
        <w:r w:rsidR="002D3844" w:rsidRPr="00A80E15">
          <w:rPr>
            <w:rStyle w:val="Hyperlink"/>
            <w:rFonts w:eastAsiaTheme="majorEastAsia"/>
            <w:i/>
          </w:rPr>
          <w:t>Disability Services Act 2011</w:t>
        </w:r>
        <w:r w:rsidR="002D3844">
          <w:rPr>
            <w:webHidden/>
          </w:rPr>
          <w:tab/>
        </w:r>
        <w:r w:rsidR="002D3844">
          <w:rPr>
            <w:webHidden/>
          </w:rPr>
          <w:fldChar w:fldCharType="begin"/>
        </w:r>
        <w:r w:rsidR="002D3844">
          <w:rPr>
            <w:webHidden/>
          </w:rPr>
          <w:instrText xml:space="preserve"> PAGEREF _Toc430351461 \h </w:instrText>
        </w:r>
        <w:r w:rsidR="002D3844">
          <w:rPr>
            <w:webHidden/>
          </w:rPr>
        </w:r>
        <w:r w:rsidR="002D3844">
          <w:rPr>
            <w:webHidden/>
          </w:rPr>
          <w:fldChar w:fldCharType="separate"/>
        </w:r>
        <w:r w:rsidR="00937E18">
          <w:rPr>
            <w:webHidden/>
          </w:rPr>
          <w:t>86</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62" w:history="1">
        <w:r w:rsidR="002D3844" w:rsidRPr="00A80E15">
          <w:rPr>
            <w:rStyle w:val="Hyperlink"/>
            <w:rFonts w:eastAsiaTheme="majorEastAsia"/>
          </w:rPr>
          <w:t>Council of Obstetric and Paediatric Mortality and Morbidity</w:t>
        </w:r>
        <w:r w:rsidR="002D3844">
          <w:rPr>
            <w:webHidden/>
          </w:rPr>
          <w:tab/>
        </w:r>
        <w:r w:rsidR="002D3844">
          <w:rPr>
            <w:webHidden/>
          </w:rPr>
          <w:fldChar w:fldCharType="begin"/>
        </w:r>
        <w:r w:rsidR="002D3844">
          <w:rPr>
            <w:webHidden/>
          </w:rPr>
          <w:instrText xml:space="preserve"> PAGEREF _Toc430351462 \h </w:instrText>
        </w:r>
        <w:r w:rsidR="002D3844">
          <w:rPr>
            <w:webHidden/>
          </w:rPr>
        </w:r>
        <w:r w:rsidR="002D3844">
          <w:rPr>
            <w:webHidden/>
          </w:rPr>
          <w:fldChar w:fldCharType="separate"/>
        </w:r>
        <w:r w:rsidR="00937E18">
          <w:rPr>
            <w:webHidden/>
          </w:rPr>
          <w:t>93</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63" w:history="1">
        <w:r w:rsidR="002D3844" w:rsidRPr="00A80E15">
          <w:rPr>
            <w:rStyle w:val="Hyperlink"/>
            <w:rFonts w:eastAsiaTheme="majorEastAsia"/>
          </w:rPr>
          <w:t>Tasmanian Pharmacy Authority</w:t>
        </w:r>
        <w:r w:rsidR="002D3844">
          <w:rPr>
            <w:webHidden/>
          </w:rPr>
          <w:tab/>
        </w:r>
        <w:r w:rsidR="002D3844">
          <w:rPr>
            <w:webHidden/>
          </w:rPr>
          <w:fldChar w:fldCharType="begin"/>
        </w:r>
        <w:r w:rsidR="002D3844">
          <w:rPr>
            <w:webHidden/>
          </w:rPr>
          <w:instrText xml:space="preserve"> PAGEREF _Toc430351463 \h </w:instrText>
        </w:r>
        <w:r w:rsidR="002D3844">
          <w:rPr>
            <w:webHidden/>
          </w:rPr>
        </w:r>
        <w:r w:rsidR="002D3844">
          <w:rPr>
            <w:webHidden/>
          </w:rPr>
          <w:fldChar w:fldCharType="separate"/>
        </w:r>
        <w:r w:rsidR="00937E18">
          <w:rPr>
            <w:webHidden/>
          </w:rPr>
          <w:t>99</w:t>
        </w:r>
        <w:r w:rsidR="002D3844">
          <w:rPr>
            <w:webHidden/>
          </w:rPr>
          <w:fldChar w:fldCharType="end"/>
        </w:r>
      </w:hyperlink>
    </w:p>
    <w:p w:rsidR="002D3844" w:rsidRDefault="009121FB">
      <w:pPr>
        <w:pStyle w:val="TOC1"/>
        <w:rPr>
          <w:rFonts w:asciiTheme="minorHAnsi" w:eastAsiaTheme="minorEastAsia" w:hAnsiTheme="minorHAnsi" w:cstheme="minorBidi"/>
          <w:b w:val="0"/>
          <w:szCs w:val="22"/>
          <w:lang w:eastAsia="en-AU"/>
        </w:rPr>
      </w:pPr>
      <w:hyperlink w:anchor="_Toc430351464" w:history="1">
        <w:r w:rsidR="002D3844" w:rsidRPr="00A80E15">
          <w:rPr>
            <w:rStyle w:val="Hyperlink"/>
            <w:rFonts w:eastAsiaTheme="majorEastAsia"/>
          </w:rPr>
          <w:t>Tasmanian Pharmacy Authority Financial Statements</w:t>
        </w:r>
        <w:r w:rsidR="002D3844">
          <w:rPr>
            <w:webHidden/>
          </w:rPr>
          <w:tab/>
        </w:r>
        <w:r w:rsidR="002D3844">
          <w:rPr>
            <w:webHidden/>
          </w:rPr>
          <w:fldChar w:fldCharType="begin"/>
        </w:r>
        <w:r w:rsidR="002D3844">
          <w:rPr>
            <w:webHidden/>
          </w:rPr>
          <w:instrText xml:space="preserve"> PAGEREF _Toc430351464 \h </w:instrText>
        </w:r>
        <w:r w:rsidR="002D3844">
          <w:rPr>
            <w:webHidden/>
          </w:rPr>
        </w:r>
        <w:r w:rsidR="002D3844">
          <w:rPr>
            <w:webHidden/>
          </w:rPr>
          <w:fldChar w:fldCharType="separate"/>
        </w:r>
        <w:r w:rsidR="00937E18">
          <w:rPr>
            <w:webHidden/>
          </w:rPr>
          <w:t>106</w:t>
        </w:r>
        <w:r w:rsidR="002D3844">
          <w:rPr>
            <w:webHidden/>
          </w:rPr>
          <w:fldChar w:fldCharType="end"/>
        </w:r>
      </w:hyperlink>
    </w:p>
    <w:p w:rsidR="00912891" w:rsidRDefault="002D3844">
      <w:pPr>
        <w:tabs>
          <w:tab w:val="clear" w:pos="567"/>
        </w:tabs>
        <w:spacing w:after="200" w:line="276" w:lineRule="auto"/>
      </w:pPr>
      <w:r>
        <w:rPr>
          <w:b/>
          <w:noProof/>
          <w:szCs w:val="36"/>
        </w:rPr>
        <w:fldChar w:fldCharType="end"/>
      </w:r>
    </w:p>
    <w:p w:rsidR="00973B3B" w:rsidRPr="001B05C8" w:rsidRDefault="00973B3B">
      <w:pPr>
        <w:tabs>
          <w:tab w:val="clear" w:pos="567"/>
        </w:tabs>
        <w:spacing w:after="200" w:line="276" w:lineRule="auto"/>
      </w:pPr>
      <w:r w:rsidRPr="001B05C8">
        <w:br w:type="page"/>
      </w:r>
    </w:p>
    <w:p w:rsidR="00C601E8" w:rsidRPr="001B05C8" w:rsidRDefault="00C601E8" w:rsidP="00C601E8">
      <w:pPr>
        <w:pStyle w:val="Heading1"/>
      </w:pPr>
      <w:bookmarkStart w:id="0" w:name="_Toc430351449"/>
      <w:r w:rsidRPr="001B05C8">
        <w:lastRenderedPageBreak/>
        <w:t>Cap</w:t>
      </w:r>
      <w:r>
        <w:t>ital Works and Asset Management</w:t>
      </w:r>
      <w:bookmarkEnd w:id="0"/>
    </w:p>
    <w:p w:rsidR="00C601E8" w:rsidRPr="001B05C8" w:rsidRDefault="00C601E8" w:rsidP="00C601E8">
      <w:pPr>
        <w:pStyle w:val="Heading2"/>
      </w:pPr>
      <w:r w:rsidRPr="001B05C8">
        <w:t>Asset Management</w:t>
      </w:r>
    </w:p>
    <w:p w:rsidR="00C601E8" w:rsidRPr="001B05C8" w:rsidRDefault="00C601E8" w:rsidP="00C601E8">
      <w:pPr>
        <w:sectPr w:rsidR="00C601E8" w:rsidRPr="001B05C8" w:rsidSect="004977AF">
          <w:headerReference w:type="even" r:id="rId10"/>
          <w:headerReference w:type="default" r:id="rId11"/>
          <w:footerReference w:type="even" r:id="rId12"/>
          <w:footerReference w:type="default" r:id="rId13"/>
          <w:headerReference w:type="first" r:id="rId14"/>
          <w:footerReference w:type="first" r:id="rId15"/>
          <w:pgSz w:w="11906" w:h="16838" w:code="9"/>
          <w:pgMar w:top="907" w:right="1134" w:bottom="720" w:left="1134" w:header="709" w:footer="709" w:gutter="0"/>
          <w:pgNumType w:start="37"/>
          <w:cols w:space="708"/>
          <w:docGrid w:linePitch="360"/>
        </w:sectPr>
      </w:pPr>
    </w:p>
    <w:p w:rsidR="00C601E8" w:rsidRPr="00E117D8" w:rsidRDefault="00C601E8" w:rsidP="00C601E8">
      <w:r>
        <w:lastRenderedPageBreak/>
        <w:t xml:space="preserve">Asset Management Services continues to provide support to the </w:t>
      </w:r>
      <w:r w:rsidR="009A2A61">
        <w:t xml:space="preserve">DHHS </w:t>
      </w:r>
      <w:r>
        <w:t>and Tasmanian Health Organisations (THO) for the key elements of planning, procurement and sustainability.</w:t>
      </w:r>
    </w:p>
    <w:p w:rsidR="00C601E8" w:rsidRDefault="00C601E8" w:rsidP="00C601E8">
      <w:r>
        <w:t xml:space="preserve">In 2014-15, AMS was responsible for implementing an </w:t>
      </w:r>
      <w:r w:rsidR="00C222F0">
        <w:t>a</w:t>
      </w:r>
      <w:r>
        <w:t xml:space="preserve">sbestos </w:t>
      </w:r>
      <w:r w:rsidR="00C222F0">
        <w:t>a</w:t>
      </w:r>
      <w:r>
        <w:t>udit across its entire portfolio of assets.  An audit of every asbestos-containing site was completed and a program implemented to provide each site with an updated Asbestos Register.  At the same time, an Asbestos Management Plan was developed, which provides a guide for the management of Asbestos Containing Materials in the workplace and details the roles and responsibilities of employees and contractors.</w:t>
      </w:r>
    </w:p>
    <w:p w:rsidR="00C601E8" w:rsidRDefault="00C601E8" w:rsidP="00C601E8">
      <w:r>
        <w:t>A new statewide Fire Services Maintenance Contract was developed in 2014-15.  As at 30 June 2015 the submissions were being reviewed by the Tender Evaluation Panel.  It is expected this contract will be implemented during 2015-16 across the majority of the DHHS portfolio.</w:t>
      </w:r>
    </w:p>
    <w:p w:rsidR="00C601E8" w:rsidRPr="0002311F" w:rsidRDefault="00FD42E5" w:rsidP="00C601E8">
      <w:r>
        <w:br w:type="column"/>
      </w:r>
      <w:r w:rsidR="00C601E8">
        <w:lastRenderedPageBreak/>
        <w:t>The</w:t>
      </w:r>
      <w:r w:rsidR="00C601E8" w:rsidRPr="0002311F">
        <w:t xml:space="preserve"> rolling program of Building Condition Assessments </w:t>
      </w:r>
      <w:r w:rsidR="00C601E8">
        <w:t xml:space="preserve">continues </w:t>
      </w:r>
      <w:r w:rsidR="00C601E8" w:rsidRPr="0002311F">
        <w:t>across the</w:t>
      </w:r>
      <w:r w:rsidR="00C601E8">
        <w:t xml:space="preserve"> State to identify asset-</w:t>
      </w:r>
      <w:r w:rsidR="00C601E8" w:rsidRPr="0002311F">
        <w:t xml:space="preserve">related risks for inclusion </w:t>
      </w:r>
      <w:r w:rsidR="00433A3C">
        <w:t xml:space="preserve">in </w:t>
      </w:r>
      <w:r w:rsidR="00C601E8" w:rsidRPr="0002311F">
        <w:t>the Essential Maintenance Program.</w:t>
      </w:r>
      <w:r w:rsidR="00C601E8">
        <w:t xml:space="preserve">  AMS also represents the Department a</w:t>
      </w:r>
      <w:r w:rsidR="00C601E8" w:rsidRPr="0002311F">
        <w:t xml:space="preserve">s a member of the </w:t>
      </w:r>
      <w:r w:rsidR="00C601E8">
        <w:t>Australasian</w:t>
      </w:r>
      <w:r w:rsidR="00C601E8" w:rsidRPr="0002311F">
        <w:t xml:space="preserve"> Health </w:t>
      </w:r>
      <w:r w:rsidR="00C601E8">
        <w:t xml:space="preserve">Infrastructure </w:t>
      </w:r>
      <w:r w:rsidR="00C601E8" w:rsidRPr="0002311F">
        <w:t xml:space="preserve">Alliance to provide consistency and promote best practice in hospital design across Australasia and undertaking research and benchmarking into energy efficient measures.  </w:t>
      </w:r>
    </w:p>
    <w:p w:rsidR="00C601E8" w:rsidRDefault="00C601E8" w:rsidP="00C601E8">
      <w:r w:rsidRPr="005F07EC">
        <w:t>In 201</w:t>
      </w:r>
      <w:r>
        <w:t>4</w:t>
      </w:r>
      <w:r w:rsidRPr="005F07EC">
        <w:t>-1</w:t>
      </w:r>
      <w:r>
        <w:t>5,</w:t>
      </w:r>
      <w:r w:rsidRPr="005F07EC">
        <w:t xml:space="preserve"> the </w:t>
      </w:r>
      <w:r>
        <w:t xml:space="preserve">DHHS </w:t>
      </w:r>
      <w:r w:rsidRPr="005F07EC">
        <w:t>had a budget for the following construction of facili</w:t>
      </w:r>
      <w:r>
        <w:t>ties and equipment acquisitions.</w:t>
      </w:r>
    </w:p>
    <w:p w:rsidR="00C601E8" w:rsidRPr="001B05C8" w:rsidRDefault="00C601E8" w:rsidP="00C601E8"/>
    <w:p w:rsidR="00C601E8" w:rsidRPr="001B05C8" w:rsidRDefault="00C601E8" w:rsidP="00C601E8">
      <w:pPr>
        <w:pStyle w:val="Heading1"/>
        <w:spacing w:line="260" w:lineRule="atLeast"/>
        <w:rPr>
          <w:sz w:val="20"/>
          <w:szCs w:val="20"/>
        </w:rPr>
        <w:sectPr w:rsidR="00C601E8" w:rsidRPr="001B05C8" w:rsidSect="00CB41D0">
          <w:type w:val="continuous"/>
          <w:pgSz w:w="11906" w:h="16838" w:code="9"/>
          <w:pgMar w:top="907" w:right="1134" w:bottom="720" w:left="1134" w:header="709" w:footer="709" w:gutter="0"/>
          <w:cols w:num="2" w:space="708"/>
          <w:docGrid w:linePitch="360"/>
        </w:sectPr>
      </w:pPr>
    </w:p>
    <w:p w:rsidR="00C601E8" w:rsidRPr="001B05C8" w:rsidRDefault="00C601E8" w:rsidP="00C601E8">
      <w:pPr>
        <w:pStyle w:val="Heading2"/>
      </w:pPr>
      <w:r w:rsidRPr="001B05C8">
        <w:lastRenderedPageBreak/>
        <w:t>Acquisitions</w:t>
      </w:r>
    </w:p>
    <w:p w:rsidR="00C601E8" w:rsidRPr="001B05C8" w:rsidRDefault="00C601E8" w:rsidP="00C601E8">
      <w:pPr>
        <w:pStyle w:val="Heading2"/>
        <w:sectPr w:rsidR="00C601E8" w:rsidRPr="001B05C8" w:rsidSect="00CB41D0">
          <w:type w:val="continuous"/>
          <w:pgSz w:w="11906" w:h="16838" w:code="9"/>
          <w:pgMar w:top="907" w:right="1134" w:bottom="720" w:left="1134" w:header="709" w:footer="709" w:gutter="0"/>
          <w:cols w:space="708"/>
          <w:docGrid w:linePitch="360"/>
        </w:sectPr>
      </w:pPr>
    </w:p>
    <w:p w:rsidR="00C601E8" w:rsidRPr="001B05C8" w:rsidRDefault="00C601E8" w:rsidP="00C601E8">
      <w:r w:rsidRPr="001B05C8">
        <w:lastRenderedPageBreak/>
        <w:t xml:space="preserve">During 2014-15, </w:t>
      </w:r>
      <w:r>
        <w:t xml:space="preserve">DHHS </w:t>
      </w:r>
      <w:r w:rsidRPr="001B05C8">
        <w:t>acquired three properties:</w:t>
      </w:r>
    </w:p>
    <w:p w:rsidR="00C601E8" w:rsidRPr="001B05C8" w:rsidRDefault="00C601E8" w:rsidP="00C601E8">
      <w:pPr>
        <w:pStyle w:val="Bullet1"/>
      </w:pPr>
      <w:r w:rsidRPr="001B05C8">
        <w:t>Land at 404 - 408 Main Road, Glenorchy for construction of the Glenorchy Integrated Care Centre for Tasmanian Health Organisation - South</w:t>
      </w:r>
    </w:p>
    <w:p w:rsidR="00C601E8" w:rsidRPr="001B05C8" w:rsidRDefault="00C601E8" w:rsidP="00C601E8">
      <w:pPr>
        <w:pStyle w:val="Bullet1"/>
      </w:pPr>
      <w:r w:rsidRPr="001B05C8">
        <w:lastRenderedPageBreak/>
        <w:t>Land at 1 Mason Street, Campbell Town for Ambulance Tasmania</w:t>
      </w:r>
    </w:p>
    <w:p w:rsidR="00C601E8" w:rsidRPr="001B05C8" w:rsidRDefault="00C601E8" w:rsidP="00C601E8">
      <w:pPr>
        <w:pStyle w:val="Bullet1"/>
      </w:pPr>
      <w:r w:rsidRPr="001B05C8">
        <w:t xml:space="preserve">6 James Street, Whitemark, Flinders Island residential accommodation for Tasmanian Health Organisation </w:t>
      </w:r>
      <w:r w:rsidR="00823E22">
        <w:t>–</w:t>
      </w:r>
      <w:r w:rsidRPr="001B05C8">
        <w:t xml:space="preserve"> North</w:t>
      </w:r>
      <w:r w:rsidR="00823E22">
        <w:t>.</w:t>
      </w:r>
    </w:p>
    <w:p w:rsidR="00C601E8" w:rsidRPr="001B05C8" w:rsidRDefault="00C601E8" w:rsidP="00C601E8">
      <w:pPr>
        <w:pStyle w:val="Heading2"/>
        <w:sectPr w:rsidR="00C601E8" w:rsidRPr="001B05C8" w:rsidSect="00CB41D0">
          <w:type w:val="continuous"/>
          <w:pgSz w:w="11906" w:h="16838" w:code="9"/>
          <w:pgMar w:top="907" w:right="1134" w:bottom="720" w:left="1134" w:header="709" w:footer="709" w:gutter="0"/>
          <w:cols w:num="2" w:space="708"/>
          <w:docGrid w:linePitch="360"/>
        </w:sectPr>
      </w:pPr>
    </w:p>
    <w:p w:rsidR="00C601E8" w:rsidRPr="001B05C8" w:rsidRDefault="00C601E8" w:rsidP="00C601E8">
      <w:pPr>
        <w:pStyle w:val="Heading2"/>
      </w:pPr>
      <w:r w:rsidRPr="001B05C8">
        <w:lastRenderedPageBreak/>
        <w:t>Disposals</w:t>
      </w:r>
    </w:p>
    <w:p w:rsidR="00C601E8" w:rsidRPr="001B05C8" w:rsidRDefault="00C601E8" w:rsidP="00C601E8">
      <w:pPr>
        <w:sectPr w:rsidR="00C601E8" w:rsidRPr="001B05C8" w:rsidSect="00CB41D0">
          <w:type w:val="continuous"/>
          <w:pgSz w:w="11906" w:h="16838" w:code="9"/>
          <w:pgMar w:top="907" w:right="1134" w:bottom="720" w:left="1134" w:header="709" w:footer="709" w:gutter="0"/>
          <w:cols w:space="708"/>
          <w:docGrid w:linePitch="360"/>
        </w:sectPr>
      </w:pPr>
    </w:p>
    <w:p w:rsidR="00C601E8" w:rsidRPr="001B05C8" w:rsidRDefault="00C601E8" w:rsidP="00C601E8">
      <w:r w:rsidRPr="001B05C8">
        <w:lastRenderedPageBreak/>
        <w:t xml:space="preserve">Properties that are surplus to requirements are disposed, with proceeds of sale being reinvested into </w:t>
      </w:r>
      <w:r>
        <w:t>DHHS</w:t>
      </w:r>
      <w:r w:rsidRPr="001B05C8">
        <w:t xml:space="preserve"> and </w:t>
      </w:r>
      <w:r>
        <w:t>the THOs’</w:t>
      </w:r>
      <w:r w:rsidRPr="001B05C8">
        <w:t xml:space="preserve"> real estate asset portfolios.</w:t>
      </w:r>
    </w:p>
    <w:p w:rsidR="00C601E8" w:rsidRPr="001B05C8" w:rsidRDefault="00C601E8" w:rsidP="00C601E8">
      <w:r w:rsidRPr="001B05C8">
        <w:t>During 2014-1</w:t>
      </w:r>
      <w:r>
        <w:t>5 one property</w:t>
      </w:r>
      <w:r w:rsidR="00433A3C">
        <w:t>,</w:t>
      </w:r>
      <w:r w:rsidRPr="001B05C8">
        <w:t xml:space="preserve"> 83 Frankland Street in Launceston</w:t>
      </w:r>
      <w:r w:rsidR="00433A3C">
        <w:t>,</w:t>
      </w:r>
      <w:r w:rsidRPr="001B05C8">
        <w:t xml:space="preserve"> was sold for $385 000 with total net proceeds of $330 430 to be reinvested into </w:t>
      </w:r>
      <w:r>
        <w:t>THO</w:t>
      </w:r>
      <w:r>
        <w:noBreakHyphen/>
      </w:r>
      <w:r w:rsidRPr="001B05C8">
        <w:t>North’s asset portfolio.</w:t>
      </w:r>
    </w:p>
    <w:p w:rsidR="00C601E8" w:rsidRPr="001B05C8" w:rsidRDefault="00C601E8" w:rsidP="00C601E8">
      <w:r w:rsidRPr="001B05C8">
        <w:t>Tasmanian Health Organisation – North West’s former West Coast Hospital in Queenstown continued to be listed for sale on the open market.</w:t>
      </w:r>
    </w:p>
    <w:p w:rsidR="00C601E8" w:rsidRPr="001B05C8" w:rsidRDefault="00C601E8" w:rsidP="00C601E8">
      <w:r w:rsidRPr="001B05C8">
        <w:lastRenderedPageBreak/>
        <w:t>During 2014-15, three properties were forwarded to the Department of Treasury and Finance for sale:</w:t>
      </w:r>
    </w:p>
    <w:p w:rsidR="00C601E8" w:rsidRPr="001B05C8" w:rsidRDefault="00C601E8" w:rsidP="00C601E8">
      <w:pPr>
        <w:pStyle w:val="Bullet1"/>
      </w:pPr>
      <w:r w:rsidRPr="001B05C8">
        <w:t>Community Hall at 17 Cambridge Road, Bellerive</w:t>
      </w:r>
    </w:p>
    <w:p w:rsidR="00C601E8" w:rsidRPr="001B05C8" w:rsidRDefault="00C601E8" w:rsidP="00C601E8">
      <w:pPr>
        <w:pStyle w:val="Bullet1"/>
      </w:pPr>
      <w:r w:rsidRPr="001B05C8">
        <w:t xml:space="preserve">former residential house </w:t>
      </w:r>
      <w:r>
        <w:t xml:space="preserve">at 36 French Street, Launceston, and </w:t>
      </w:r>
    </w:p>
    <w:p w:rsidR="00C601E8" w:rsidRPr="001B05C8" w:rsidRDefault="00C601E8" w:rsidP="00C601E8">
      <w:pPr>
        <w:pStyle w:val="Bullet1"/>
      </w:pPr>
      <w:proofErr w:type="gramStart"/>
      <w:r w:rsidRPr="001B05C8">
        <w:t>former</w:t>
      </w:r>
      <w:proofErr w:type="gramEnd"/>
      <w:r w:rsidRPr="001B05C8">
        <w:t xml:space="preserve"> Mental Health Services property at 13 Cambridge Road, Bellerive</w:t>
      </w:r>
      <w:r>
        <w:t>.</w:t>
      </w:r>
    </w:p>
    <w:p w:rsidR="00C601E8" w:rsidRPr="001B05C8" w:rsidRDefault="00C601E8" w:rsidP="00C601E8">
      <w:pPr>
        <w:pStyle w:val="Heading2"/>
        <w:sectPr w:rsidR="00C601E8" w:rsidRPr="001B05C8" w:rsidSect="00CB41D0">
          <w:type w:val="continuous"/>
          <w:pgSz w:w="11906" w:h="16838" w:code="9"/>
          <w:pgMar w:top="907" w:right="1134" w:bottom="720" w:left="1134" w:header="709" w:footer="709" w:gutter="0"/>
          <w:cols w:num="2" w:space="708"/>
          <w:docGrid w:linePitch="360"/>
        </w:sectPr>
      </w:pPr>
    </w:p>
    <w:p w:rsidR="00937E18" w:rsidRDefault="00937E18">
      <w:pPr>
        <w:tabs>
          <w:tab w:val="clear" w:pos="567"/>
        </w:tabs>
        <w:spacing w:after="200" w:line="276" w:lineRule="auto"/>
        <w:rPr>
          <w:rFonts w:eastAsiaTheme="majorEastAsia" w:cstheme="majorBidi"/>
          <w:b/>
          <w:bCs/>
          <w:sz w:val="32"/>
          <w:szCs w:val="26"/>
        </w:rPr>
      </w:pPr>
      <w:r>
        <w:lastRenderedPageBreak/>
        <w:br w:type="page"/>
      </w:r>
    </w:p>
    <w:p w:rsidR="00C601E8" w:rsidRPr="00B504A4" w:rsidRDefault="00C601E8" w:rsidP="00C601E8">
      <w:pPr>
        <w:pStyle w:val="Heading2"/>
      </w:pPr>
      <w:r w:rsidRPr="00B504A4">
        <w:lastRenderedPageBreak/>
        <w:t>Asset Planning Including Major Capital Works</w:t>
      </w:r>
    </w:p>
    <w:p w:rsidR="00C601E8" w:rsidRPr="00B504A4" w:rsidRDefault="00C601E8" w:rsidP="00C601E8">
      <w:pPr>
        <w:sectPr w:rsidR="00C601E8" w:rsidRPr="00B504A4" w:rsidSect="00CB41D0">
          <w:type w:val="continuous"/>
          <w:pgSz w:w="11906" w:h="16838" w:code="9"/>
          <w:pgMar w:top="907" w:right="1134" w:bottom="720" w:left="1134" w:header="709" w:footer="709" w:gutter="0"/>
          <w:cols w:space="708"/>
          <w:docGrid w:linePitch="360"/>
        </w:sectPr>
      </w:pPr>
    </w:p>
    <w:p w:rsidR="00C601E8" w:rsidRDefault="00C601E8" w:rsidP="00C601E8">
      <w:r w:rsidRPr="00E117D8">
        <w:lastRenderedPageBreak/>
        <w:t xml:space="preserve">The </w:t>
      </w:r>
      <w:r>
        <w:t xml:space="preserve">Department’s </w:t>
      </w:r>
      <w:r w:rsidRPr="00E117D8">
        <w:t>2012-2017 Strategic Asset Management Plan (SAMP)</w:t>
      </w:r>
      <w:r>
        <w:t xml:space="preserve">, along with the Housing Tasmania SAMP, were both endorsed by the Department of Treasury and Finance in 2013.  </w:t>
      </w:r>
    </w:p>
    <w:p w:rsidR="00C601E8" w:rsidRPr="001B05C8" w:rsidRDefault="00C601E8" w:rsidP="00C601E8">
      <w:r>
        <w:t xml:space="preserve">During the past </w:t>
      </w:r>
      <w:r w:rsidR="00E75FAD">
        <w:t xml:space="preserve">12 </w:t>
      </w:r>
      <w:r>
        <w:t>months, the focus has been on the development of SAMPs across each of the key Agency business units, with AMS and Oral Health Services having completed their individual SAMPs.</w:t>
      </w:r>
      <w:r>
        <w:br w:type="column"/>
      </w:r>
      <w:r>
        <w:lastRenderedPageBreak/>
        <w:t xml:space="preserve">For the Department, the SAMP </w:t>
      </w:r>
      <w:r w:rsidRPr="00E117D8">
        <w:t>focuses on providing direction and a common approach to the measurement of performance within the asset portfolio</w:t>
      </w:r>
      <w:r>
        <w:t>.  It</w:t>
      </w:r>
      <w:r w:rsidRPr="00E117D8">
        <w:t xml:space="preserve"> responds to the delivery of highly complex and diverse services</w:t>
      </w:r>
      <w:r>
        <w:t xml:space="preserve"> across the health and human services portfolios</w:t>
      </w:r>
      <w:r w:rsidRPr="00E117D8">
        <w:t>.</w:t>
      </w:r>
      <w:r>
        <w:t xml:space="preserve">  As a subset of the DHHS SAMP, </w:t>
      </w:r>
      <w:r w:rsidRPr="00881BDA">
        <w:t xml:space="preserve">Ambulance Tasmania, Children and </w:t>
      </w:r>
      <w:r>
        <w:t>Youth</w:t>
      </w:r>
      <w:r w:rsidRPr="00881BDA">
        <w:t xml:space="preserve"> Services, Disability Services</w:t>
      </w:r>
      <w:r>
        <w:t xml:space="preserve"> and each THO continue to progress their internal SAMPs.</w:t>
      </w:r>
    </w:p>
    <w:p w:rsidR="00C601E8" w:rsidRPr="001B05C8" w:rsidRDefault="00C601E8" w:rsidP="00C601E8"/>
    <w:p w:rsidR="00C601E8" w:rsidRPr="001B05C8" w:rsidRDefault="00C601E8" w:rsidP="00C601E8">
      <w:pPr>
        <w:pStyle w:val="Heading2"/>
        <w:rPr>
          <w:sz w:val="28"/>
        </w:rPr>
        <w:sectPr w:rsidR="00C601E8" w:rsidRPr="001B05C8" w:rsidSect="00CB41D0">
          <w:type w:val="continuous"/>
          <w:pgSz w:w="11906" w:h="16838" w:code="9"/>
          <w:pgMar w:top="907" w:right="1134" w:bottom="720" w:left="1134" w:header="709" w:footer="709" w:gutter="0"/>
          <w:cols w:num="2" w:space="708"/>
          <w:docGrid w:linePitch="360"/>
        </w:sectPr>
      </w:pPr>
    </w:p>
    <w:p w:rsidR="00C601E8" w:rsidRPr="002A32ED" w:rsidRDefault="00C601E8" w:rsidP="00C601E8">
      <w:pPr>
        <w:pStyle w:val="Heading2"/>
      </w:pPr>
      <w:r w:rsidRPr="002A32ED">
        <w:lastRenderedPageBreak/>
        <w:t>Completed Major Capital Works Program 2014-15</w:t>
      </w:r>
    </w:p>
    <w:p w:rsidR="00C601E8" w:rsidRPr="001B05C8" w:rsidRDefault="00C601E8" w:rsidP="00C601E8">
      <w:r w:rsidRPr="001B05C8">
        <w:t>Completed Major Capital Works 2014-15 (projects are defined as completed once all of the project funds are expended in the finance system).</w:t>
      </w:r>
    </w:p>
    <w:tbl>
      <w:tblPr>
        <w:tblW w:w="9073" w:type="dxa"/>
        <w:tblInd w:w="108" w:type="dxa"/>
        <w:tblBorders>
          <w:insideH w:val="single" w:sz="4" w:space="0" w:color="BFBFBF" w:themeColor="background1" w:themeShade="BF"/>
        </w:tblBorders>
        <w:tblLook w:val="04A0" w:firstRow="1" w:lastRow="0" w:firstColumn="1" w:lastColumn="0" w:noHBand="0" w:noVBand="1"/>
      </w:tblPr>
      <w:tblGrid>
        <w:gridCol w:w="7229"/>
        <w:gridCol w:w="782"/>
        <w:gridCol w:w="69"/>
        <w:gridCol w:w="993"/>
      </w:tblGrid>
      <w:tr w:rsidR="00C601E8" w:rsidRPr="00FB29A2" w:rsidTr="00FD42E5">
        <w:tc>
          <w:tcPr>
            <w:tcW w:w="7229" w:type="dxa"/>
            <w:shd w:val="clear" w:color="auto" w:fill="auto"/>
            <w:vAlign w:val="bottom"/>
          </w:tcPr>
          <w:p w:rsidR="00C601E8" w:rsidRPr="00FB29A2" w:rsidRDefault="00C601E8" w:rsidP="00C601E8">
            <w:pPr>
              <w:rPr>
                <w:b/>
                <w:sz w:val="18"/>
                <w:szCs w:val="18"/>
              </w:rPr>
            </w:pPr>
            <w:bookmarkStart w:id="8" w:name="_Toc302466510"/>
            <w:bookmarkStart w:id="9" w:name="_Toc303758044"/>
            <w:bookmarkStart w:id="10" w:name="_Toc304279034"/>
            <w:r w:rsidRPr="00FB29A2">
              <w:rPr>
                <w:b/>
                <w:sz w:val="18"/>
                <w:szCs w:val="18"/>
              </w:rPr>
              <w:t>Completed Major Capital Works</w:t>
            </w:r>
            <w:bookmarkEnd w:id="8"/>
            <w:bookmarkEnd w:id="9"/>
            <w:bookmarkEnd w:id="10"/>
            <w:r w:rsidRPr="00FB29A2">
              <w:rPr>
                <w:b/>
                <w:sz w:val="18"/>
                <w:szCs w:val="18"/>
              </w:rPr>
              <w:t xml:space="preserve"> in 2014-15</w:t>
            </w:r>
          </w:p>
        </w:tc>
        <w:tc>
          <w:tcPr>
            <w:tcW w:w="1844" w:type="dxa"/>
            <w:gridSpan w:val="3"/>
            <w:shd w:val="clear" w:color="auto" w:fill="auto"/>
            <w:vAlign w:val="bottom"/>
          </w:tcPr>
          <w:p w:rsidR="00C601E8" w:rsidRPr="00FB29A2" w:rsidRDefault="00C601E8" w:rsidP="00C601E8">
            <w:pPr>
              <w:spacing w:line="260" w:lineRule="atLeast"/>
              <w:jc w:val="right"/>
              <w:rPr>
                <w:b/>
                <w:sz w:val="18"/>
                <w:szCs w:val="18"/>
              </w:rPr>
            </w:pPr>
            <w:r w:rsidRPr="00FB29A2">
              <w:rPr>
                <w:b/>
                <w:sz w:val="18"/>
                <w:szCs w:val="18"/>
              </w:rPr>
              <w:t>Total Cost</w:t>
            </w:r>
            <w:r w:rsidRPr="00FB29A2">
              <w:rPr>
                <w:b/>
                <w:sz w:val="18"/>
                <w:szCs w:val="18"/>
              </w:rPr>
              <w:br/>
              <w:t>$’000</w:t>
            </w:r>
          </w:p>
        </w:tc>
      </w:tr>
      <w:tr w:rsidR="00823E22" w:rsidRPr="001B05C8" w:rsidTr="00FD42E5">
        <w:tc>
          <w:tcPr>
            <w:tcW w:w="8011" w:type="dxa"/>
            <w:gridSpan w:val="2"/>
          </w:tcPr>
          <w:p w:rsidR="00823E22" w:rsidRPr="001B05C8" w:rsidRDefault="00823E22" w:rsidP="00823E22">
            <w:pPr>
              <w:pStyle w:val="Table-AnnualReport"/>
            </w:pPr>
            <w:r w:rsidRPr="001B05C8">
              <w:t xml:space="preserve">Flinders Island </w:t>
            </w:r>
            <w:proofErr w:type="spellStart"/>
            <w:r w:rsidRPr="001B05C8">
              <w:t>Multi Purpose</w:t>
            </w:r>
            <w:proofErr w:type="spellEnd"/>
            <w:r w:rsidRPr="001B05C8">
              <w:t xml:space="preserve"> Centre</w:t>
            </w:r>
          </w:p>
        </w:tc>
        <w:tc>
          <w:tcPr>
            <w:tcW w:w="1062" w:type="dxa"/>
            <w:gridSpan w:val="2"/>
          </w:tcPr>
          <w:p w:rsidR="00823E22" w:rsidRPr="001B05C8" w:rsidRDefault="00823E22" w:rsidP="00823E22">
            <w:pPr>
              <w:pStyle w:val="Table-AnnualReport"/>
              <w:jc w:val="right"/>
            </w:pPr>
            <w:r w:rsidRPr="001B05C8">
              <w:t>6 002</w:t>
            </w:r>
          </w:p>
        </w:tc>
      </w:tr>
      <w:tr w:rsidR="00823E22" w:rsidRPr="001B05C8" w:rsidTr="00FD42E5">
        <w:tc>
          <w:tcPr>
            <w:tcW w:w="8011" w:type="dxa"/>
            <w:gridSpan w:val="2"/>
          </w:tcPr>
          <w:p w:rsidR="00823E22" w:rsidRPr="001B05C8" w:rsidRDefault="00823E22" w:rsidP="00823E22">
            <w:pPr>
              <w:pStyle w:val="Table-AnnualReport"/>
            </w:pPr>
            <w:r w:rsidRPr="001B05C8">
              <w:t>Minor Capital Works Refurbishment Program (Rural Works)</w:t>
            </w:r>
          </w:p>
        </w:tc>
        <w:tc>
          <w:tcPr>
            <w:tcW w:w="1062" w:type="dxa"/>
            <w:gridSpan w:val="2"/>
          </w:tcPr>
          <w:p w:rsidR="00823E22" w:rsidRPr="001B05C8" w:rsidRDefault="00823E22" w:rsidP="00823E22">
            <w:pPr>
              <w:pStyle w:val="Table-AnnualReport"/>
              <w:jc w:val="right"/>
            </w:pPr>
            <w:r w:rsidRPr="001B05C8">
              <w:t>615</w:t>
            </w:r>
          </w:p>
        </w:tc>
      </w:tr>
      <w:tr w:rsidR="00823E22" w:rsidRPr="00476512" w:rsidTr="00FD42E5">
        <w:tc>
          <w:tcPr>
            <w:tcW w:w="8011" w:type="dxa"/>
            <w:gridSpan w:val="2"/>
          </w:tcPr>
          <w:p w:rsidR="00823E22" w:rsidRPr="00476512" w:rsidRDefault="00823E22" w:rsidP="00823E22">
            <w:pPr>
              <w:pStyle w:val="Table-AnnualReport"/>
            </w:pPr>
            <w:r w:rsidRPr="00476512">
              <w:t>National Health and Hospitals Network - Capital - Emergency Department - Launceston General Hospital</w:t>
            </w:r>
            <w:r>
              <w:rPr>
                <w:vertAlign w:val="superscript"/>
              </w:rPr>
              <w:t>1</w:t>
            </w:r>
          </w:p>
        </w:tc>
        <w:tc>
          <w:tcPr>
            <w:tcW w:w="1062" w:type="dxa"/>
            <w:gridSpan w:val="2"/>
          </w:tcPr>
          <w:p w:rsidR="00823E22" w:rsidRPr="00476512" w:rsidRDefault="00823E22" w:rsidP="00823E22">
            <w:pPr>
              <w:pStyle w:val="Table-AnnualReport"/>
              <w:jc w:val="right"/>
            </w:pPr>
            <w:r w:rsidRPr="00476512">
              <w:t>3 100</w:t>
            </w:r>
          </w:p>
        </w:tc>
      </w:tr>
      <w:tr w:rsidR="00823E22" w:rsidRPr="00476512" w:rsidTr="00FD42E5">
        <w:tc>
          <w:tcPr>
            <w:tcW w:w="8011" w:type="dxa"/>
            <w:gridSpan w:val="2"/>
          </w:tcPr>
          <w:p w:rsidR="00823E22" w:rsidRPr="00476512" w:rsidRDefault="00823E22" w:rsidP="00823E22">
            <w:pPr>
              <w:pStyle w:val="Table-AnnualReport"/>
              <w:rPr>
                <w:vertAlign w:val="superscript"/>
              </w:rPr>
            </w:pPr>
            <w:r w:rsidRPr="00476512">
              <w:t>National Health and Hospitals Network - Capital - Sub Acute - John L Grove Refurbishment</w:t>
            </w:r>
            <w:r>
              <w:rPr>
                <w:vertAlign w:val="superscript"/>
              </w:rPr>
              <w:t>1,2</w:t>
            </w:r>
          </w:p>
        </w:tc>
        <w:tc>
          <w:tcPr>
            <w:tcW w:w="1062" w:type="dxa"/>
            <w:gridSpan w:val="2"/>
          </w:tcPr>
          <w:p w:rsidR="00823E22" w:rsidRPr="00476512" w:rsidRDefault="00823E22" w:rsidP="00823E22">
            <w:pPr>
              <w:pStyle w:val="Table-AnnualReport"/>
              <w:jc w:val="right"/>
            </w:pPr>
            <w:r w:rsidRPr="00476512">
              <w:t>4 924</w:t>
            </w:r>
          </w:p>
        </w:tc>
      </w:tr>
      <w:tr w:rsidR="00823E22" w:rsidRPr="001B05C8" w:rsidTr="00FD42E5">
        <w:tc>
          <w:tcPr>
            <w:tcW w:w="8011" w:type="dxa"/>
            <w:gridSpan w:val="2"/>
          </w:tcPr>
          <w:p w:rsidR="00823E22" w:rsidRPr="00476512" w:rsidRDefault="00823E22" w:rsidP="00823E22">
            <w:pPr>
              <w:pStyle w:val="Table-AnnualReport"/>
            </w:pPr>
            <w:r w:rsidRPr="00476512">
              <w:t>National Health and Hospitals Network - Capital - Elective Surgery - Launceston General Hospital</w:t>
            </w:r>
            <w:r>
              <w:rPr>
                <w:vertAlign w:val="superscript"/>
              </w:rPr>
              <w:t>1</w:t>
            </w:r>
          </w:p>
        </w:tc>
        <w:tc>
          <w:tcPr>
            <w:tcW w:w="1062" w:type="dxa"/>
            <w:gridSpan w:val="2"/>
          </w:tcPr>
          <w:p w:rsidR="00823E22" w:rsidRPr="001B05C8" w:rsidRDefault="00823E22" w:rsidP="00823E22">
            <w:pPr>
              <w:pStyle w:val="Table-AnnualReport"/>
              <w:jc w:val="right"/>
            </w:pPr>
            <w:r w:rsidRPr="00476512">
              <w:t>5 423</w:t>
            </w:r>
          </w:p>
        </w:tc>
      </w:tr>
      <w:tr w:rsidR="00823E22" w:rsidRPr="001B05C8" w:rsidTr="00FD42E5">
        <w:tc>
          <w:tcPr>
            <w:tcW w:w="8011" w:type="dxa"/>
            <w:gridSpan w:val="2"/>
          </w:tcPr>
          <w:p w:rsidR="00823E22" w:rsidRPr="001B05C8" w:rsidRDefault="00823E22" w:rsidP="00823E22">
            <w:pPr>
              <w:pStyle w:val="Table-AnnualReport"/>
            </w:pPr>
            <w:r w:rsidRPr="001B05C8">
              <w:t>Oral Health Services Tasmania– Archer Street refurbishment</w:t>
            </w:r>
            <w:r>
              <w:rPr>
                <w:vertAlign w:val="superscript"/>
              </w:rPr>
              <w:t>3</w:t>
            </w:r>
          </w:p>
        </w:tc>
        <w:tc>
          <w:tcPr>
            <w:tcW w:w="1062" w:type="dxa"/>
            <w:gridSpan w:val="2"/>
          </w:tcPr>
          <w:p w:rsidR="00823E22" w:rsidRPr="001B05C8" w:rsidRDefault="00823E22" w:rsidP="00823E22">
            <w:pPr>
              <w:pStyle w:val="Table-AnnualReport"/>
              <w:jc w:val="right"/>
            </w:pPr>
            <w:r w:rsidRPr="001B05C8">
              <w:t>486</w:t>
            </w:r>
          </w:p>
        </w:tc>
      </w:tr>
      <w:tr w:rsidR="00823E22" w:rsidRPr="001B05C8" w:rsidTr="00FD42E5">
        <w:tc>
          <w:tcPr>
            <w:tcW w:w="8011" w:type="dxa"/>
            <w:gridSpan w:val="2"/>
          </w:tcPr>
          <w:p w:rsidR="00823E22" w:rsidRPr="001B05C8" w:rsidRDefault="00823E22" w:rsidP="00823E22">
            <w:pPr>
              <w:pStyle w:val="Table-AnnualReport"/>
            </w:pPr>
            <w:r w:rsidRPr="001B05C8">
              <w:t>Oral Health Services Tasmania – Devonport Community Health Centre Refurbishment</w:t>
            </w:r>
            <w:r w:rsidRPr="00601444">
              <w:rPr>
                <w:vertAlign w:val="superscript"/>
              </w:rPr>
              <w:t>3</w:t>
            </w:r>
          </w:p>
        </w:tc>
        <w:tc>
          <w:tcPr>
            <w:tcW w:w="1062" w:type="dxa"/>
            <w:gridSpan w:val="2"/>
          </w:tcPr>
          <w:p w:rsidR="00823E22" w:rsidRPr="001B05C8" w:rsidRDefault="00823E22" w:rsidP="00823E22">
            <w:pPr>
              <w:pStyle w:val="Table-AnnualReport"/>
              <w:jc w:val="right"/>
            </w:pPr>
            <w:r w:rsidRPr="001B05C8">
              <w:t>1 069</w:t>
            </w:r>
          </w:p>
        </w:tc>
      </w:tr>
      <w:tr w:rsidR="00823E22" w:rsidRPr="001B05C8" w:rsidTr="00FD42E5">
        <w:tc>
          <w:tcPr>
            <w:tcW w:w="8011" w:type="dxa"/>
            <w:gridSpan w:val="2"/>
          </w:tcPr>
          <w:p w:rsidR="00823E22" w:rsidRPr="001B05C8" w:rsidRDefault="00823E22" w:rsidP="00823E22">
            <w:pPr>
              <w:pStyle w:val="Table-AnnualReport"/>
            </w:pPr>
            <w:r w:rsidRPr="001B05C8">
              <w:t>Oral Health Services Tasmania - Latrobe Dental Clinic Refurbishment</w:t>
            </w:r>
          </w:p>
        </w:tc>
        <w:tc>
          <w:tcPr>
            <w:tcW w:w="1062" w:type="dxa"/>
            <w:gridSpan w:val="2"/>
          </w:tcPr>
          <w:p w:rsidR="00823E22" w:rsidRPr="001B05C8" w:rsidRDefault="00823E22" w:rsidP="00823E22">
            <w:pPr>
              <w:pStyle w:val="Table-AnnualReport"/>
              <w:jc w:val="right"/>
            </w:pPr>
            <w:r w:rsidRPr="001B05C8">
              <w:t>415</w:t>
            </w:r>
          </w:p>
        </w:tc>
      </w:tr>
      <w:tr w:rsidR="00823E22"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823E22" w:rsidRDefault="00823E22" w:rsidP="00DF14B6">
            <w:pPr>
              <w:pStyle w:val="Table-AnnualReport"/>
            </w:pPr>
            <w:r w:rsidRPr="00560814">
              <w:rPr>
                <w:b/>
              </w:rPr>
              <w:t>Housing Capital Program</w:t>
            </w:r>
          </w:p>
        </w:tc>
        <w:tc>
          <w:tcPr>
            <w:tcW w:w="993" w:type="dxa"/>
            <w:tcMar>
              <w:top w:w="0" w:type="dxa"/>
              <w:left w:w="108" w:type="dxa"/>
              <w:bottom w:w="0" w:type="dxa"/>
              <w:right w:w="108" w:type="dxa"/>
            </w:tcMar>
            <w:vAlign w:val="bottom"/>
          </w:tcPr>
          <w:p w:rsidR="00823E22" w:rsidRDefault="00823E22" w:rsidP="00DF14B6">
            <w:pPr>
              <w:pStyle w:val="Table-AnnualReport"/>
            </w:pPr>
          </w:p>
        </w:tc>
      </w:tr>
      <w:tr w:rsidR="00CE0696"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CE0696" w:rsidRPr="00CE0696" w:rsidRDefault="00CE0696" w:rsidP="00937E18">
            <w:pPr>
              <w:pStyle w:val="Table-AnnualReport"/>
            </w:pPr>
            <w:r w:rsidRPr="00CE0696">
              <w:t>Cape Barren – Construction Remote Indigenous</w:t>
            </w:r>
            <w:r w:rsidRPr="00601444">
              <w:rPr>
                <w:vertAlign w:val="superscript"/>
              </w:rPr>
              <w:t>4</w:t>
            </w:r>
          </w:p>
        </w:tc>
        <w:tc>
          <w:tcPr>
            <w:tcW w:w="993" w:type="dxa"/>
            <w:tcMar>
              <w:top w:w="0" w:type="dxa"/>
              <w:left w:w="108" w:type="dxa"/>
              <w:bottom w:w="0" w:type="dxa"/>
              <w:right w:w="108" w:type="dxa"/>
            </w:tcMar>
            <w:vAlign w:val="bottom"/>
          </w:tcPr>
          <w:p w:rsidR="00CE0696" w:rsidRPr="00DF14B6" w:rsidRDefault="00CE0696" w:rsidP="00FD42E5">
            <w:pPr>
              <w:pStyle w:val="Table-AnnualReport"/>
              <w:jc w:val="right"/>
            </w:pPr>
            <w:r w:rsidRPr="00DF14B6">
              <w:t>1 022</w:t>
            </w:r>
          </w:p>
        </w:tc>
      </w:tr>
      <w:tr w:rsidR="00CE0696"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CE0696" w:rsidRPr="00CE0696" w:rsidRDefault="00CE0696" w:rsidP="00937E18">
            <w:pPr>
              <w:pStyle w:val="Table-AnnualReport"/>
            </w:pPr>
            <w:r w:rsidRPr="00CE0696">
              <w:t>Annie Kenney Women’s Shelter</w:t>
            </w:r>
            <w:r>
              <w:rPr>
                <w:vertAlign w:val="superscript"/>
              </w:rPr>
              <w:t>2,5</w:t>
            </w:r>
          </w:p>
        </w:tc>
        <w:tc>
          <w:tcPr>
            <w:tcW w:w="993" w:type="dxa"/>
            <w:tcMar>
              <w:top w:w="0" w:type="dxa"/>
              <w:left w:w="108" w:type="dxa"/>
              <w:bottom w:w="0" w:type="dxa"/>
              <w:right w:w="108" w:type="dxa"/>
            </w:tcMar>
            <w:vAlign w:val="bottom"/>
          </w:tcPr>
          <w:p w:rsidR="00CE0696" w:rsidRPr="00DF14B6" w:rsidRDefault="00CE0696" w:rsidP="00FD42E5">
            <w:pPr>
              <w:pStyle w:val="Table-AnnualReport"/>
              <w:jc w:val="right"/>
            </w:pPr>
            <w:r w:rsidRPr="00DF14B6">
              <w:t>1 317</w:t>
            </w:r>
          </w:p>
        </w:tc>
      </w:tr>
      <w:tr w:rsidR="00CE0696"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CE0696" w:rsidRPr="00CE0696" w:rsidRDefault="00CE0696" w:rsidP="00CE0696">
            <w:pPr>
              <w:pStyle w:val="Table-AnnualReport"/>
            </w:pPr>
            <w:r w:rsidRPr="00CE0696">
              <w:t>Watchorn Street, Launceston Units</w:t>
            </w:r>
            <w:r>
              <w:rPr>
                <w:vertAlign w:val="superscript"/>
              </w:rPr>
              <w:t>2,6</w:t>
            </w:r>
          </w:p>
        </w:tc>
        <w:tc>
          <w:tcPr>
            <w:tcW w:w="993" w:type="dxa"/>
            <w:tcMar>
              <w:top w:w="0" w:type="dxa"/>
              <w:left w:w="108" w:type="dxa"/>
              <w:bottom w:w="0" w:type="dxa"/>
              <w:right w:w="108" w:type="dxa"/>
            </w:tcMar>
            <w:vAlign w:val="bottom"/>
          </w:tcPr>
          <w:p w:rsidR="00CE0696" w:rsidRPr="00DF14B6" w:rsidRDefault="00CE0696" w:rsidP="00FD42E5">
            <w:pPr>
              <w:pStyle w:val="Table-AnnualReport"/>
              <w:jc w:val="right"/>
            </w:pPr>
            <w:r w:rsidRPr="00DF14B6">
              <w:t>1 872</w:t>
            </w:r>
          </w:p>
        </w:tc>
      </w:tr>
      <w:tr w:rsidR="00CE0696"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CE0696" w:rsidRPr="00CE0696" w:rsidRDefault="00CE0696" w:rsidP="00937E18">
            <w:pPr>
              <w:pStyle w:val="Table-AnnualReport"/>
            </w:pPr>
            <w:r w:rsidRPr="00CE0696">
              <w:t>Adaptable Units</w:t>
            </w:r>
          </w:p>
        </w:tc>
        <w:tc>
          <w:tcPr>
            <w:tcW w:w="993" w:type="dxa"/>
            <w:tcMar>
              <w:top w:w="0" w:type="dxa"/>
              <w:left w:w="108" w:type="dxa"/>
              <w:bottom w:w="0" w:type="dxa"/>
              <w:right w:w="108" w:type="dxa"/>
            </w:tcMar>
            <w:vAlign w:val="bottom"/>
          </w:tcPr>
          <w:p w:rsidR="00CE0696" w:rsidRPr="00DF14B6" w:rsidRDefault="00CE0696" w:rsidP="00FD42E5">
            <w:pPr>
              <w:pStyle w:val="Table-AnnualReport"/>
              <w:jc w:val="right"/>
            </w:pPr>
            <w:r w:rsidRPr="00DF14B6">
              <w:t>3 443</w:t>
            </w:r>
          </w:p>
        </w:tc>
      </w:tr>
      <w:tr w:rsidR="00CE0696" w:rsidRPr="00DF14B6" w:rsidTr="00FD42E5">
        <w:tblPrEx>
          <w:tblCellMar>
            <w:left w:w="0" w:type="dxa"/>
            <w:right w:w="0" w:type="dxa"/>
          </w:tblCellMar>
        </w:tblPrEx>
        <w:trPr>
          <w:trHeight w:val="387"/>
        </w:trPr>
        <w:tc>
          <w:tcPr>
            <w:tcW w:w="8080" w:type="dxa"/>
            <w:gridSpan w:val="3"/>
            <w:tcMar>
              <w:top w:w="0" w:type="dxa"/>
              <w:left w:w="108" w:type="dxa"/>
              <w:bottom w:w="0" w:type="dxa"/>
              <w:right w:w="108" w:type="dxa"/>
            </w:tcMar>
            <w:vAlign w:val="bottom"/>
          </w:tcPr>
          <w:p w:rsidR="00CE0696" w:rsidRPr="00CE0696" w:rsidRDefault="00CE0696" w:rsidP="00937E18">
            <w:pPr>
              <w:pStyle w:val="Table-AnnualReport"/>
            </w:pPr>
            <w:r w:rsidRPr="00CE0696">
              <w:t>Housing Connect Information System</w:t>
            </w:r>
            <w:r>
              <w:rPr>
                <w:vertAlign w:val="superscript"/>
              </w:rPr>
              <w:t>2,7</w:t>
            </w:r>
          </w:p>
        </w:tc>
        <w:tc>
          <w:tcPr>
            <w:tcW w:w="993" w:type="dxa"/>
            <w:tcMar>
              <w:top w:w="0" w:type="dxa"/>
              <w:left w:w="108" w:type="dxa"/>
              <w:bottom w:w="0" w:type="dxa"/>
              <w:right w:w="108" w:type="dxa"/>
            </w:tcMar>
            <w:vAlign w:val="bottom"/>
          </w:tcPr>
          <w:p w:rsidR="00CE0696" w:rsidRPr="00DF14B6" w:rsidRDefault="00CE0696" w:rsidP="00FD42E5">
            <w:pPr>
              <w:pStyle w:val="Table-AnnualReport"/>
              <w:jc w:val="right"/>
            </w:pPr>
            <w:r w:rsidRPr="00DF14B6">
              <w:t>704</w:t>
            </w:r>
          </w:p>
        </w:tc>
      </w:tr>
    </w:tbl>
    <w:p w:rsidR="00823E22" w:rsidRPr="00560814" w:rsidRDefault="00823E22" w:rsidP="00823E22">
      <w:pPr>
        <w:pStyle w:val="Heading2"/>
        <w:spacing w:before="0"/>
        <w:ind w:left="142"/>
        <w:rPr>
          <w:rFonts w:eastAsia="Times New Roman" w:cs="Times New Roman"/>
          <w:b w:val="0"/>
          <w:sz w:val="18"/>
          <w:szCs w:val="18"/>
        </w:rPr>
      </w:pPr>
      <w:r w:rsidRPr="00560814">
        <w:rPr>
          <w:rFonts w:eastAsia="Times New Roman"/>
          <w:b w:val="0"/>
          <w:sz w:val="18"/>
          <w:szCs w:val="18"/>
        </w:rPr>
        <w:t>Notes</w:t>
      </w:r>
      <w:r>
        <w:rPr>
          <w:rFonts w:eastAsia="Times New Roman"/>
          <w:b w:val="0"/>
          <w:sz w:val="18"/>
          <w:szCs w:val="18"/>
        </w:rPr>
        <w:t>:</w:t>
      </w:r>
    </w:p>
    <w:p w:rsidR="00823E22" w:rsidRDefault="00823E22" w:rsidP="00823E22">
      <w:pPr>
        <w:pStyle w:val="ListParagraph"/>
        <w:numPr>
          <w:ilvl w:val="0"/>
          <w:numId w:val="51"/>
        </w:numPr>
        <w:ind w:left="709" w:hanging="567"/>
        <w:rPr>
          <w:sz w:val="18"/>
          <w:szCs w:val="18"/>
        </w:rPr>
      </w:pPr>
      <w:r>
        <w:rPr>
          <w:sz w:val="18"/>
          <w:szCs w:val="18"/>
        </w:rPr>
        <w:t xml:space="preserve">The National Health Reform initiatives: Elective Surgery, Emergency Department and Sub-Acute were primarily funded under the National Partnership Agreement on </w:t>
      </w:r>
      <w:r w:rsidRPr="00B170C6">
        <w:rPr>
          <w:i/>
          <w:sz w:val="18"/>
          <w:szCs w:val="18"/>
        </w:rPr>
        <w:t>Improving Public Hospital Services</w:t>
      </w:r>
      <w:r>
        <w:rPr>
          <w:sz w:val="18"/>
          <w:szCs w:val="18"/>
        </w:rPr>
        <w:t>. THO North provided additional supplementation to the Elective Surgery: Launceston General Hospital project of $2.839 million from within its existing funding allocation.</w:t>
      </w:r>
    </w:p>
    <w:p w:rsidR="00823E22" w:rsidRPr="00601444" w:rsidRDefault="00823E22" w:rsidP="00823E22">
      <w:pPr>
        <w:pStyle w:val="ListParagraph"/>
        <w:numPr>
          <w:ilvl w:val="0"/>
          <w:numId w:val="51"/>
        </w:numPr>
        <w:ind w:left="709" w:hanging="567"/>
        <w:rPr>
          <w:sz w:val="18"/>
          <w:szCs w:val="18"/>
        </w:rPr>
      </w:pPr>
      <w:r>
        <w:rPr>
          <w:sz w:val="18"/>
          <w:szCs w:val="18"/>
        </w:rPr>
        <w:t xml:space="preserve">Final invoices may still be outstanding for this </w:t>
      </w:r>
      <w:proofErr w:type="gramStart"/>
      <w:r>
        <w:rPr>
          <w:sz w:val="18"/>
          <w:szCs w:val="18"/>
        </w:rPr>
        <w:t>project,</w:t>
      </w:r>
      <w:proofErr w:type="gramEnd"/>
      <w:r>
        <w:rPr>
          <w:sz w:val="18"/>
          <w:szCs w:val="18"/>
        </w:rPr>
        <w:t xml:space="preserve"> however, works are substantively complete.</w:t>
      </w:r>
    </w:p>
    <w:p w:rsidR="00823E22" w:rsidRDefault="00823E22" w:rsidP="00823E22">
      <w:pPr>
        <w:pStyle w:val="ListParagraph"/>
        <w:numPr>
          <w:ilvl w:val="0"/>
          <w:numId w:val="51"/>
        </w:numPr>
        <w:ind w:left="709" w:hanging="567"/>
        <w:rPr>
          <w:sz w:val="18"/>
          <w:szCs w:val="18"/>
        </w:rPr>
      </w:pPr>
      <w:r>
        <w:rPr>
          <w:sz w:val="18"/>
          <w:szCs w:val="18"/>
        </w:rPr>
        <w:t xml:space="preserve">This project was delivered by AMS for Oral Health Services in THO </w:t>
      </w:r>
      <w:proofErr w:type="gramStart"/>
      <w:r>
        <w:rPr>
          <w:sz w:val="18"/>
          <w:szCs w:val="18"/>
        </w:rPr>
        <w:t>South</w:t>
      </w:r>
      <w:proofErr w:type="gramEnd"/>
      <w:r>
        <w:rPr>
          <w:sz w:val="18"/>
          <w:szCs w:val="18"/>
        </w:rPr>
        <w:t xml:space="preserve"> and was funded by the Australian Government</w:t>
      </w:r>
      <w:r w:rsidRPr="00C46F81">
        <w:rPr>
          <w:sz w:val="18"/>
          <w:szCs w:val="18"/>
        </w:rPr>
        <w:t xml:space="preserve"> </w:t>
      </w:r>
      <w:r>
        <w:rPr>
          <w:sz w:val="18"/>
          <w:szCs w:val="18"/>
        </w:rPr>
        <w:t>through the Voluntary Dental Graduate Year Program Agreement.</w:t>
      </w:r>
    </w:p>
    <w:p w:rsidR="00823E22" w:rsidRPr="00601444" w:rsidRDefault="00823E22" w:rsidP="00823E22">
      <w:pPr>
        <w:pStyle w:val="ListParagraph"/>
        <w:numPr>
          <w:ilvl w:val="0"/>
          <w:numId w:val="51"/>
        </w:numPr>
        <w:ind w:left="709" w:hanging="567"/>
        <w:rPr>
          <w:sz w:val="18"/>
          <w:szCs w:val="18"/>
        </w:rPr>
      </w:pPr>
      <w:r>
        <w:rPr>
          <w:sz w:val="18"/>
          <w:szCs w:val="18"/>
        </w:rPr>
        <w:t xml:space="preserve">This project was funded by the Australian Government. </w:t>
      </w:r>
    </w:p>
    <w:p w:rsidR="00823E22" w:rsidRPr="00560814" w:rsidRDefault="00823E22" w:rsidP="00823E22">
      <w:pPr>
        <w:pStyle w:val="ListParagraph"/>
        <w:numPr>
          <w:ilvl w:val="0"/>
          <w:numId w:val="51"/>
        </w:numPr>
        <w:ind w:left="709" w:hanging="567"/>
        <w:rPr>
          <w:sz w:val="18"/>
          <w:szCs w:val="18"/>
        </w:rPr>
      </w:pPr>
      <w:r>
        <w:rPr>
          <w:sz w:val="18"/>
          <w:szCs w:val="18"/>
        </w:rPr>
        <w:t>This project was c</w:t>
      </w:r>
      <w:r w:rsidRPr="00560814">
        <w:rPr>
          <w:sz w:val="18"/>
          <w:szCs w:val="18"/>
        </w:rPr>
        <w:t>ompleted as planned for slightly</w:t>
      </w:r>
      <w:r>
        <w:rPr>
          <w:sz w:val="18"/>
          <w:szCs w:val="18"/>
        </w:rPr>
        <w:t xml:space="preserve"> less </w:t>
      </w:r>
      <w:r w:rsidRPr="00560814">
        <w:rPr>
          <w:sz w:val="18"/>
          <w:szCs w:val="18"/>
        </w:rPr>
        <w:t>than the original project estimate due to efficiencies</w:t>
      </w:r>
      <w:r>
        <w:rPr>
          <w:sz w:val="18"/>
          <w:szCs w:val="18"/>
        </w:rPr>
        <w:t xml:space="preserve"> achieved in the delivery of this project.</w:t>
      </w:r>
    </w:p>
    <w:p w:rsidR="00823E22" w:rsidRPr="00560814" w:rsidRDefault="00823E22" w:rsidP="00823E22">
      <w:pPr>
        <w:pStyle w:val="ListParagraph"/>
        <w:numPr>
          <w:ilvl w:val="0"/>
          <w:numId w:val="51"/>
        </w:numPr>
        <w:ind w:left="709" w:hanging="567"/>
        <w:rPr>
          <w:sz w:val="18"/>
          <w:szCs w:val="18"/>
        </w:rPr>
      </w:pPr>
      <w:r>
        <w:rPr>
          <w:sz w:val="18"/>
          <w:szCs w:val="18"/>
        </w:rPr>
        <w:lastRenderedPageBreak/>
        <w:t>This project was c</w:t>
      </w:r>
      <w:r w:rsidRPr="00560814">
        <w:rPr>
          <w:sz w:val="18"/>
          <w:szCs w:val="18"/>
        </w:rPr>
        <w:t>ompleted for slightly more than original project estimates due to approved variations for latent site conditions and agreed amenity increases.</w:t>
      </w:r>
    </w:p>
    <w:p w:rsidR="00823E22" w:rsidRDefault="00823E22" w:rsidP="00823E22">
      <w:pPr>
        <w:pStyle w:val="ListParagraph"/>
        <w:numPr>
          <w:ilvl w:val="0"/>
          <w:numId w:val="51"/>
        </w:numPr>
        <w:ind w:left="709" w:hanging="567"/>
        <w:rPr>
          <w:sz w:val="18"/>
          <w:szCs w:val="18"/>
        </w:rPr>
      </w:pPr>
      <w:r>
        <w:rPr>
          <w:sz w:val="18"/>
          <w:szCs w:val="18"/>
        </w:rPr>
        <w:t>I</w:t>
      </w:r>
      <w:r w:rsidRPr="00560814">
        <w:rPr>
          <w:sz w:val="18"/>
          <w:szCs w:val="18"/>
        </w:rPr>
        <w:t xml:space="preserve">nitial stages of the Housing Connect Information System (formerly ASK) </w:t>
      </w:r>
      <w:r>
        <w:rPr>
          <w:sz w:val="18"/>
          <w:szCs w:val="18"/>
        </w:rPr>
        <w:t xml:space="preserve">were </w:t>
      </w:r>
      <w:r w:rsidRPr="00560814">
        <w:rPr>
          <w:sz w:val="18"/>
          <w:szCs w:val="18"/>
        </w:rPr>
        <w:t>completed</w:t>
      </w:r>
      <w:r>
        <w:rPr>
          <w:sz w:val="18"/>
          <w:szCs w:val="18"/>
        </w:rPr>
        <w:t xml:space="preserve"> during</w:t>
      </w:r>
      <w:r w:rsidRPr="00560814">
        <w:rPr>
          <w:sz w:val="18"/>
          <w:szCs w:val="18"/>
        </w:rPr>
        <w:t xml:space="preserve"> 2014-15</w:t>
      </w:r>
      <w:r>
        <w:rPr>
          <w:sz w:val="18"/>
          <w:szCs w:val="18"/>
        </w:rPr>
        <w:t xml:space="preserve">. </w:t>
      </w:r>
      <w:r w:rsidRPr="00560814">
        <w:rPr>
          <w:sz w:val="18"/>
          <w:szCs w:val="18"/>
        </w:rPr>
        <w:t>Future modification may be required to meet changing client service requirements.</w:t>
      </w:r>
      <w:r>
        <w:rPr>
          <w:sz w:val="18"/>
          <w:szCs w:val="18"/>
        </w:rPr>
        <w:t xml:space="preserve"> The Australian Government funded $300 000 of this project. </w:t>
      </w:r>
    </w:p>
    <w:p w:rsidR="00B71D03" w:rsidRPr="00B71D03" w:rsidRDefault="00B71D03" w:rsidP="00B71D03">
      <w:pPr>
        <w:rPr>
          <w:sz w:val="18"/>
          <w:szCs w:val="18"/>
        </w:rPr>
      </w:pPr>
    </w:p>
    <w:p w:rsidR="00C601E8" w:rsidRPr="002A32ED" w:rsidRDefault="00C601E8" w:rsidP="00C601E8">
      <w:pPr>
        <w:pStyle w:val="Heading2"/>
      </w:pPr>
      <w:r w:rsidRPr="002A32ED">
        <w:t>Ongoing Major Capital Works Program 2014-15</w:t>
      </w:r>
    </w:p>
    <w:p w:rsidR="00C601E8" w:rsidRPr="001B05C8" w:rsidRDefault="00C601E8" w:rsidP="00C601E8">
      <w:r w:rsidRPr="001B05C8">
        <w:t>Ongoing Major Capital Works 2014-15</w:t>
      </w:r>
      <w:r w:rsidRPr="00AD5E7A">
        <w:rPr>
          <w:vertAlign w:val="superscript"/>
        </w:rPr>
        <w:t xml:space="preserve"> 1</w:t>
      </w:r>
    </w:p>
    <w:tbl>
      <w:tblPr>
        <w:tblW w:w="9214" w:type="dxa"/>
        <w:tblInd w:w="108" w:type="dxa"/>
        <w:tblBorders>
          <w:top w:val="single" w:sz="2" w:space="0" w:color="BFBFBF"/>
          <w:bottom w:val="single" w:sz="2" w:space="0" w:color="BFBFBF"/>
          <w:insideH w:val="single" w:sz="2" w:space="0" w:color="BFBFBF"/>
        </w:tblBorders>
        <w:tblLook w:val="04A0" w:firstRow="1" w:lastRow="0" w:firstColumn="1" w:lastColumn="0" w:noHBand="0" w:noVBand="1"/>
      </w:tblPr>
      <w:tblGrid>
        <w:gridCol w:w="4253"/>
        <w:gridCol w:w="1276"/>
        <w:gridCol w:w="1170"/>
        <w:gridCol w:w="1239"/>
        <w:gridCol w:w="1276"/>
      </w:tblGrid>
      <w:tr w:rsidR="00C601E8" w:rsidRPr="00FB29A2" w:rsidTr="00C601E8">
        <w:tc>
          <w:tcPr>
            <w:tcW w:w="4253" w:type="dxa"/>
            <w:tcBorders>
              <w:top w:val="nil"/>
              <w:bottom w:val="single" w:sz="4" w:space="0" w:color="808080"/>
            </w:tcBorders>
            <w:shd w:val="clear" w:color="auto" w:fill="auto"/>
            <w:vAlign w:val="bottom"/>
          </w:tcPr>
          <w:p w:rsidR="00C601E8" w:rsidRPr="00FB29A2" w:rsidRDefault="00C601E8" w:rsidP="00C601E8">
            <w:pPr>
              <w:spacing w:after="120" w:line="260" w:lineRule="atLeast"/>
              <w:rPr>
                <w:b/>
                <w:sz w:val="18"/>
                <w:szCs w:val="18"/>
              </w:rPr>
            </w:pPr>
            <w:r w:rsidRPr="00FB29A2">
              <w:rPr>
                <w:b/>
                <w:sz w:val="18"/>
                <w:szCs w:val="18"/>
              </w:rPr>
              <w:t>Ongoing Major Capital Works in 2014-15</w:t>
            </w:r>
          </w:p>
        </w:tc>
        <w:tc>
          <w:tcPr>
            <w:tcW w:w="1276" w:type="dxa"/>
            <w:tcBorders>
              <w:top w:val="nil"/>
              <w:bottom w:val="single" w:sz="4" w:space="0" w:color="808080"/>
            </w:tcBorders>
            <w:shd w:val="clear" w:color="auto" w:fill="auto"/>
          </w:tcPr>
          <w:p w:rsidR="00C601E8" w:rsidRPr="00FB29A2" w:rsidRDefault="00C601E8" w:rsidP="00C601E8">
            <w:pPr>
              <w:spacing w:after="120" w:line="260" w:lineRule="atLeast"/>
              <w:jc w:val="right"/>
              <w:rPr>
                <w:b/>
                <w:sz w:val="18"/>
                <w:szCs w:val="18"/>
              </w:rPr>
            </w:pPr>
            <w:r w:rsidRPr="00FB29A2">
              <w:rPr>
                <w:b/>
                <w:sz w:val="18"/>
                <w:szCs w:val="18"/>
              </w:rPr>
              <w:t>2014-15 Expenditure</w:t>
            </w:r>
          </w:p>
          <w:p w:rsidR="00C601E8" w:rsidRPr="00FB29A2" w:rsidRDefault="00C601E8" w:rsidP="00C601E8">
            <w:pPr>
              <w:spacing w:after="120" w:line="260" w:lineRule="atLeast"/>
              <w:jc w:val="right"/>
              <w:rPr>
                <w:b/>
                <w:sz w:val="18"/>
                <w:szCs w:val="18"/>
              </w:rPr>
            </w:pPr>
            <w:r w:rsidRPr="00FB29A2">
              <w:rPr>
                <w:b/>
                <w:sz w:val="18"/>
                <w:szCs w:val="18"/>
              </w:rPr>
              <w:t>$’000</w:t>
            </w:r>
          </w:p>
        </w:tc>
        <w:tc>
          <w:tcPr>
            <w:tcW w:w="1170" w:type="dxa"/>
            <w:tcBorders>
              <w:top w:val="nil"/>
              <w:bottom w:val="single" w:sz="4" w:space="0" w:color="808080"/>
            </w:tcBorders>
            <w:shd w:val="clear" w:color="auto" w:fill="auto"/>
          </w:tcPr>
          <w:p w:rsidR="00C601E8" w:rsidRPr="00FB29A2" w:rsidRDefault="00C601E8" w:rsidP="00C601E8">
            <w:pPr>
              <w:spacing w:after="120" w:line="260" w:lineRule="atLeast"/>
              <w:jc w:val="right"/>
              <w:rPr>
                <w:b/>
                <w:sz w:val="18"/>
                <w:szCs w:val="18"/>
              </w:rPr>
            </w:pPr>
            <w:r w:rsidRPr="00FB29A2">
              <w:rPr>
                <w:b/>
                <w:sz w:val="18"/>
                <w:szCs w:val="18"/>
              </w:rPr>
              <w:t xml:space="preserve">Estimated total cost </w:t>
            </w:r>
            <w:r w:rsidRPr="00FB29A2">
              <w:rPr>
                <w:b/>
                <w:sz w:val="18"/>
                <w:szCs w:val="18"/>
              </w:rPr>
              <w:br/>
              <w:t>$’000</w:t>
            </w:r>
          </w:p>
        </w:tc>
        <w:tc>
          <w:tcPr>
            <w:tcW w:w="1239" w:type="dxa"/>
            <w:tcBorders>
              <w:top w:val="nil"/>
              <w:bottom w:val="single" w:sz="4" w:space="0" w:color="808080"/>
            </w:tcBorders>
            <w:shd w:val="clear" w:color="auto" w:fill="auto"/>
          </w:tcPr>
          <w:p w:rsidR="00C601E8" w:rsidRPr="00FB29A2" w:rsidRDefault="00C601E8" w:rsidP="00C601E8">
            <w:pPr>
              <w:spacing w:after="120" w:line="260" w:lineRule="atLeast"/>
              <w:jc w:val="right"/>
              <w:rPr>
                <w:b/>
                <w:sz w:val="18"/>
                <w:szCs w:val="18"/>
              </w:rPr>
            </w:pPr>
            <w:r w:rsidRPr="00FB29A2">
              <w:rPr>
                <w:b/>
                <w:sz w:val="18"/>
                <w:szCs w:val="18"/>
              </w:rPr>
              <w:t>Estimated cost to complete</w:t>
            </w:r>
            <w:r w:rsidRPr="00FB29A2">
              <w:rPr>
                <w:b/>
                <w:sz w:val="18"/>
                <w:szCs w:val="18"/>
              </w:rPr>
              <w:br/>
              <w:t>$’000</w:t>
            </w:r>
          </w:p>
        </w:tc>
        <w:tc>
          <w:tcPr>
            <w:tcW w:w="1276" w:type="dxa"/>
            <w:tcBorders>
              <w:top w:val="nil"/>
              <w:bottom w:val="single" w:sz="4" w:space="0" w:color="808080"/>
            </w:tcBorders>
            <w:shd w:val="clear" w:color="auto" w:fill="auto"/>
          </w:tcPr>
          <w:p w:rsidR="00C601E8" w:rsidRPr="00FB29A2" w:rsidRDefault="00C601E8" w:rsidP="00C601E8">
            <w:pPr>
              <w:spacing w:after="120" w:line="260" w:lineRule="atLeast"/>
              <w:jc w:val="right"/>
              <w:rPr>
                <w:b/>
                <w:sz w:val="18"/>
                <w:szCs w:val="18"/>
              </w:rPr>
            </w:pPr>
            <w:r w:rsidRPr="00FB29A2">
              <w:rPr>
                <w:b/>
                <w:sz w:val="18"/>
                <w:szCs w:val="18"/>
              </w:rPr>
              <w:t>Estimated completion year</w:t>
            </w:r>
          </w:p>
        </w:tc>
      </w:tr>
      <w:tr w:rsidR="00091543" w:rsidRPr="009E1942" w:rsidTr="00937E18">
        <w:trPr>
          <w:trHeight w:val="294"/>
        </w:trPr>
        <w:tc>
          <w:tcPr>
            <w:tcW w:w="4253" w:type="dxa"/>
            <w:shd w:val="clear" w:color="auto" w:fill="auto"/>
          </w:tcPr>
          <w:p w:rsidR="00091543" w:rsidRPr="009E1942" w:rsidRDefault="00091543" w:rsidP="00937E18">
            <w:pPr>
              <w:pStyle w:val="Table-AnnualReport"/>
            </w:pPr>
            <w:r w:rsidRPr="009E1942">
              <w:t>Essential Maintenance</w:t>
            </w:r>
          </w:p>
        </w:tc>
        <w:tc>
          <w:tcPr>
            <w:tcW w:w="1276" w:type="dxa"/>
            <w:shd w:val="clear" w:color="auto" w:fill="auto"/>
          </w:tcPr>
          <w:p w:rsidR="00091543" w:rsidRPr="009E1942" w:rsidRDefault="00091543" w:rsidP="00937E18">
            <w:pPr>
              <w:pStyle w:val="Table-AnnualReport"/>
              <w:jc w:val="right"/>
            </w:pPr>
            <w:r>
              <w:t>2 645</w:t>
            </w:r>
            <w:r w:rsidRPr="009E1942">
              <w:t xml:space="preserve"> </w:t>
            </w:r>
          </w:p>
        </w:tc>
        <w:tc>
          <w:tcPr>
            <w:tcW w:w="1170" w:type="dxa"/>
          </w:tcPr>
          <w:p w:rsidR="00091543" w:rsidRPr="009E1942" w:rsidRDefault="00091543" w:rsidP="00937E18">
            <w:pPr>
              <w:pStyle w:val="Table-AnnualReport"/>
              <w:jc w:val="right"/>
            </w:pPr>
            <w:r w:rsidRPr="009E1942">
              <w:t xml:space="preserve"> N/A </w:t>
            </w:r>
          </w:p>
        </w:tc>
        <w:tc>
          <w:tcPr>
            <w:tcW w:w="1239" w:type="dxa"/>
          </w:tcPr>
          <w:p w:rsidR="00091543" w:rsidRPr="009E1942" w:rsidRDefault="00091543" w:rsidP="00937E18">
            <w:pPr>
              <w:pStyle w:val="Table-AnnualReport"/>
              <w:jc w:val="right"/>
            </w:pPr>
            <w:r w:rsidRPr="009E1942">
              <w:t xml:space="preserve"> N/A </w:t>
            </w:r>
          </w:p>
        </w:tc>
        <w:tc>
          <w:tcPr>
            <w:tcW w:w="1276" w:type="dxa"/>
          </w:tcPr>
          <w:p w:rsidR="00091543" w:rsidRPr="009E1942" w:rsidRDefault="00091543" w:rsidP="00937E18">
            <w:pPr>
              <w:pStyle w:val="Table-AnnualReport"/>
              <w:jc w:val="right"/>
            </w:pPr>
            <w:r w:rsidRPr="009E1942">
              <w:t xml:space="preserve"> Ongoing </w:t>
            </w:r>
          </w:p>
        </w:tc>
      </w:tr>
      <w:tr w:rsidR="00091543" w:rsidRPr="009E1942" w:rsidTr="00937E18">
        <w:trPr>
          <w:trHeight w:val="285"/>
        </w:trPr>
        <w:tc>
          <w:tcPr>
            <w:tcW w:w="4253" w:type="dxa"/>
            <w:shd w:val="clear" w:color="auto" w:fill="auto"/>
          </w:tcPr>
          <w:p w:rsidR="00091543" w:rsidRPr="009E1942" w:rsidRDefault="00091543" w:rsidP="00937E18">
            <w:pPr>
              <w:pStyle w:val="Table-AnnualReport"/>
            </w:pPr>
            <w:r w:rsidRPr="009E1942">
              <w:t xml:space="preserve">Flinders Island Accommodation </w:t>
            </w:r>
          </w:p>
        </w:tc>
        <w:tc>
          <w:tcPr>
            <w:tcW w:w="1276" w:type="dxa"/>
            <w:shd w:val="clear" w:color="auto" w:fill="auto"/>
          </w:tcPr>
          <w:p w:rsidR="00091543" w:rsidRPr="009E1942" w:rsidRDefault="00091543" w:rsidP="00937E18">
            <w:pPr>
              <w:pStyle w:val="Table-AnnualReport"/>
              <w:jc w:val="right"/>
            </w:pPr>
            <w:r w:rsidRPr="009E1942">
              <w:t>158</w:t>
            </w:r>
          </w:p>
        </w:tc>
        <w:tc>
          <w:tcPr>
            <w:tcW w:w="1170" w:type="dxa"/>
          </w:tcPr>
          <w:p w:rsidR="00091543" w:rsidRPr="009E1942" w:rsidRDefault="00091543" w:rsidP="00937E18">
            <w:pPr>
              <w:pStyle w:val="Table-AnnualReport"/>
              <w:jc w:val="right"/>
            </w:pPr>
            <w:r w:rsidRPr="009E1942">
              <w:t xml:space="preserve">400 </w:t>
            </w:r>
          </w:p>
        </w:tc>
        <w:tc>
          <w:tcPr>
            <w:tcW w:w="1239" w:type="dxa"/>
          </w:tcPr>
          <w:p w:rsidR="00091543" w:rsidRPr="009E1942" w:rsidRDefault="00091543" w:rsidP="00937E18">
            <w:pPr>
              <w:pStyle w:val="Table-AnnualReport"/>
              <w:jc w:val="right"/>
            </w:pPr>
            <w:r w:rsidRPr="009E1942">
              <w:t>203</w:t>
            </w:r>
          </w:p>
        </w:tc>
        <w:tc>
          <w:tcPr>
            <w:tcW w:w="1276" w:type="dxa"/>
          </w:tcPr>
          <w:p w:rsidR="00091543" w:rsidRPr="009E1942" w:rsidRDefault="00091543" w:rsidP="00937E18">
            <w:pPr>
              <w:pStyle w:val="Table-AnnualReport"/>
              <w:jc w:val="right"/>
            </w:pPr>
            <w:r w:rsidRPr="009E1942">
              <w:t>2015</w:t>
            </w:r>
          </w:p>
        </w:tc>
      </w:tr>
      <w:tr w:rsidR="00091543" w:rsidRPr="009E1942" w:rsidTr="00937E18">
        <w:trPr>
          <w:trHeight w:val="335"/>
        </w:trPr>
        <w:tc>
          <w:tcPr>
            <w:tcW w:w="4253" w:type="dxa"/>
            <w:shd w:val="clear" w:color="auto" w:fill="auto"/>
          </w:tcPr>
          <w:p w:rsidR="00091543" w:rsidRPr="009E1942" w:rsidRDefault="00091543" w:rsidP="00937E18">
            <w:pPr>
              <w:pStyle w:val="Table-AnnualReport"/>
            </w:pPr>
            <w:r w:rsidRPr="009E1942">
              <w:t>Glenorchy Community Health Centre</w:t>
            </w:r>
            <w:r w:rsidRPr="009E1942">
              <w:rPr>
                <w:szCs w:val="18"/>
                <w:vertAlign w:val="superscript"/>
              </w:rPr>
              <w:t>2</w:t>
            </w:r>
          </w:p>
        </w:tc>
        <w:tc>
          <w:tcPr>
            <w:tcW w:w="1276" w:type="dxa"/>
            <w:shd w:val="clear" w:color="auto" w:fill="auto"/>
          </w:tcPr>
          <w:p w:rsidR="00091543" w:rsidRPr="009E1942" w:rsidRDefault="00091543" w:rsidP="00937E18">
            <w:pPr>
              <w:pStyle w:val="Table-AnnualReport"/>
              <w:jc w:val="right"/>
            </w:pPr>
            <w:r w:rsidRPr="009E1942">
              <w:t xml:space="preserve">2 291 </w:t>
            </w:r>
          </w:p>
        </w:tc>
        <w:tc>
          <w:tcPr>
            <w:tcW w:w="1170" w:type="dxa"/>
          </w:tcPr>
          <w:p w:rsidR="00091543" w:rsidRPr="009E1942" w:rsidRDefault="00091543" w:rsidP="00937E18">
            <w:pPr>
              <w:pStyle w:val="Table-AnnualReport"/>
              <w:jc w:val="right"/>
            </w:pPr>
            <w:r w:rsidRPr="009E1942">
              <w:t xml:space="preserve"> 21 000 </w:t>
            </w:r>
          </w:p>
        </w:tc>
        <w:tc>
          <w:tcPr>
            <w:tcW w:w="1239" w:type="dxa"/>
          </w:tcPr>
          <w:p w:rsidR="00091543" w:rsidRPr="009E1942" w:rsidRDefault="00091543" w:rsidP="00937E18">
            <w:pPr>
              <w:pStyle w:val="Table-AnnualReport"/>
              <w:jc w:val="right"/>
            </w:pPr>
            <w:r w:rsidRPr="009E1942">
              <w:t>17 033</w:t>
            </w:r>
          </w:p>
        </w:tc>
        <w:tc>
          <w:tcPr>
            <w:tcW w:w="1276" w:type="dxa"/>
          </w:tcPr>
          <w:p w:rsidR="00091543" w:rsidRPr="009E1942" w:rsidRDefault="00091543" w:rsidP="00937E18">
            <w:pPr>
              <w:pStyle w:val="Table-AnnualReport"/>
              <w:jc w:val="right"/>
              <w:rPr>
                <w:vertAlign w:val="superscript"/>
              </w:rPr>
            </w:pPr>
            <w:r w:rsidRPr="009E1942">
              <w:t>2017</w:t>
            </w:r>
          </w:p>
        </w:tc>
      </w:tr>
      <w:tr w:rsidR="00091543" w:rsidRPr="009E1942" w:rsidTr="00937E18">
        <w:trPr>
          <w:trHeight w:val="443"/>
        </w:trPr>
        <w:tc>
          <w:tcPr>
            <w:tcW w:w="4253" w:type="dxa"/>
            <w:shd w:val="clear" w:color="auto" w:fill="auto"/>
          </w:tcPr>
          <w:p w:rsidR="00091543" w:rsidRPr="009E1942" w:rsidRDefault="00091543" w:rsidP="00937E18">
            <w:pPr>
              <w:pStyle w:val="Table-AnnualReport"/>
            </w:pPr>
            <w:r w:rsidRPr="009E1942">
              <w:t>Hospital Equipment Fund</w:t>
            </w:r>
            <w:r w:rsidRPr="009E1942">
              <w:rPr>
                <w:vertAlign w:val="superscript"/>
              </w:rPr>
              <w:t>3</w:t>
            </w:r>
          </w:p>
        </w:tc>
        <w:tc>
          <w:tcPr>
            <w:tcW w:w="1276" w:type="dxa"/>
            <w:shd w:val="clear" w:color="auto" w:fill="auto"/>
          </w:tcPr>
          <w:p w:rsidR="00091543" w:rsidRPr="009E1942" w:rsidRDefault="00091543" w:rsidP="00937E18">
            <w:pPr>
              <w:pStyle w:val="Table-AnnualReport"/>
              <w:jc w:val="right"/>
            </w:pPr>
            <w:r w:rsidRPr="009E1942">
              <w:t>1 655</w:t>
            </w:r>
          </w:p>
        </w:tc>
        <w:tc>
          <w:tcPr>
            <w:tcW w:w="1170" w:type="dxa"/>
          </w:tcPr>
          <w:p w:rsidR="00091543" w:rsidRPr="009E1942" w:rsidRDefault="00091543" w:rsidP="00937E18">
            <w:pPr>
              <w:pStyle w:val="Table-AnnualReport"/>
              <w:jc w:val="right"/>
            </w:pPr>
            <w:r w:rsidRPr="009E1942">
              <w:t>25 000</w:t>
            </w:r>
          </w:p>
        </w:tc>
        <w:tc>
          <w:tcPr>
            <w:tcW w:w="1239" w:type="dxa"/>
          </w:tcPr>
          <w:p w:rsidR="00091543" w:rsidRPr="009E1942" w:rsidRDefault="00091543" w:rsidP="00937E18">
            <w:pPr>
              <w:pStyle w:val="Table-AnnualReport"/>
              <w:jc w:val="right"/>
            </w:pPr>
            <w:r w:rsidRPr="009E1942">
              <w:t>1 234</w:t>
            </w:r>
          </w:p>
        </w:tc>
        <w:tc>
          <w:tcPr>
            <w:tcW w:w="1276" w:type="dxa"/>
          </w:tcPr>
          <w:p w:rsidR="00091543" w:rsidRPr="009E1942" w:rsidRDefault="00091543" w:rsidP="00937E18">
            <w:pPr>
              <w:pStyle w:val="Table-AnnualReport"/>
              <w:jc w:val="right"/>
            </w:pPr>
            <w:r w:rsidRPr="009E1942">
              <w:t>2016</w:t>
            </w:r>
          </w:p>
        </w:tc>
      </w:tr>
      <w:tr w:rsidR="00091543" w:rsidRPr="009E1942" w:rsidTr="00937E18">
        <w:trPr>
          <w:trHeight w:val="330"/>
        </w:trPr>
        <w:tc>
          <w:tcPr>
            <w:tcW w:w="4253" w:type="dxa"/>
            <w:shd w:val="clear" w:color="auto" w:fill="auto"/>
          </w:tcPr>
          <w:p w:rsidR="00091543" w:rsidRPr="009E1942" w:rsidRDefault="00091543" w:rsidP="00937E18">
            <w:pPr>
              <w:pStyle w:val="Table-AnnualReport"/>
            </w:pPr>
            <w:r w:rsidRPr="009E1942">
              <w:t>Kingston Community Health Centre</w:t>
            </w:r>
            <w:r w:rsidRPr="009E1942">
              <w:rPr>
                <w:szCs w:val="18"/>
                <w:vertAlign w:val="superscript"/>
              </w:rPr>
              <w:t>4</w:t>
            </w:r>
          </w:p>
        </w:tc>
        <w:tc>
          <w:tcPr>
            <w:tcW w:w="1276" w:type="dxa"/>
            <w:shd w:val="clear" w:color="auto" w:fill="auto"/>
          </w:tcPr>
          <w:p w:rsidR="00091543" w:rsidRPr="009E1942" w:rsidRDefault="00091543" w:rsidP="00937E18">
            <w:pPr>
              <w:pStyle w:val="Table-AnnualReport"/>
              <w:jc w:val="right"/>
            </w:pPr>
            <w:r w:rsidRPr="009E1942">
              <w:t xml:space="preserve">- </w:t>
            </w:r>
          </w:p>
        </w:tc>
        <w:tc>
          <w:tcPr>
            <w:tcW w:w="1170" w:type="dxa"/>
          </w:tcPr>
          <w:p w:rsidR="00091543" w:rsidRPr="009E1942" w:rsidRDefault="00091543" w:rsidP="00937E18">
            <w:pPr>
              <w:pStyle w:val="Table-AnnualReport"/>
              <w:jc w:val="right"/>
            </w:pPr>
            <w:r w:rsidRPr="009E1942">
              <w:t xml:space="preserve"> 6 500 </w:t>
            </w:r>
          </w:p>
        </w:tc>
        <w:tc>
          <w:tcPr>
            <w:tcW w:w="1239" w:type="dxa"/>
          </w:tcPr>
          <w:p w:rsidR="00091543" w:rsidRPr="009E1942" w:rsidRDefault="00091543" w:rsidP="00937E18">
            <w:pPr>
              <w:pStyle w:val="Table-AnnualReport"/>
              <w:jc w:val="right"/>
            </w:pPr>
            <w:r w:rsidRPr="009E1942">
              <w:t xml:space="preserve"> 6 443 </w:t>
            </w:r>
          </w:p>
        </w:tc>
        <w:tc>
          <w:tcPr>
            <w:tcW w:w="1276" w:type="dxa"/>
          </w:tcPr>
          <w:p w:rsidR="00091543" w:rsidRPr="009E1942" w:rsidRDefault="00091543" w:rsidP="00937E18">
            <w:pPr>
              <w:pStyle w:val="Table-AnnualReport"/>
              <w:jc w:val="right"/>
              <w:rPr>
                <w:vertAlign w:val="superscript"/>
              </w:rPr>
            </w:pPr>
            <w:r w:rsidRPr="009E1942">
              <w:t>2017</w:t>
            </w:r>
          </w:p>
        </w:tc>
      </w:tr>
      <w:tr w:rsidR="00091543" w:rsidRPr="009E1942" w:rsidTr="00937E18">
        <w:trPr>
          <w:trHeight w:val="378"/>
        </w:trPr>
        <w:tc>
          <w:tcPr>
            <w:tcW w:w="4253" w:type="dxa"/>
            <w:shd w:val="clear" w:color="auto" w:fill="auto"/>
          </w:tcPr>
          <w:p w:rsidR="00091543" w:rsidRPr="009E1942" w:rsidRDefault="00091543" w:rsidP="00937E18">
            <w:pPr>
              <w:pStyle w:val="Table-AnnualReport"/>
            </w:pPr>
            <w:r w:rsidRPr="009E1942">
              <w:t>Launceston General Hospital – Allied Health Clinics</w:t>
            </w:r>
            <w:r w:rsidRPr="009E1942">
              <w:rPr>
                <w:vertAlign w:val="superscript"/>
              </w:rPr>
              <w:t>5</w:t>
            </w:r>
          </w:p>
        </w:tc>
        <w:tc>
          <w:tcPr>
            <w:tcW w:w="1276" w:type="dxa"/>
            <w:shd w:val="clear" w:color="auto" w:fill="auto"/>
          </w:tcPr>
          <w:p w:rsidR="00091543" w:rsidRPr="009E1942" w:rsidRDefault="00091543" w:rsidP="00937E18">
            <w:pPr>
              <w:pStyle w:val="Table-AnnualReport"/>
              <w:jc w:val="right"/>
            </w:pPr>
            <w:r w:rsidRPr="009E1942">
              <w:t>131</w:t>
            </w:r>
          </w:p>
        </w:tc>
        <w:tc>
          <w:tcPr>
            <w:tcW w:w="1170" w:type="dxa"/>
          </w:tcPr>
          <w:p w:rsidR="00091543" w:rsidRPr="009E1942" w:rsidRDefault="00091543" w:rsidP="00937E18">
            <w:pPr>
              <w:pStyle w:val="Table-AnnualReport"/>
              <w:jc w:val="right"/>
            </w:pPr>
            <w:r w:rsidRPr="009E1942">
              <w:t>3 162</w:t>
            </w:r>
          </w:p>
        </w:tc>
        <w:tc>
          <w:tcPr>
            <w:tcW w:w="1239" w:type="dxa"/>
          </w:tcPr>
          <w:p w:rsidR="00091543" w:rsidRPr="009E1942" w:rsidRDefault="00091543" w:rsidP="00937E18">
            <w:pPr>
              <w:pStyle w:val="Table-AnnualReport"/>
              <w:jc w:val="right"/>
            </w:pPr>
            <w:r w:rsidRPr="009E1942">
              <w:t>3 000</w:t>
            </w:r>
          </w:p>
        </w:tc>
        <w:tc>
          <w:tcPr>
            <w:tcW w:w="1276" w:type="dxa"/>
          </w:tcPr>
          <w:p w:rsidR="00091543" w:rsidRPr="009E1942" w:rsidRDefault="00091543" w:rsidP="00937E18">
            <w:pPr>
              <w:pStyle w:val="Table-AnnualReport"/>
              <w:jc w:val="right"/>
            </w:pPr>
            <w:r w:rsidRPr="009E1942">
              <w:t>2016</w:t>
            </w:r>
          </w:p>
        </w:tc>
      </w:tr>
      <w:tr w:rsidR="00091543" w:rsidRPr="009E1942" w:rsidTr="00937E18">
        <w:trPr>
          <w:trHeight w:val="517"/>
        </w:trPr>
        <w:tc>
          <w:tcPr>
            <w:tcW w:w="4253" w:type="dxa"/>
            <w:shd w:val="clear" w:color="auto" w:fill="auto"/>
          </w:tcPr>
          <w:p w:rsidR="00091543" w:rsidRPr="00314812" w:rsidRDefault="00091543" w:rsidP="00937E18">
            <w:pPr>
              <w:pStyle w:val="Table-AnnualReport"/>
            </w:pPr>
            <w:r w:rsidRPr="00314812">
              <w:t>Launceston General Hospital - Acute Medical and Surgical Unit</w:t>
            </w:r>
            <w:r w:rsidRPr="00314812">
              <w:rPr>
                <w:vertAlign w:val="superscript"/>
              </w:rPr>
              <w:t>6</w:t>
            </w:r>
          </w:p>
        </w:tc>
        <w:tc>
          <w:tcPr>
            <w:tcW w:w="1276" w:type="dxa"/>
            <w:shd w:val="clear" w:color="auto" w:fill="auto"/>
          </w:tcPr>
          <w:p w:rsidR="00091543" w:rsidRPr="00314812" w:rsidRDefault="00091543" w:rsidP="00937E18">
            <w:pPr>
              <w:pStyle w:val="Table-AnnualReport"/>
              <w:jc w:val="right"/>
            </w:pPr>
            <w:r w:rsidRPr="00314812">
              <w:t>4 291</w:t>
            </w:r>
          </w:p>
        </w:tc>
        <w:tc>
          <w:tcPr>
            <w:tcW w:w="1170" w:type="dxa"/>
          </w:tcPr>
          <w:p w:rsidR="00091543" w:rsidRPr="00314812" w:rsidRDefault="00091543" w:rsidP="00937E18">
            <w:pPr>
              <w:pStyle w:val="Table-AnnualReport"/>
              <w:jc w:val="right"/>
            </w:pPr>
            <w:r>
              <w:t>45 019</w:t>
            </w:r>
          </w:p>
        </w:tc>
        <w:tc>
          <w:tcPr>
            <w:tcW w:w="1239" w:type="dxa"/>
          </w:tcPr>
          <w:p w:rsidR="00091543" w:rsidRPr="00314812" w:rsidRDefault="00091543" w:rsidP="00937E18">
            <w:pPr>
              <w:pStyle w:val="Table-AnnualReport"/>
              <w:jc w:val="right"/>
            </w:pPr>
            <w:r>
              <w:t>1 855</w:t>
            </w:r>
          </w:p>
        </w:tc>
        <w:tc>
          <w:tcPr>
            <w:tcW w:w="1276" w:type="dxa"/>
          </w:tcPr>
          <w:p w:rsidR="00091543" w:rsidRPr="009E1942" w:rsidRDefault="00091543" w:rsidP="00937E18">
            <w:pPr>
              <w:pStyle w:val="Table-AnnualReport"/>
              <w:jc w:val="right"/>
              <w:rPr>
                <w:vertAlign w:val="superscript"/>
              </w:rPr>
            </w:pPr>
            <w:r w:rsidRPr="00314812">
              <w:t>2015</w:t>
            </w:r>
          </w:p>
        </w:tc>
      </w:tr>
      <w:tr w:rsidR="00091543" w:rsidRPr="009E1942" w:rsidTr="00937E18">
        <w:trPr>
          <w:trHeight w:val="517"/>
        </w:trPr>
        <w:tc>
          <w:tcPr>
            <w:tcW w:w="4253" w:type="dxa"/>
            <w:shd w:val="clear" w:color="auto" w:fill="auto"/>
          </w:tcPr>
          <w:p w:rsidR="00091543" w:rsidRPr="009E1942" w:rsidRDefault="00091543" w:rsidP="00937E18">
            <w:pPr>
              <w:pStyle w:val="Table-AnnualReport"/>
            </w:pPr>
            <w:r w:rsidRPr="009E1942">
              <w:t>Launceston General Hospital - Specialist Clinics, Pharmacy and Clinical Trial Research Area</w:t>
            </w:r>
            <w:r w:rsidRPr="009E1942">
              <w:rPr>
                <w:vertAlign w:val="superscript"/>
              </w:rPr>
              <w:t>7</w:t>
            </w:r>
          </w:p>
        </w:tc>
        <w:tc>
          <w:tcPr>
            <w:tcW w:w="1276" w:type="dxa"/>
            <w:shd w:val="clear" w:color="auto" w:fill="auto"/>
          </w:tcPr>
          <w:p w:rsidR="00091543" w:rsidRPr="009E1942" w:rsidRDefault="00091543" w:rsidP="00937E18">
            <w:pPr>
              <w:pStyle w:val="Table-AnnualReport"/>
              <w:jc w:val="right"/>
            </w:pPr>
            <w:r w:rsidRPr="009E1942">
              <w:t>3 944</w:t>
            </w:r>
          </w:p>
        </w:tc>
        <w:tc>
          <w:tcPr>
            <w:tcW w:w="1170" w:type="dxa"/>
          </w:tcPr>
          <w:p w:rsidR="00091543" w:rsidRPr="009E1942" w:rsidRDefault="00091543" w:rsidP="00937E18">
            <w:pPr>
              <w:pStyle w:val="Table-AnnualReport"/>
              <w:jc w:val="right"/>
            </w:pPr>
            <w:r w:rsidRPr="009E1942">
              <w:t>4 140</w:t>
            </w:r>
          </w:p>
        </w:tc>
        <w:tc>
          <w:tcPr>
            <w:tcW w:w="1239" w:type="dxa"/>
          </w:tcPr>
          <w:p w:rsidR="00091543" w:rsidRPr="009E1942" w:rsidRDefault="00091543" w:rsidP="00937E18">
            <w:pPr>
              <w:pStyle w:val="Table-AnnualReport"/>
              <w:jc w:val="right"/>
            </w:pPr>
            <w:r w:rsidRPr="009E1942">
              <w:t>140</w:t>
            </w:r>
          </w:p>
        </w:tc>
        <w:tc>
          <w:tcPr>
            <w:tcW w:w="1276" w:type="dxa"/>
          </w:tcPr>
          <w:p w:rsidR="00091543" w:rsidRPr="009E1942" w:rsidRDefault="00091543" w:rsidP="00937E18">
            <w:pPr>
              <w:pStyle w:val="Table-AnnualReport"/>
              <w:jc w:val="right"/>
            </w:pPr>
            <w:r w:rsidRPr="009E1942">
              <w:t>2015</w:t>
            </w:r>
          </w:p>
        </w:tc>
      </w:tr>
      <w:tr w:rsidR="00091543" w:rsidRPr="009E1942" w:rsidTr="00937E18">
        <w:trPr>
          <w:trHeight w:val="384"/>
        </w:trPr>
        <w:tc>
          <w:tcPr>
            <w:tcW w:w="4253" w:type="dxa"/>
            <w:shd w:val="clear" w:color="auto" w:fill="auto"/>
          </w:tcPr>
          <w:p w:rsidR="00091543" w:rsidRPr="00314812" w:rsidRDefault="00091543" w:rsidP="00937E18">
            <w:pPr>
              <w:pStyle w:val="Table-AnnualReport"/>
            </w:pPr>
            <w:r w:rsidRPr="00314812">
              <w:t>Launceston Integrated Care Centre</w:t>
            </w:r>
            <w:r w:rsidRPr="00314812">
              <w:rPr>
                <w:vertAlign w:val="superscript"/>
              </w:rPr>
              <w:t>8</w:t>
            </w:r>
          </w:p>
        </w:tc>
        <w:tc>
          <w:tcPr>
            <w:tcW w:w="1276" w:type="dxa"/>
            <w:shd w:val="clear" w:color="auto" w:fill="auto"/>
          </w:tcPr>
          <w:p w:rsidR="00091543" w:rsidRPr="00314812" w:rsidRDefault="00091543" w:rsidP="00937E18">
            <w:pPr>
              <w:pStyle w:val="Table-AnnualReport"/>
              <w:jc w:val="right"/>
            </w:pPr>
            <w:r w:rsidRPr="00314812">
              <w:t>411</w:t>
            </w:r>
          </w:p>
        </w:tc>
        <w:tc>
          <w:tcPr>
            <w:tcW w:w="1170" w:type="dxa"/>
          </w:tcPr>
          <w:p w:rsidR="00091543" w:rsidRPr="00314812" w:rsidRDefault="00091543" w:rsidP="00937E18">
            <w:pPr>
              <w:pStyle w:val="Table-AnnualReport"/>
              <w:jc w:val="right"/>
            </w:pPr>
            <w:r w:rsidRPr="00314812">
              <w:t>22 500</w:t>
            </w:r>
          </w:p>
        </w:tc>
        <w:tc>
          <w:tcPr>
            <w:tcW w:w="1239" w:type="dxa"/>
          </w:tcPr>
          <w:p w:rsidR="00091543" w:rsidRPr="00314812" w:rsidRDefault="00091543" w:rsidP="00937E18">
            <w:pPr>
              <w:pStyle w:val="Table-AnnualReport"/>
              <w:jc w:val="right"/>
            </w:pPr>
            <w:r w:rsidRPr="00314812">
              <w:t>1 228</w:t>
            </w:r>
          </w:p>
        </w:tc>
        <w:tc>
          <w:tcPr>
            <w:tcW w:w="1276" w:type="dxa"/>
          </w:tcPr>
          <w:p w:rsidR="00091543" w:rsidRPr="009E1942" w:rsidRDefault="00091543" w:rsidP="00937E18">
            <w:pPr>
              <w:pStyle w:val="Table-AnnualReport"/>
              <w:jc w:val="right"/>
            </w:pPr>
            <w:r w:rsidRPr="00314812">
              <w:t>2016</w:t>
            </w:r>
          </w:p>
        </w:tc>
      </w:tr>
      <w:tr w:rsidR="00091543" w:rsidRPr="009E1942" w:rsidTr="00937E18">
        <w:trPr>
          <w:trHeight w:val="306"/>
        </w:trPr>
        <w:tc>
          <w:tcPr>
            <w:tcW w:w="4253" w:type="dxa"/>
            <w:shd w:val="clear" w:color="auto" w:fill="auto"/>
          </w:tcPr>
          <w:p w:rsidR="00091543" w:rsidRPr="009E1942" w:rsidRDefault="00091543" w:rsidP="00937E18">
            <w:pPr>
              <w:pStyle w:val="Table-AnnualReport"/>
            </w:pPr>
            <w:r w:rsidRPr="009E1942">
              <w:t>Mersey Community Hospital</w:t>
            </w:r>
            <w:r>
              <w:t xml:space="preserve"> – SCIF Project</w:t>
            </w:r>
            <w:r>
              <w:rPr>
                <w:vertAlign w:val="superscript"/>
              </w:rPr>
              <w:t>9</w:t>
            </w:r>
          </w:p>
        </w:tc>
        <w:tc>
          <w:tcPr>
            <w:tcW w:w="1276" w:type="dxa"/>
            <w:shd w:val="clear" w:color="auto" w:fill="auto"/>
          </w:tcPr>
          <w:p w:rsidR="00091543" w:rsidRPr="009E1942" w:rsidRDefault="00091543" w:rsidP="00937E18">
            <w:pPr>
              <w:pStyle w:val="Table-AnnualReport"/>
              <w:jc w:val="right"/>
            </w:pPr>
            <w:r w:rsidRPr="009E1942">
              <w:t>503</w:t>
            </w:r>
          </w:p>
        </w:tc>
        <w:tc>
          <w:tcPr>
            <w:tcW w:w="1170" w:type="dxa"/>
          </w:tcPr>
          <w:p w:rsidR="00091543" w:rsidRPr="009E1942" w:rsidRDefault="00091543" w:rsidP="00937E18">
            <w:pPr>
              <w:pStyle w:val="Table-AnnualReport"/>
              <w:jc w:val="right"/>
            </w:pPr>
            <w:r w:rsidRPr="009E1942">
              <w:t xml:space="preserve"> 1 900 </w:t>
            </w:r>
          </w:p>
        </w:tc>
        <w:tc>
          <w:tcPr>
            <w:tcW w:w="1239" w:type="dxa"/>
          </w:tcPr>
          <w:p w:rsidR="00091543" w:rsidRPr="009E1942" w:rsidRDefault="00091543" w:rsidP="00937E18">
            <w:pPr>
              <w:pStyle w:val="Table-AnnualReport"/>
              <w:jc w:val="right"/>
            </w:pPr>
            <w:r w:rsidRPr="009E1942">
              <w:t>1 397</w:t>
            </w:r>
          </w:p>
        </w:tc>
        <w:tc>
          <w:tcPr>
            <w:tcW w:w="1276" w:type="dxa"/>
          </w:tcPr>
          <w:p w:rsidR="00091543" w:rsidRPr="009E1942" w:rsidRDefault="00091543" w:rsidP="00937E18">
            <w:pPr>
              <w:pStyle w:val="Table-AnnualReport"/>
              <w:jc w:val="right"/>
            </w:pPr>
            <w:r w:rsidRPr="009E1942">
              <w:t>2016</w:t>
            </w:r>
          </w:p>
        </w:tc>
      </w:tr>
      <w:tr w:rsidR="00091543" w:rsidRPr="00314812" w:rsidTr="00937E18">
        <w:trPr>
          <w:trHeight w:val="517"/>
        </w:trPr>
        <w:tc>
          <w:tcPr>
            <w:tcW w:w="4253" w:type="dxa"/>
            <w:shd w:val="clear" w:color="auto" w:fill="auto"/>
          </w:tcPr>
          <w:p w:rsidR="00091543" w:rsidRPr="00314812" w:rsidRDefault="00091543" w:rsidP="00937E18">
            <w:pPr>
              <w:pStyle w:val="Table-AnnualReport"/>
            </w:pPr>
            <w:r w:rsidRPr="00314812">
              <w:t>National Health and Hospitals Network - Capital - Elective Surgery - Royal Hobart Hospital</w:t>
            </w:r>
            <w:r>
              <w:rPr>
                <w:vertAlign w:val="superscript"/>
              </w:rPr>
              <w:t>10,11</w:t>
            </w:r>
          </w:p>
        </w:tc>
        <w:tc>
          <w:tcPr>
            <w:tcW w:w="1276" w:type="dxa"/>
            <w:shd w:val="clear" w:color="auto" w:fill="auto"/>
          </w:tcPr>
          <w:p w:rsidR="00091543" w:rsidRPr="00314812" w:rsidRDefault="00091543" w:rsidP="00937E18">
            <w:pPr>
              <w:pStyle w:val="Table-AnnualReport"/>
              <w:jc w:val="right"/>
            </w:pPr>
            <w:r w:rsidRPr="00314812">
              <w:t>72</w:t>
            </w:r>
          </w:p>
        </w:tc>
        <w:tc>
          <w:tcPr>
            <w:tcW w:w="1170" w:type="dxa"/>
          </w:tcPr>
          <w:p w:rsidR="00091543" w:rsidRPr="00314812" w:rsidRDefault="00091543" w:rsidP="00937E18">
            <w:pPr>
              <w:pStyle w:val="Table-AnnualReport"/>
              <w:jc w:val="right"/>
            </w:pPr>
            <w:r w:rsidRPr="00314812">
              <w:t>3 660</w:t>
            </w:r>
          </w:p>
        </w:tc>
        <w:tc>
          <w:tcPr>
            <w:tcW w:w="1239" w:type="dxa"/>
          </w:tcPr>
          <w:p w:rsidR="00091543" w:rsidRPr="00314812" w:rsidRDefault="00091543" w:rsidP="00937E18">
            <w:pPr>
              <w:pStyle w:val="Table-AnnualReport"/>
              <w:jc w:val="right"/>
            </w:pPr>
            <w:r w:rsidRPr="00314812">
              <w:t>1 136</w:t>
            </w:r>
          </w:p>
        </w:tc>
        <w:tc>
          <w:tcPr>
            <w:tcW w:w="1276" w:type="dxa"/>
          </w:tcPr>
          <w:p w:rsidR="00091543" w:rsidRPr="00314812" w:rsidRDefault="00091543" w:rsidP="00937E18">
            <w:pPr>
              <w:pStyle w:val="Table-AnnualReport"/>
              <w:jc w:val="right"/>
            </w:pPr>
            <w:r w:rsidRPr="00314812">
              <w:t>2016</w:t>
            </w:r>
          </w:p>
        </w:tc>
      </w:tr>
      <w:tr w:rsidR="00091543" w:rsidRPr="009E1942" w:rsidTr="00937E18">
        <w:tc>
          <w:tcPr>
            <w:tcW w:w="4253" w:type="dxa"/>
            <w:shd w:val="clear" w:color="auto" w:fill="auto"/>
          </w:tcPr>
          <w:p w:rsidR="00091543" w:rsidRPr="00314812" w:rsidRDefault="00091543" w:rsidP="00937E18">
            <w:pPr>
              <w:pStyle w:val="Table-AnnualReport"/>
            </w:pPr>
            <w:r w:rsidRPr="00314812">
              <w:t>National Health and Hospitals Network - Capital - Emergency Department - Royal Hobart Hospital</w:t>
            </w:r>
            <w:r>
              <w:rPr>
                <w:vertAlign w:val="superscript"/>
              </w:rPr>
              <w:t>10,12</w:t>
            </w:r>
          </w:p>
        </w:tc>
        <w:tc>
          <w:tcPr>
            <w:tcW w:w="1276" w:type="dxa"/>
            <w:shd w:val="clear" w:color="auto" w:fill="auto"/>
          </w:tcPr>
          <w:p w:rsidR="00091543" w:rsidRPr="00314812" w:rsidRDefault="00091543" w:rsidP="00937E18">
            <w:pPr>
              <w:pStyle w:val="Table-AnnualReport"/>
              <w:jc w:val="right"/>
            </w:pPr>
            <w:r w:rsidRPr="00314812">
              <w:t>813</w:t>
            </w:r>
          </w:p>
        </w:tc>
        <w:tc>
          <w:tcPr>
            <w:tcW w:w="1170" w:type="dxa"/>
          </w:tcPr>
          <w:p w:rsidR="00091543" w:rsidRPr="00314812" w:rsidRDefault="00091543" w:rsidP="00937E18">
            <w:pPr>
              <w:pStyle w:val="Table-AnnualReport"/>
              <w:jc w:val="right"/>
            </w:pPr>
            <w:r w:rsidRPr="00314812">
              <w:t>3 710</w:t>
            </w:r>
          </w:p>
        </w:tc>
        <w:tc>
          <w:tcPr>
            <w:tcW w:w="1239" w:type="dxa"/>
          </w:tcPr>
          <w:p w:rsidR="00091543" w:rsidRPr="00314812" w:rsidRDefault="00091543" w:rsidP="00937E18">
            <w:pPr>
              <w:pStyle w:val="Table-AnnualReport"/>
              <w:jc w:val="right"/>
            </w:pPr>
            <w:r w:rsidRPr="00314812">
              <w:t>783</w:t>
            </w:r>
          </w:p>
        </w:tc>
        <w:tc>
          <w:tcPr>
            <w:tcW w:w="1276" w:type="dxa"/>
          </w:tcPr>
          <w:p w:rsidR="00091543" w:rsidRPr="009E1942" w:rsidRDefault="00091543" w:rsidP="00937E18">
            <w:pPr>
              <w:pStyle w:val="Table-AnnualReport"/>
              <w:jc w:val="right"/>
            </w:pPr>
            <w:r w:rsidRPr="00314812">
              <w:t>2016</w:t>
            </w:r>
          </w:p>
        </w:tc>
      </w:tr>
      <w:tr w:rsidR="00091543" w:rsidRPr="009E1942" w:rsidTr="00937E18">
        <w:tc>
          <w:tcPr>
            <w:tcW w:w="4253" w:type="dxa"/>
            <w:shd w:val="clear" w:color="auto" w:fill="auto"/>
          </w:tcPr>
          <w:p w:rsidR="00091543" w:rsidRPr="009E1942" w:rsidRDefault="00091543" w:rsidP="00937E18">
            <w:pPr>
              <w:pStyle w:val="Table-AnnualReport"/>
            </w:pPr>
            <w:r w:rsidRPr="009E1942">
              <w:t>Ravenswood Community Health Centre</w:t>
            </w:r>
            <w:r>
              <w:rPr>
                <w:vertAlign w:val="superscript"/>
              </w:rPr>
              <w:t>13</w:t>
            </w:r>
          </w:p>
        </w:tc>
        <w:tc>
          <w:tcPr>
            <w:tcW w:w="1276" w:type="dxa"/>
            <w:shd w:val="clear" w:color="auto" w:fill="auto"/>
          </w:tcPr>
          <w:p w:rsidR="00091543" w:rsidRPr="009E1942" w:rsidRDefault="00091543" w:rsidP="00937E18">
            <w:pPr>
              <w:pStyle w:val="Table-AnnualReport"/>
              <w:jc w:val="right"/>
            </w:pPr>
            <w:r w:rsidRPr="009E1942">
              <w:t>1 954</w:t>
            </w:r>
          </w:p>
        </w:tc>
        <w:tc>
          <w:tcPr>
            <w:tcW w:w="1170" w:type="dxa"/>
          </w:tcPr>
          <w:p w:rsidR="00091543" w:rsidRPr="009E1942" w:rsidRDefault="00091543" w:rsidP="00937E18">
            <w:pPr>
              <w:pStyle w:val="Table-AnnualReport"/>
              <w:jc w:val="right"/>
            </w:pPr>
            <w:r w:rsidRPr="009E1942">
              <w:t>2 623</w:t>
            </w:r>
          </w:p>
        </w:tc>
        <w:tc>
          <w:tcPr>
            <w:tcW w:w="1239" w:type="dxa"/>
          </w:tcPr>
          <w:p w:rsidR="00091543" w:rsidRPr="009E1942" w:rsidRDefault="00091543" w:rsidP="00937E18">
            <w:pPr>
              <w:pStyle w:val="Table-AnnualReport"/>
              <w:jc w:val="right"/>
            </w:pPr>
            <w:r w:rsidRPr="009E1942">
              <w:t>581</w:t>
            </w:r>
          </w:p>
        </w:tc>
        <w:tc>
          <w:tcPr>
            <w:tcW w:w="1276" w:type="dxa"/>
          </w:tcPr>
          <w:p w:rsidR="00091543" w:rsidRPr="009E1942" w:rsidRDefault="00091543" w:rsidP="00937E18">
            <w:pPr>
              <w:pStyle w:val="Table-AnnualReport"/>
              <w:jc w:val="right"/>
            </w:pPr>
            <w:r w:rsidRPr="009E1942">
              <w:t>2016</w:t>
            </w:r>
          </w:p>
        </w:tc>
      </w:tr>
      <w:tr w:rsidR="00091543" w:rsidRPr="00314812" w:rsidTr="00937E18">
        <w:tc>
          <w:tcPr>
            <w:tcW w:w="4253" w:type="dxa"/>
            <w:shd w:val="clear" w:color="auto" w:fill="auto"/>
          </w:tcPr>
          <w:p w:rsidR="00091543" w:rsidRPr="00314812" w:rsidRDefault="00091543" w:rsidP="00937E18">
            <w:pPr>
              <w:pStyle w:val="Table-AnnualReport"/>
            </w:pPr>
            <w:r w:rsidRPr="00314812">
              <w:t>Royal Hobart Hospital $100 million</w:t>
            </w:r>
            <w:r>
              <w:rPr>
                <w:szCs w:val="18"/>
                <w:vertAlign w:val="superscript"/>
              </w:rPr>
              <w:t>14</w:t>
            </w:r>
          </w:p>
        </w:tc>
        <w:tc>
          <w:tcPr>
            <w:tcW w:w="1276" w:type="dxa"/>
            <w:shd w:val="clear" w:color="auto" w:fill="auto"/>
          </w:tcPr>
          <w:p w:rsidR="00091543" w:rsidRPr="00314812" w:rsidRDefault="00091543" w:rsidP="00937E18">
            <w:pPr>
              <w:pStyle w:val="Table-AnnualReport"/>
              <w:jc w:val="right"/>
            </w:pPr>
            <w:r w:rsidRPr="00314812">
              <w:t>1 804</w:t>
            </w:r>
          </w:p>
        </w:tc>
        <w:tc>
          <w:tcPr>
            <w:tcW w:w="1170" w:type="dxa"/>
          </w:tcPr>
          <w:p w:rsidR="00091543" w:rsidRPr="00314812" w:rsidRDefault="00091543" w:rsidP="00937E18">
            <w:pPr>
              <w:pStyle w:val="Table-AnnualReport"/>
              <w:jc w:val="right"/>
            </w:pPr>
            <w:r w:rsidRPr="00314812">
              <w:t xml:space="preserve"> 100 000 </w:t>
            </w:r>
          </w:p>
        </w:tc>
        <w:tc>
          <w:tcPr>
            <w:tcW w:w="1239" w:type="dxa"/>
          </w:tcPr>
          <w:p w:rsidR="00091543" w:rsidRPr="00314812" w:rsidRDefault="00091543" w:rsidP="00937E18">
            <w:pPr>
              <w:pStyle w:val="Table-AnnualReport"/>
              <w:jc w:val="right"/>
            </w:pPr>
            <w:r w:rsidRPr="00314812">
              <w:t>17 332</w:t>
            </w:r>
          </w:p>
        </w:tc>
        <w:tc>
          <w:tcPr>
            <w:tcW w:w="1276" w:type="dxa"/>
          </w:tcPr>
          <w:p w:rsidR="00091543" w:rsidRPr="00314812" w:rsidRDefault="00091543" w:rsidP="00937E18">
            <w:pPr>
              <w:pStyle w:val="Table-AnnualReport"/>
              <w:jc w:val="right"/>
              <w:rPr>
                <w:vertAlign w:val="superscript"/>
              </w:rPr>
            </w:pPr>
            <w:r w:rsidRPr="00314812">
              <w:t>2016</w:t>
            </w:r>
          </w:p>
        </w:tc>
      </w:tr>
      <w:tr w:rsidR="00091543" w:rsidRPr="00314812" w:rsidTr="00937E18">
        <w:tc>
          <w:tcPr>
            <w:tcW w:w="4253" w:type="dxa"/>
            <w:shd w:val="clear" w:color="auto" w:fill="auto"/>
          </w:tcPr>
          <w:p w:rsidR="00091543" w:rsidRPr="00314812" w:rsidRDefault="00091543" w:rsidP="00937E18">
            <w:pPr>
              <w:pStyle w:val="Table-AnnualReport"/>
            </w:pPr>
            <w:r w:rsidRPr="00314812">
              <w:t>Royal Hobart Hospital – Inpatient Precinct Project</w:t>
            </w:r>
            <w:r>
              <w:rPr>
                <w:vertAlign w:val="superscript"/>
              </w:rPr>
              <w:t>15</w:t>
            </w:r>
          </w:p>
        </w:tc>
        <w:tc>
          <w:tcPr>
            <w:tcW w:w="1276" w:type="dxa"/>
            <w:shd w:val="clear" w:color="auto" w:fill="auto"/>
          </w:tcPr>
          <w:p w:rsidR="00091543" w:rsidRPr="00314812" w:rsidRDefault="00091543" w:rsidP="00937E18">
            <w:pPr>
              <w:pStyle w:val="Table-AnnualReport"/>
              <w:jc w:val="right"/>
            </w:pPr>
            <w:r w:rsidRPr="00314812">
              <w:t>11 871</w:t>
            </w:r>
          </w:p>
        </w:tc>
        <w:tc>
          <w:tcPr>
            <w:tcW w:w="1170" w:type="dxa"/>
          </w:tcPr>
          <w:p w:rsidR="00091543" w:rsidRPr="00314812" w:rsidRDefault="00091543" w:rsidP="00937E18">
            <w:pPr>
              <w:pStyle w:val="Table-AnnualReport"/>
              <w:jc w:val="right"/>
            </w:pPr>
            <w:r w:rsidRPr="00314812">
              <w:t>536 900</w:t>
            </w:r>
          </w:p>
        </w:tc>
        <w:tc>
          <w:tcPr>
            <w:tcW w:w="1239" w:type="dxa"/>
          </w:tcPr>
          <w:p w:rsidR="00091543" w:rsidRPr="00314812" w:rsidRDefault="00091543" w:rsidP="00937E18">
            <w:pPr>
              <w:pStyle w:val="Table-AnnualReport"/>
              <w:jc w:val="right"/>
            </w:pPr>
            <w:r w:rsidRPr="00314812">
              <w:t>477 808</w:t>
            </w:r>
          </w:p>
        </w:tc>
        <w:tc>
          <w:tcPr>
            <w:tcW w:w="1276" w:type="dxa"/>
          </w:tcPr>
          <w:p w:rsidR="00091543" w:rsidRPr="00314812" w:rsidRDefault="00091543" w:rsidP="00937E18">
            <w:pPr>
              <w:pStyle w:val="Table-AnnualReport"/>
              <w:jc w:val="right"/>
            </w:pPr>
            <w:r>
              <w:t>2018</w:t>
            </w:r>
          </w:p>
        </w:tc>
      </w:tr>
      <w:tr w:rsidR="00091543" w:rsidRPr="009E1942" w:rsidTr="00937E18">
        <w:tc>
          <w:tcPr>
            <w:tcW w:w="4253" w:type="dxa"/>
            <w:shd w:val="clear" w:color="auto" w:fill="auto"/>
          </w:tcPr>
          <w:p w:rsidR="00091543" w:rsidRPr="00314812" w:rsidRDefault="00091543" w:rsidP="00937E18">
            <w:pPr>
              <w:pStyle w:val="Table-AnnualReport"/>
            </w:pPr>
            <w:r w:rsidRPr="00314812">
              <w:t>Royal Hobart Hospital Redevelopment Fund</w:t>
            </w:r>
          </w:p>
        </w:tc>
        <w:tc>
          <w:tcPr>
            <w:tcW w:w="1276" w:type="dxa"/>
            <w:shd w:val="clear" w:color="auto" w:fill="auto"/>
          </w:tcPr>
          <w:p w:rsidR="00091543" w:rsidRPr="00314812" w:rsidRDefault="00091543" w:rsidP="00937E18">
            <w:pPr>
              <w:pStyle w:val="Table-AnnualReport"/>
              <w:jc w:val="right"/>
            </w:pPr>
            <w:r w:rsidRPr="00314812">
              <w:t xml:space="preserve"> - </w:t>
            </w:r>
          </w:p>
        </w:tc>
        <w:tc>
          <w:tcPr>
            <w:tcW w:w="1170" w:type="dxa"/>
          </w:tcPr>
          <w:p w:rsidR="00091543" w:rsidRPr="00314812" w:rsidRDefault="00091543" w:rsidP="00937E18">
            <w:pPr>
              <w:pStyle w:val="Table-AnnualReport"/>
              <w:jc w:val="right"/>
            </w:pPr>
            <w:r w:rsidRPr="00314812">
              <w:t xml:space="preserve"> 35 000 </w:t>
            </w:r>
          </w:p>
        </w:tc>
        <w:tc>
          <w:tcPr>
            <w:tcW w:w="1239" w:type="dxa"/>
          </w:tcPr>
          <w:p w:rsidR="00091543" w:rsidRPr="00314812" w:rsidRDefault="00091543" w:rsidP="00937E18">
            <w:pPr>
              <w:pStyle w:val="Table-AnnualReport"/>
              <w:jc w:val="right"/>
            </w:pPr>
            <w:r w:rsidRPr="00314812">
              <w:t xml:space="preserve"> 653 </w:t>
            </w:r>
          </w:p>
        </w:tc>
        <w:tc>
          <w:tcPr>
            <w:tcW w:w="1276" w:type="dxa"/>
          </w:tcPr>
          <w:p w:rsidR="00091543" w:rsidRPr="009E1942" w:rsidRDefault="00091543" w:rsidP="00937E18">
            <w:pPr>
              <w:pStyle w:val="Table-AnnualReport"/>
              <w:jc w:val="right"/>
            </w:pPr>
            <w:r w:rsidRPr="00314812">
              <w:t>2015</w:t>
            </w:r>
          </w:p>
        </w:tc>
      </w:tr>
      <w:tr w:rsidR="00091543" w:rsidRPr="009E1942" w:rsidTr="00937E18">
        <w:tc>
          <w:tcPr>
            <w:tcW w:w="4253" w:type="dxa"/>
            <w:shd w:val="clear" w:color="auto" w:fill="auto"/>
          </w:tcPr>
          <w:p w:rsidR="00091543" w:rsidRPr="009E1942" w:rsidRDefault="00091543" w:rsidP="00937E18">
            <w:pPr>
              <w:pStyle w:val="Table-AnnualReport"/>
            </w:pPr>
            <w:r w:rsidRPr="009E1942">
              <w:t>Rural Breast Screening Clinics</w:t>
            </w:r>
          </w:p>
        </w:tc>
        <w:tc>
          <w:tcPr>
            <w:tcW w:w="1276" w:type="dxa"/>
            <w:shd w:val="clear" w:color="auto" w:fill="auto"/>
          </w:tcPr>
          <w:p w:rsidR="00091543" w:rsidRPr="009E1942" w:rsidRDefault="00091543" w:rsidP="00937E18">
            <w:pPr>
              <w:pStyle w:val="Table-AnnualReport"/>
              <w:jc w:val="right"/>
            </w:pPr>
            <w:r w:rsidRPr="009E1942">
              <w:t>66</w:t>
            </w:r>
          </w:p>
        </w:tc>
        <w:tc>
          <w:tcPr>
            <w:tcW w:w="1170" w:type="dxa"/>
          </w:tcPr>
          <w:p w:rsidR="00091543" w:rsidRPr="009E1942" w:rsidRDefault="00091543" w:rsidP="00937E18">
            <w:pPr>
              <w:pStyle w:val="Table-AnnualReport"/>
              <w:jc w:val="right"/>
            </w:pPr>
            <w:r w:rsidRPr="009E1942">
              <w:t>1 268</w:t>
            </w:r>
          </w:p>
        </w:tc>
        <w:tc>
          <w:tcPr>
            <w:tcW w:w="1239" w:type="dxa"/>
          </w:tcPr>
          <w:p w:rsidR="00091543" w:rsidRPr="009E1942" w:rsidRDefault="00091543" w:rsidP="00937E18">
            <w:pPr>
              <w:pStyle w:val="Table-AnnualReport"/>
              <w:jc w:val="right"/>
            </w:pPr>
            <w:r w:rsidRPr="009E1942">
              <w:t>1 203</w:t>
            </w:r>
          </w:p>
        </w:tc>
        <w:tc>
          <w:tcPr>
            <w:tcW w:w="1276" w:type="dxa"/>
          </w:tcPr>
          <w:p w:rsidR="00091543" w:rsidRPr="009E1942" w:rsidRDefault="00091543" w:rsidP="00937E18">
            <w:pPr>
              <w:pStyle w:val="Table-AnnualReport"/>
              <w:jc w:val="right"/>
            </w:pPr>
            <w:r w:rsidRPr="009E1942">
              <w:t>2015</w:t>
            </w:r>
          </w:p>
        </w:tc>
      </w:tr>
      <w:tr w:rsidR="00091543" w:rsidRPr="009E1942" w:rsidTr="00937E18">
        <w:tc>
          <w:tcPr>
            <w:tcW w:w="4253" w:type="dxa"/>
            <w:shd w:val="clear" w:color="auto" w:fill="auto"/>
          </w:tcPr>
          <w:p w:rsidR="00091543" w:rsidRPr="009E1942" w:rsidRDefault="00091543" w:rsidP="00937E18">
            <w:pPr>
              <w:pStyle w:val="Table-AnnualReport"/>
            </w:pPr>
            <w:r w:rsidRPr="009E1942">
              <w:t>Statewide Cancer Services</w:t>
            </w:r>
            <w:r>
              <w:rPr>
                <w:vertAlign w:val="superscript"/>
              </w:rPr>
              <w:t>16</w:t>
            </w:r>
          </w:p>
        </w:tc>
        <w:tc>
          <w:tcPr>
            <w:tcW w:w="1276" w:type="dxa"/>
            <w:shd w:val="clear" w:color="auto" w:fill="auto"/>
          </w:tcPr>
          <w:p w:rsidR="00091543" w:rsidRPr="009E1942" w:rsidRDefault="00091543" w:rsidP="00937E18">
            <w:pPr>
              <w:pStyle w:val="Table-AnnualReport"/>
              <w:jc w:val="right"/>
            </w:pPr>
            <w:r w:rsidRPr="009E1942">
              <w:t>12 832</w:t>
            </w:r>
          </w:p>
        </w:tc>
        <w:tc>
          <w:tcPr>
            <w:tcW w:w="1170" w:type="dxa"/>
          </w:tcPr>
          <w:p w:rsidR="00091543" w:rsidRPr="009E1942" w:rsidRDefault="00091543" w:rsidP="00937E18">
            <w:pPr>
              <w:pStyle w:val="Table-AnnualReport"/>
              <w:jc w:val="right"/>
              <w:rPr>
                <w:vertAlign w:val="superscript"/>
              </w:rPr>
            </w:pPr>
            <w:r w:rsidRPr="009E1942">
              <w:t>63 020</w:t>
            </w:r>
            <w:r>
              <w:rPr>
                <w:vertAlign w:val="superscript"/>
              </w:rPr>
              <w:t>17</w:t>
            </w:r>
          </w:p>
        </w:tc>
        <w:tc>
          <w:tcPr>
            <w:tcW w:w="1239" w:type="dxa"/>
          </w:tcPr>
          <w:p w:rsidR="00091543" w:rsidRPr="009E1942" w:rsidRDefault="00091543" w:rsidP="00937E18">
            <w:pPr>
              <w:pStyle w:val="Table-AnnualReport"/>
              <w:jc w:val="right"/>
            </w:pPr>
            <w:r w:rsidRPr="009E1942">
              <w:t>11 268</w:t>
            </w:r>
          </w:p>
        </w:tc>
        <w:tc>
          <w:tcPr>
            <w:tcW w:w="1276" w:type="dxa"/>
          </w:tcPr>
          <w:p w:rsidR="00091543" w:rsidRPr="009E1942" w:rsidRDefault="00091543" w:rsidP="00937E18">
            <w:pPr>
              <w:pStyle w:val="Table-AnnualReport"/>
              <w:jc w:val="right"/>
            </w:pPr>
            <w:r w:rsidRPr="009E1942">
              <w:t>2016</w:t>
            </w:r>
          </w:p>
        </w:tc>
      </w:tr>
      <w:tr w:rsidR="00091543" w:rsidRPr="001B05C8" w:rsidTr="00937E18">
        <w:tc>
          <w:tcPr>
            <w:tcW w:w="4253" w:type="dxa"/>
            <w:shd w:val="clear" w:color="auto" w:fill="auto"/>
          </w:tcPr>
          <w:p w:rsidR="00091543" w:rsidRPr="009E1942" w:rsidRDefault="00091543" w:rsidP="00937E18">
            <w:pPr>
              <w:pStyle w:val="Table-AnnualReport"/>
            </w:pPr>
            <w:r w:rsidRPr="009E1942">
              <w:t>THO - North Backup Power Supply</w:t>
            </w:r>
          </w:p>
        </w:tc>
        <w:tc>
          <w:tcPr>
            <w:tcW w:w="1276" w:type="dxa"/>
            <w:shd w:val="clear" w:color="auto" w:fill="auto"/>
          </w:tcPr>
          <w:p w:rsidR="00091543" w:rsidRPr="009E1942" w:rsidRDefault="00091543" w:rsidP="00937E18">
            <w:pPr>
              <w:pStyle w:val="Table-AnnualReport"/>
              <w:jc w:val="right"/>
            </w:pPr>
            <w:r w:rsidRPr="009E1942">
              <w:t>535</w:t>
            </w:r>
          </w:p>
        </w:tc>
        <w:tc>
          <w:tcPr>
            <w:tcW w:w="1170" w:type="dxa"/>
          </w:tcPr>
          <w:p w:rsidR="00091543" w:rsidRPr="009E1942" w:rsidRDefault="00091543" w:rsidP="00937E18">
            <w:pPr>
              <w:pStyle w:val="Table-AnnualReport"/>
              <w:jc w:val="right"/>
            </w:pPr>
            <w:r w:rsidRPr="009E1942">
              <w:t>600</w:t>
            </w:r>
          </w:p>
        </w:tc>
        <w:tc>
          <w:tcPr>
            <w:tcW w:w="1239" w:type="dxa"/>
          </w:tcPr>
          <w:p w:rsidR="00091543" w:rsidRPr="009E1942" w:rsidRDefault="00091543" w:rsidP="00937E18">
            <w:pPr>
              <w:pStyle w:val="Table-AnnualReport"/>
              <w:jc w:val="right"/>
            </w:pPr>
            <w:r w:rsidRPr="009E1942">
              <w:t>50</w:t>
            </w:r>
          </w:p>
        </w:tc>
        <w:tc>
          <w:tcPr>
            <w:tcW w:w="1276" w:type="dxa"/>
          </w:tcPr>
          <w:p w:rsidR="00091543" w:rsidRPr="001B05C8" w:rsidRDefault="00091543" w:rsidP="00937E18">
            <w:pPr>
              <w:pStyle w:val="Table-AnnualReport"/>
              <w:jc w:val="right"/>
            </w:pPr>
            <w:r w:rsidRPr="009E1942">
              <w:t>2015</w:t>
            </w:r>
          </w:p>
        </w:tc>
      </w:tr>
      <w:tr w:rsidR="00C601E8" w:rsidRPr="001B05C8" w:rsidTr="00C601E8">
        <w:tc>
          <w:tcPr>
            <w:tcW w:w="4253" w:type="dxa"/>
            <w:shd w:val="clear" w:color="auto" w:fill="auto"/>
          </w:tcPr>
          <w:p w:rsidR="00C601E8" w:rsidRPr="001B05C8" w:rsidRDefault="00C601E8" w:rsidP="00C601E8">
            <w:pPr>
              <w:pStyle w:val="Table-AnnualReport"/>
              <w:rPr>
                <w:b/>
              </w:rPr>
            </w:pPr>
            <w:r w:rsidRPr="001B05C8">
              <w:rPr>
                <w:b/>
              </w:rPr>
              <w:t>Housing Capital Program</w:t>
            </w:r>
          </w:p>
        </w:tc>
        <w:tc>
          <w:tcPr>
            <w:tcW w:w="1276" w:type="dxa"/>
            <w:shd w:val="clear" w:color="auto" w:fill="auto"/>
          </w:tcPr>
          <w:p w:rsidR="00C601E8" w:rsidRPr="001B05C8" w:rsidRDefault="00C601E8" w:rsidP="00C601E8">
            <w:pPr>
              <w:pStyle w:val="Table-AnnualReport"/>
              <w:jc w:val="right"/>
              <w:rPr>
                <w:b/>
              </w:rPr>
            </w:pPr>
          </w:p>
        </w:tc>
        <w:tc>
          <w:tcPr>
            <w:tcW w:w="1170" w:type="dxa"/>
          </w:tcPr>
          <w:p w:rsidR="00C601E8" w:rsidRPr="001B05C8" w:rsidRDefault="00C601E8" w:rsidP="00C601E8">
            <w:pPr>
              <w:pStyle w:val="Table-AnnualReport"/>
              <w:jc w:val="right"/>
              <w:rPr>
                <w:b/>
              </w:rPr>
            </w:pPr>
          </w:p>
        </w:tc>
        <w:tc>
          <w:tcPr>
            <w:tcW w:w="1239" w:type="dxa"/>
          </w:tcPr>
          <w:p w:rsidR="00C601E8" w:rsidRPr="001B05C8" w:rsidRDefault="00C601E8" w:rsidP="00C601E8">
            <w:pPr>
              <w:pStyle w:val="Table-AnnualReport"/>
              <w:jc w:val="right"/>
              <w:rPr>
                <w:b/>
              </w:rPr>
            </w:pPr>
          </w:p>
        </w:tc>
        <w:tc>
          <w:tcPr>
            <w:tcW w:w="1276" w:type="dxa"/>
          </w:tcPr>
          <w:p w:rsidR="00C601E8" w:rsidRPr="001B05C8" w:rsidRDefault="00C601E8" w:rsidP="00C601E8">
            <w:pPr>
              <w:pStyle w:val="Table-AnnualReport"/>
              <w:jc w:val="right"/>
              <w:rPr>
                <w:b/>
              </w:rPr>
            </w:pPr>
          </w:p>
        </w:tc>
      </w:tr>
      <w:tr w:rsidR="00091543" w:rsidTr="00937E18">
        <w:tblPrEx>
          <w:tblBorders>
            <w:top w:val="none" w:sz="0" w:space="0" w:color="auto"/>
            <w:bottom w:val="none" w:sz="0" w:space="0" w:color="auto"/>
            <w:insideH w:val="none" w:sz="0" w:space="0" w:color="auto"/>
          </w:tblBorders>
          <w:tblCellMar>
            <w:left w:w="0" w:type="dxa"/>
            <w:right w:w="0" w:type="dxa"/>
          </w:tblCellMar>
        </w:tblPrEx>
        <w:tc>
          <w:tcPr>
            <w:tcW w:w="4253"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rPr>
                <w:lang w:eastAsia="en-US"/>
              </w:rPr>
            </w:pPr>
            <w:r>
              <w:rPr>
                <w:lang w:eastAsia="en-US"/>
              </w:rPr>
              <w:t>Neighbourhood House Upgrades</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1 315</w:t>
            </w:r>
          </w:p>
        </w:tc>
        <w:tc>
          <w:tcPr>
            <w:tcW w:w="1170"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6 000</w:t>
            </w:r>
          </w:p>
        </w:tc>
        <w:tc>
          <w:tcPr>
            <w:tcW w:w="1239"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2 685</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2015</w:t>
            </w:r>
          </w:p>
        </w:tc>
      </w:tr>
      <w:tr w:rsidR="00091543" w:rsidTr="00937E18">
        <w:tblPrEx>
          <w:tblBorders>
            <w:top w:val="none" w:sz="0" w:space="0" w:color="auto"/>
            <w:bottom w:val="none" w:sz="0" w:space="0" w:color="auto"/>
            <w:insideH w:val="none" w:sz="0" w:space="0" w:color="auto"/>
          </w:tblBorders>
          <w:tblCellMar>
            <w:left w:w="0" w:type="dxa"/>
            <w:right w:w="0" w:type="dxa"/>
          </w:tblCellMar>
        </w:tblPrEx>
        <w:tc>
          <w:tcPr>
            <w:tcW w:w="4253"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rPr>
                <w:lang w:eastAsia="en-US"/>
              </w:rPr>
            </w:pPr>
            <w:r>
              <w:rPr>
                <w:lang w:eastAsia="en-US"/>
              </w:rPr>
              <w:t>Somerset Primary subdivision 1</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87</w:t>
            </w:r>
          </w:p>
        </w:tc>
        <w:tc>
          <w:tcPr>
            <w:tcW w:w="1170"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2 000</w:t>
            </w:r>
          </w:p>
        </w:tc>
        <w:tc>
          <w:tcPr>
            <w:tcW w:w="1239"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1 913</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2015</w:t>
            </w:r>
          </w:p>
        </w:tc>
      </w:tr>
      <w:tr w:rsidR="00091543" w:rsidTr="00937E18">
        <w:tblPrEx>
          <w:tblBorders>
            <w:top w:val="none" w:sz="0" w:space="0" w:color="auto"/>
            <w:bottom w:val="none" w:sz="0" w:space="0" w:color="auto"/>
            <w:insideH w:val="none" w:sz="0" w:space="0" w:color="auto"/>
          </w:tblBorders>
          <w:tblCellMar>
            <w:left w:w="0" w:type="dxa"/>
            <w:right w:w="0" w:type="dxa"/>
          </w:tblCellMar>
        </w:tblPrEx>
        <w:tc>
          <w:tcPr>
            <w:tcW w:w="4253"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rPr>
                <w:lang w:eastAsia="en-US"/>
              </w:rPr>
            </w:pPr>
            <w:r>
              <w:rPr>
                <w:lang w:eastAsia="en-US"/>
              </w:rPr>
              <w:t>Trinity Hill Development</w:t>
            </w:r>
            <w:r>
              <w:rPr>
                <w:vertAlign w:val="superscript"/>
                <w:lang w:eastAsia="en-US"/>
              </w:rPr>
              <w:t>18</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7 359</w:t>
            </w:r>
          </w:p>
        </w:tc>
        <w:tc>
          <w:tcPr>
            <w:tcW w:w="1170"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14 200</w:t>
            </w:r>
          </w:p>
        </w:tc>
        <w:tc>
          <w:tcPr>
            <w:tcW w:w="1239"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3 117</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Pr>
                <w:lang w:eastAsia="en-US"/>
              </w:rPr>
              <w:t>2015</w:t>
            </w:r>
          </w:p>
        </w:tc>
      </w:tr>
      <w:tr w:rsidR="00091543" w:rsidTr="00937E18">
        <w:tblPrEx>
          <w:tblBorders>
            <w:top w:val="none" w:sz="0" w:space="0" w:color="auto"/>
            <w:bottom w:val="none" w:sz="0" w:space="0" w:color="auto"/>
            <w:insideH w:val="none" w:sz="0" w:space="0" w:color="auto"/>
          </w:tblBorders>
          <w:tblCellMar>
            <w:left w:w="0" w:type="dxa"/>
            <w:right w:w="0" w:type="dxa"/>
          </w:tblCellMar>
        </w:tblPrEx>
        <w:tc>
          <w:tcPr>
            <w:tcW w:w="4253" w:type="dxa"/>
            <w:tcBorders>
              <w:top w:val="nil"/>
              <w:left w:val="nil"/>
              <w:bottom w:val="single" w:sz="8" w:space="0" w:color="BFBFBF"/>
              <w:right w:val="nil"/>
            </w:tcBorders>
            <w:tcMar>
              <w:top w:w="0" w:type="dxa"/>
              <w:left w:w="108" w:type="dxa"/>
              <w:bottom w:w="0" w:type="dxa"/>
              <w:right w:w="108" w:type="dxa"/>
            </w:tcMar>
            <w:hideMark/>
          </w:tcPr>
          <w:p w:rsidR="00091543" w:rsidRPr="007A7727" w:rsidRDefault="00091543" w:rsidP="00937E18">
            <w:pPr>
              <w:pStyle w:val="Table-AnnualReport"/>
              <w:rPr>
                <w:lang w:eastAsia="en-US"/>
              </w:rPr>
            </w:pPr>
            <w:r w:rsidRPr="007A7727">
              <w:rPr>
                <w:lang w:eastAsia="en-US"/>
              </w:rPr>
              <w:t>National Rental Affordability Scheme support</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Pr="007A7727" w:rsidRDefault="00091543" w:rsidP="00937E18">
            <w:pPr>
              <w:pStyle w:val="Table-AnnualReport"/>
              <w:jc w:val="right"/>
              <w:rPr>
                <w:lang w:eastAsia="en-US"/>
              </w:rPr>
            </w:pPr>
            <w:r w:rsidRPr="007A7727">
              <w:rPr>
                <w:lang w:eastAsia="en-US"/>
              </w:rPr>
              <w:t>484</w:t>
            </w:r>
          </w:p>
        </w:tc>
        <w:tc>
          <w:tcPr>
            <w:tcW w:w="1170" w:type="dxa"/>
            <w:tcBorders>
              <w:top w:val="nil"/>
              <w:left w:val="nil"/>
              <w:bottom w:val="single" w:sz="8" w:space="0" w:color="BFBFBF"/>
              <w:right w:val="nil"/>
            </w:tcBorders>
            <w:tcMar>
              <w:top w:w="0" w:type="dxa"/>
              <w:left w:w="108" w:type="dxa"/>
              <w:bottom w:w="0" w:type="dxa"/>
              <w:right w:w="108" w:type="dxa"/>
            </w:tcMar>
            <w:hideMark/>
          </w:tcPr>
          <w:p w:rsidR="00091543" w:rsidRPr="007A7727" w:rsidRDefault="00091543" w:rsidP="00937E18">
            <w:pPr>
              <w:pStyle w:val="Table-AnnualReport"/>
              <w:jc w:val="right"/>
              <w:rPr>
                <w:lang w:eastAsia="en-US"/>
              </w:rPr>
            </w:pPr>
            <w:r w:rsidRPr="007A7727">
              <w:rPr>
                <w:lang w:eastAsia="en-US"/>
              </w:rPr>
              <w:t>20 000</w:t>
            </w:r>
          </w:p>
        </w:tc>
        <w:tc>
          <w:tcPr>
            <w:tcW w:w="1239" w:type="dxa"/>
            <w:tcBorders>
              <w:top w:val="nil"/>
              <w:left w:val="nil"/>
              <w:bottom w:val="single" w:sz="8" w:space="0" w:color="BFBFBF"/>
              <w:right w:val="nil"/>
            </w:tcBorders>
            <w:tcMar>
              <w:top w:w="0" w:type="dxa"/>
              <w:left w:w="108" w:type="dxa"/>
              <w:bottom w:w="0" w:type="dxa"/>
              <w:right w:w="108" w:type="dxa"/>
            </w:tcMar>
            <w:hideMark/>
          </w:tcPr>
          <w:p w:rsidR="00091543" w:rsidRPr="007A7727" w:rsidRDefault="00091543" w:rsidP="00937E18">
            <w:pPr>
              <w:pStyle w:val="Table-AnnualReport"/>
              <w:jc w:val="right"/>
              <w:rPr>
                <w:lang w:eastAsia="en-US"/>
              </w:rPr>
            </w:pPr>
            <w:r w:rsidRPr="007A7727">
              <w:rPr>
                <w:lang w:eastAsia="en-US"/>
              </w:rPr>
              <w:t>13 516</w:t>
            </w:r>
          </w:p>
        </w:tc>
        <w:tc>
          <w:tcPr>
            <w:tcW w:w="1276" w:type="dxa"/>
            <w:tcBorders>
              <w:top w:val="nil"/>
              <w:left w:val="nil"/>
              <w:bottom w:val="single" w:sz="8" w:space="0" w:color="BFBFBF"/>
              <w:right w:val="nil"/>
            </w:tcBorders>
            <w:tcMar>
              <w:top w:w="0" w:type="dxa"/>
              <w:left w:w="108" w:type="dxa"/>
              <w:bottom w:w="0" w:type="dxa"/>
              <w:right w:w="108" w:type="dxa"/>
            </w:tcMar>
            <w:hideMark/>
          </w:tcPr>
          <w:p w:rsidR="00091543" w:rsidRDefault="00091543" w:rsidP="00937E18">
            <w:pPr>
              <w:pStyle w:val="Table-AnnualReport"/>
              <w:jc w:val="right"/>
              <w:rPr>
                <w:lang w:eastAsia="en-US"/>
              </w:rPr>
            </w:pPr>
            <w:r w:rsidRPr="007A7727">
              <w:rPr>
                <w:lang w:eastAsia="en-US"/>
              </w:rPr>
              <w:t>2023</w:t>
            </w:r>
          </w:p>
        </w:tc>
      </w:tr>
    </w:tbl>
    <w:p w:rsidR="00043E2F" w:rsidRDefault="00043E2F" w:rsidP="00091543">
      <w:pPr>
        <w:rPr>
          <w:sz w:val="18"/>
          <w:szCs w:val="18"/>
        </w:rPr>
      </w:pPr>
    </w:p>
    <w:p w:rsidR="00043E2F" w:rsidRDefault="00043E2F">
      <w:pPr>
        <w:tabs>
          <w:tab w:val="clear" w:pos="567"/>
        </w:tabs>
        <w:spacing w:after="200" w:line="276" w:lineRule="auto"/>
        <w:rPr>
          <w:sz w:val="18"/>
          <w:szCs w:val="18"/>
        </w:rPr>
      </w:pPr>
      <w:r>
        <w:rPr>
          <w:sz w:val="18"/>
          <w:szCs w:val="18"/>
        </w:rPr>
        <w:br w:type="page"/>
      </w:r>
    </w:p>
    <w:p w:rsidR="00091543" w:rsidRPr="001B05C8" w:rsidRDefault="00091543" w:rsidP="00091543">
      <w:pPr>
        <w:rPr>
          <w:sz w:val="18"/>
          <w:szCs w:val="18"/>
        </w:rPr>
      </w:pPr>
      <w:r w:rsidRPr="001B05C8">
        <w:rPr>
          <w:sz w:val="18"/>
          <w:szCs w:val="18"/>
        </w:rPr>
        <w:lastRenderedPageBreak/>
        <w:t>Notes:</w:t>
      </w:r>
    </w:p>
    <w:p w:rsidR="00091543" w:rsidRPr="009E1942" w:rsidRDefault="00091543" w:rsidP="00091543">
      <w:pPr>
        <w:pStyle w:val="ListParagraph"/>
        <w:numPr>
          <w:ilvl w:val="0"/>
          <w:numId w:val="45"/>
        </w:numPr>
        <w:ind w:left="567" w:hanging="567"/>
        <w:rPr>
          <w:sz w:val="18"/>
          <w:szCs w:val="18"/>
        </w:rPr>
      </w:pPr>
      <w:r w:rsidRPr="009E1942">
        <w:rPr>
          <w:sz w:val="18"/>
          <w:szCs w:val="18"/>
        </w:rPr>
        <w:t xml:space="preserve">This table does not include expenditure incurred </w:t>
      </w:r>
      <w:r>
        <w:rPr>
          <w:sz w:val="18"/>
          <w:szCs w:val="18"/>
        </w:rPr>
        <w:t>prior to 1 July</w:t>
      </w:r>
      <w:r w:rsidRPr="009E1942">
        <w:rPr>
          <w:sz w:val="18"/>
          <w:szCs w:val="18"/>
        </w:rPr>
        <w:t xml:space="preserve"> 2014. It reflect</w:t>
      </w:r>
      <w:r>
        <w:rPr>
          <w:sz w:val="18"/>
          <w:szCs w:val="18"/>
        </w:rPr>
        <w:t>s</w:t>
      </w:r>
      <w:r w:rsidRPr="009E1942">
        <w:rPr>
          <w:sz w:val="18"/>
          <w:szCs w:val="18"/>
        </w:rPr>
        <w:t xml:space="preserve"> 2014</w:t>
      </w:r>
      <w:r w:rsidRPr="009E1942">
        <w:rPr>
          <w:sz w:val="18"/>
          <w:szCs w:val="18"/>
        </w:rPr>
        <w:noBreakHyphen/>
        <w:t xml:space="preserve">15 expenditure and </w:t>
      </w:r>
      <w:r>
        <w:rPr>
          <w:sz w:val="18"/>
          <w:szCs w:val="18"/>
        </w:rPr>
        <w:t xml:space="preserve">anticipated </w:t>
      </w:r>
      <w:r w:rsidRPr="009E1942">
        <w:rPr>
          <w:sz w:val="18"/>
          <w:szCs w:val="18"/>
        </w:rPr>
        <w:t>expenditure in future periods.</w:t>
      </w:r>
    </w:p>
    <w:p w:rsidR="00091543" w:rsidRPr="009E1942" w:rsidRDefault="00091543" w:rsidP="00091543">
      <w:pPr>
        <w:pStyle w:val="ListParagraph"/>
        <w:numPr>
          <w:ilvl w:val="0"/>
          <w:numId w:val="45"/>
        </w:numPr>
        <w:ind w:left="567" w:hanging="567"/>
        <w:rPr>
          <w:sz w:val="18"/>
          <w:szCs w:val="18"/>
        </w:rPr>
      </w:pPr>
      <w:r w:rsidRPr="009E1942">
        <w:rPr>
          <w:sz w:val="18"/>
          <w:szCs w:val="18"/>
        </w:rPr>
        <w:t xml:space="preserve">Completion of the Glenorchy Community Health Centre </w:t>
      </w:r>
      <w:r>
        <w:rPr>
          <w:sz w:val="18"/>
          <w:szCs w:val="18"/>
        </w:rPr>
        <w:t>was</w:t>
      </w:r>
      <w:r w:rsidRPr="009E1942">
        <w:rPr>
          <w:sz w:val="18"/>
          <w:szCs w:val="18"/>
        </w:rPr>
        <w:t xml:space="preserve"> temporarily delayed while a review of the Integrated Care Centre model of care review was </w:t>
      </w:r>
      <w:r>
        <w:rPr>
          <w:sz w:val="18"/>
          <w:szCs w:val="18"/>
        </w:rPr>
        <w:t>undertaken</w:t>
      </w:r>
      <w:r w:rsidRPr="009E1942">
        <w:rPr>
          <w:sz w:val="18"/>
          <w:szCs w:val="18"/>
        </w:rPr>
        <w:t>. This project is now anticipated to be completed in 2017.</w:t>
      </w:r>
    </w:p>
    <w:p w:rsidR="00091543" w:rsidRPr="009E1942" w:rsidRDefault="00091543" w:rsidP="00091543">
      <w:pPr>
        <w:pStyle w:val="ListParagraph"/>
        <w:numPr>
          <w:ilvl w:val="0"/>
          <w:numId w:val="45"/>
        </w:numPr>
        <w:ind w:left="567" w:hanging="567"/>
        <w:rPr>
          <w:sz w:val="18"/>
          <w:szCs w:val="18"/>
        </w:rPr>
      </w:pPr>
      <w:r w:rsidRPr="009E1942">
        <w:rPr>
          <w:sz w:val="18"/>
          <w:szCs w:val="18"/>
        </w:rPr>
        <w:t>Completion of projects funded from the Hospital Equipment Fund ha</w:t>
      </w:r>
      <w:r>
        <w:rPr>
          <w:sz w:val="18"/>
          <w:szCs w:val="18"/>
        </w:rPr>
        <w:t>ve</w:t>
      </w:r>
      <w:r w:rsidRPr="009E1942">
        <w:rPr>
          <w:sz w:val="18"/>
          <w:szCs w:val="18"/>
        </w:rPr>
        <w:t xml:space="preserve"> been </w:t>
      </w:r>
      <w:r>
        <w:rPr>
          <w:sz w:val="18"/>
          <w:szCs w:val="18"/>
        </w:rPr>
        <w:t>postponed</w:t>
      </w:r>
      <w:r w:rsidRPr="009E1942">
        <w:rPr>
          <w:sz w:val="18"/>
          <w:szCs w:val="18"/>
        </w:rPr>
        <w:t xml:space="preserve"> until 2016 due to timing delays associated with equipment purchases at the Royal Hobart Hospital and North-West Regional Hospital in 2014-15. These purchases are anticipated to be made in 2015-16.</w:t>
      </w:r>
    </w:p>
    <w:p w:rsidR="00091543" w:rsidRPr="009E1942" w:rsidRDefault="00091543" w:rsidP="00091543">
      <w:pPr>
        <w:pStyle w:val="ListParagraph"/>
        <w:numPr>
          <w:ilvl w:val="0"/>
          <w:numId w:val="45"/>
        </w:numPr>
        <w:ind w:left="567" w:hanging="567"/>
        <w:rPr>
          <w:sz w:val="18"/>
          <w:szCs w:val="18"/>
        </w:rPr>
      </w:pPr>
      <w:r w:rsidRPr="009E1942">
        <w:rPr>
          <w:sz w:val="18"/>
          <w:szCs w:val="18"/>
        </w:rPr>
        <w:t xml:space="preserve">Completion of the Kingston Community Health Centre has been temporarily delayed as a result of </w:t>
      </w:r>
      <w:r>
        <w:rPr>
          <w:sz w:val="18"/>
          <w:szCs w:val="18"/>
        </w:rPr>
        <w:t xml:space="preserve">ongoing </w:t>
      </w:r>
      <w:r w:rsidRPr="009E1942">
        <w:rPr>
          <w:sz w:val="18"/>
          <w:szCs w:val="18"/>
        </w:rPr>
        <w:t>negotiations for land acquisition and while a review of the Integrated Care Centre model of care review was completed.</w:t>
      </w:r>
    </w:p>
    <w:p w:rsidR="00091543" w:rsidRPr="009E1942" w:rsidRDefault="00091543" w:rsidP="00091543">
      <w:pPr>
        <w:pStyle w:val="ListParagraph"/>
        <w:numPr>
          <w:ilvl w:val="0"/>
          <w:numId w:val="45"/>
        </w:numPr>
        <w:ind w:left="567" w:hanging="567"/>
        <w:rPr>
          <w:sz w:val="18"/>
          <w:szCs w:val="18"/>
        </w:rPr>
      </w:pPr>
      <w:r w:rsidRPr="009E1942">
        <w:rPr>
          <w:sz w:val="18"/>
          <w:szCs w:val="18"/>
        </w:rPr>
        <w:t>The 2015-16 Budget provided an additional $3.0 million to complete the Launceston General Hospital Allied Health Clinics project, whi</w:t>
      </w:r>
      <w:r>
        <w:rPr>
          <w:sz w:val="18"/>
          <w:szCs w:val="18"/>
        </w:rPr>
        <w:t>ch is reflected in the revised E</w:t>
      </w:r>
      <w:r w:rsidRPr="009E1942">
        <w:rPr>
          <w:sz w:val="18"/>
          <w:szCs w:val="18"/>
        </w:rPr>
        <w:t xml:space="preserve">stimated </w:t>
      </w:r>
      <w:r>
        <w:rPr>
          <w:sz w:val="18"/>
          <w:szCs w:val="18"/>
        </w:rPr>
        <w:t>Total C</w:t>
      </w:r>
      <w:r w:rsidRPr="009E1942">
        <w:rPr>
          <w:sz w:val="18"/>
          <w:szCs w:val="18"/>
        </w:rPr>
        <w:t>ost.</w:t>
      </w:r>
    </w:p>
    <w:p w:rsidR="00091543" w:rsidRPr="009E1942" w:rsidRDefault="00091543" w:rsidP="00091543">
      <w:pPr>
        <w:pStyle w:val="ListParagraph"/>
        <w:numPr>
          <w:ilvl w:val="0"/>
          <w:numId w:val="45"/>
        </w:numPr>
        <w:ind w:left="567" w:hanging="567"/>
        <w:rPr>
          <w:color w:val="000000" w:themeColor="text1"/>
          <w:sz w:val="18"/>
          <w:szCs w:val="18"/>
        </w:rPr>
      </w:pPr>
      <w:r>
        <w:rPr>
          <w:sz w:val="18"/>
          <w:szCs w:val="18"/>
        </w:rPr>
        <w:t xml:space="preserve">The </w:t>
      </w:r>
      <w:r w:rsidRPr="009E1942">
        <w:rPr>
          <w:sz w:val="18"/>
          <w:szCs w:val="18"/>
        </w:rPr>
        <w:t>Launceston General Hospital Acute Medical and Surgical Unit</w:t>
      </w:r>
      <w:r>
        <w:rPr>
          <w:sz w:val="18"/>
          <w:szCs w:val="18"/>
        </w:rPr>
        <w:t xml:space="preserve"> project was initially allocated $40 million by the Australian Government. THO North/THS Northern Region is also providing supplementation of $5.019 million from within its existing funding allocation. The project</w:t>
      </w:r>
      <w:r w:rsidRPr="009E1942">
        <w:rPr>
          <w:sz w:val="18"/>
          <w:szCs w:val="18"/>
        </w:rPr>
        <w:t xml:space="preserve"> experienced </w:t>
      </w:r>
      <w:r>
        <w:rPr>
          <w:sz w:val="18"/>
          <w:szCs w:val="18"/>
        </w:rPr>
        <w:t xml:space="preserve">temporary </w:t>
      </w:r>
      <w:r w:rsidRPr="009E1942">
        <w:rPr>
          <w:sz w:val="18"/>
          <w:szCs w:val="18"/>
        </w:rPr>
        <w:t>delays in constructio</w:t>
      </w:r>
      <w:r>
        <w:rPr>
          <w:sz w:val="18"/>
          <w:szCs w:val="18"/>
        </w:rPr>
        <w:t>n with procured sub</w:t>
      </w:r>
      <w:r>
        <w:rPr>
          <w:sz w:val="18"/>
          <w:szCs w:val="18"/>
        </w:rPr>
        <w:noBreakHyphen/>
        <w:t>contractors in 2014-15.</w:t>
      </w:r>
      <w:r w:rsidRPr="009E1942">
        <w:rPr>
          <w:sz w:val="18"/>
          <w:szCs w:val="18"/>
        </w:rPr>
        <w:t xml:space="preserve"> </w:t>
      </w:r>
    </w:p>
    <w:p w:rsidR="00091543" w:rsidRPr="009E1942" w:rsidRDefault="00091543" w:rsidP="00091543">
      <w:pPr>
        <w:pStyle w:val="ListParagraph"/>
        <w:numPr>
          <w:ilvl w:val="0"/>
          <w:numId w:val="45"/>
        </w:numPr>
        <w:ind w:left="567" w:hanging="567"/>
        <w:rPr>
          <w:sz w:val="18"/>
          <w:szCs w:val="18"/>
        </w:rPr>
      </w:pPr>
      <w:r w:rsidRPr="009E1942">
        <w:rPr>
          <w:sz w:val="18"/>
          <w:szCs w:val="18"/>
        </w:rPr>
        <w:t xml:space="preserve">The total cost of the Launceston General Hospital Specialist Clinics, Pharmacy and Clinical Trial Research Area Projects was </w:t>
      </w:r>
      <w:r>
        <w:rPr>
          <w:sz w:val="18"/>
          <w:szCs w:val="18"/>
        </w:rPr>
        <w:t xml:space="preserve">funded </w:t>
      </w:r>
      <w:r w:rsidRPr="009E1942">
        <w:rPr>
          <w:sz w:val="18"/>
          <w:szCs w:val="18"/>
        </w:rPr>
        <w:t>by THO – North in 2014-15. Remaining works will be fu</w:t>
      </w:r>
      <w:r>
        <w:rPr>
          <w:sz w:val="18"/>
          <w:szCs w:val="18"/>
        </w:rPr>
        <w:t>nded by the THS in 2015</w:t>
      </w:r>
      <w:r>
        <w:rPr>
          <w:sz w:val="18"/>
          <w:szCs w:val="18"/>
        </w:rPr>
        <w:noBreakHyphen/>
        <w:t>16.</w:t>
      </w:r>
    </w:p>
    <w:p w:rsidR="00091543" w:rsidRDefault="00091543" w:rsidP="00091543">
      <w:pPr>
        <w:pStyle w:val="ListParagraph"/>
        <w:numPr>
          <w:ilvl w:val="0"/>
          <w:numId w:val="45"/>
        </w:numPr>
        <w:ind w:left="567" w:hanging="567"/>
        <w:rPr>
          <w:sz w:val="18"/>
          <w:szCs w:val="18"/>
        </w:rPr>
      </w:pPr>
      <w:r w:rsidRPr="009E1942">
        <w:rPr>
          <w:sz w:val="18"/>
          <w:szCs w:val="18"/>
        </w:rPr>
        <w:t xml:space="preserve">The Launceston Integrated Care Centre experienced temporary delays related to contractual negotiations and recruitment in 2014-15. </w:t>
      </w:r>
    </w:p>
    <w:p w:rsidR="00091543" w:rsidRDefault="00091543" w:rsidP="00091543">
      <w:pPr>
        <w:pStyle w:val="ListParagraph"/>
        <w:numPr>
          <w:ilvl w:val="0"/>
          <w:numId w:val="45"/>
        </w:numPr>
        <w:ind w:left="567" w:hanging="567"/>
        <w:rPr>
          <w:sz w:val="18"/>
          <w:szCs w:val="18"/>
        </w:rPr>
      </w:pPr>
      <w:r>
        <w:rPr>
          <w:sz w:val="18"/>
          <w:szCs w:val="18"/>
        </w:rPr>
        <w:t>This project is funded by the State Government. The Australian Government separately funded fire rectification and pharmacy works at the Mersey Community Hospital site in 2014-15 (refer to the THO North-West 2014-15 Annual Report for further information).</w:t>
      </w:r>
    </w:p>
    <w:p w:rsidR="00091543" w:rsidRDefault="00091543" w:rsidP="00091543">
      <w:pPr>
        <w:pStyle w:val="ListParagraph"/>
        <w:numPr>
          <w:ilvl w:val="0"/>
          <w:numId w:val="45"/>
        </w:numPr>
        <w:ind w:left="567" w:hanging="567"/>
        <w:rPr>
          <w:sz w:val="18"/>
          <w:szCs w:val="18"/>
        </w:rPr>
      </w:pPr>
      <w:r>
        <w:rPr>
          <w:sz w:val="18"/>
          <w:szCs w:val="18"/>
        </w:rPr>
        <w:t xml:space="preserve">The National Health Reform initiatives: Elective Surgery, Emergency Department and Sub-Acute were primarily funded by the Australian Government under the National Partnership Agreement on </w:t>
      </w:r>
      <w:r w:rsidRPr="00B170C6">
        <w:rPr>
          <w:i/>
          <w:sz w:val="18"/>
          <w:szCs w:val="18"/>
        </w:rPr>
        <w:t>Improving Public Hospital Services</w:t>
      </w:r>
      <w:r>
        <w:rPr>
          <w:sz w:val="18"/>
          <w:szCs w:val="18"/>
        </w:rPr>
        <w:t xml:space="preserve">. </w:t>
      </w:r>
    </w:p>
    <w:p w:rsidR="00091543" w:rsidRPr="004F5BBD" w:rsidRDefault="00091543" w:rsidP="00091543">
      <w:pPr>
        <w:pStyle w:val="ListParagraph"/>
        <w:numPr>
          <w:ilvl w:val="0"/>
          <w:numId w:val="45"/>
        </w:numPr>
        <w:ind w:left="567" w:hanging="567"/>
        <w:rPr>
          <w:sz w:val="18"/>
          <w:szCs w:val="18"/>
        </w:rPr>
      </w:pPr>
      <w:r w:rsidRPr="009E1942">
        <w:rPr>
          <w:sz w:val="18"/>
          <w:szCs w:val="18"/>
        </w:rPr>
        <w:t xml:space="preserve">The National Health and Hospitals Network – Elective Surgery – Royal Hobart Hospital project </w:t>
      </w:r>
      <w:r w:rsidRPr="004F5BBD">
        <w:rPr>
          <w:sz w:val="18"/>
          <w:szCs w:val="18"/>
        </w:rPr>
        <w:t>experienced delays implementing the Anaesthetic Information S</w:t>
      </w:r>
      <w:r>
        <w:rPr>
          <w:sz w:val="18"/>
          <w:szCs w:val="18"/>
        </w:rPr>
        <w:t>ystem and purchasing equipment in 2014</w:t>
      </w:r>
      <w:r>
        <w:rPr>
          <w:sz w:val="18"/>
          <w:szCs w:val="18"/>
        </w:rPr>
        <w:noBreakHyphen/>
        <w:t xml:space="preserve">15. </w:t>
      </w:r>
      <w:r w:rsidRPr="004F5BBD">
        <w:rPr>
          <w:sz w:val="18"/>
          <w:szCs w:val="18"/>
        </w:rPr>
        <w:t>The reduction in the estimated total cost</w:t>
      </w:r>
      <w:r>
        <w:rPr>
          <w:sz w:val="18"/>
          <w:szCs w:val="18"/>
        </w:rPr>
        <w:t xml:space="preserve"> since the publication of the 2013</w:t>
      </w:r>
      <w:r>
        <w:rPr>
          <w:sz w:val="18"/>
          <w:szCs w:val="18"/>
        </w:rPr>
        <w:noBreakHyphen/>
        <w:t>14 Annual Report</w:t>
      </w:r>
      <w:r w:rsidRPr="004F5BBD">
        <w:rPr>
          <w:sz w:val="18"/>
          <w:szCs w:val="18"/>
        </w:rPr>
        <w:t xml:space="preserve"> is due to $740 000 of unspent funding being redirected to recurrent activities in 2014-15.</w:t>
      </w:r>
    </w:p>
    <w:p w:rsidR="00091543" w:rsidRPr="009E1942" w:rsidRDefault="00091543" w:rsidP="00091543">
      <w:pPr>
        <w:pStyle w:val="ListParagraph"/>
        <w:numPr>
          <w:ilvl w:val="0"/>
          <w:numId w:val="45"/>
        </w:numPr>
        <w:ind w:left="567" w:hanging="567"/>
        <w:rPr>
          <w:sz w:val="18"/>
          <w:szCs w:val="18"/>
        </w:rPr>
      </w:pPr>
      <w:r w:rsidRPr="009E1942">
        <w:rPr>
          <w:sz w:val="18"/>
          <w:szCs w:val="18"/>
        </w:rPr>
        <w:t>The National Health and Hospitals Network – Emergency Department – Royal Hobart Hospital project experienced delays in acquisition of</w:t>
      </w:r>
      <w:r>
        <w:rPr>
          <w:sz w:val="18"/>
          <w:szCs w:val="18"/>
        </w:rPr>
        <w:t xml:space="preserve"> Emergency Department equipment in 2014</w:t>
      </w:r>
      <w:r>
        <w:rPr>
          <w:sz w:val="18"/>
          <w:szCs w:val="18"/>
        </w:rPr>
        <w:noBreakHyphen/>
        <w:t>15.</w:t>
      </w:r>
      <w:r w:rsidRPr="009E1942">
        <w:rPr>
          <w:sz w:val="18"/>
          <w:szCs w:val="18"/>
        </w:rPr>
        <w:t xml:space="preserve"> The reduction in estimated total cost</w:t>
      </w:r>
      <w:r>
        <w:rPr>
          <w:sz w:val="18"/>
          <w:szCs w:val="18"/>
        </w:rPr>
        <w:t xml:space="preserve"> since the publication of the 2013</w:t>
      </w:r>
      <w:r>
        <w:rPr>
          <w:sz w:val="18"/>
          <w:szCs w:val="18"/>
        </w:rPr>
        <w:noBreakHyphen/>
        <w:t>14 Annual Report</w:t>
      </w:r>
      <w:r w:rsidRPr="009E1942">
        <w:rPr>
          <w:sz w:val="18"/>
          <w:szCs w:val="18"/>
        </w:rPr>
        <w:t xml:space="preserve"> is due to $360 000 of unspent funding being redirected to recurrent activities in 2014-15.</w:t>
      </w:r>
    </w:p>
    <w:p w:rsidR="00091543" w:rsidRPr="009E1942" w:rsidRDefault="00091543" w:rsidP="00091543">
      <w:pPr>
        <w:pStyle w:val="ListParagraph"/>
        <w:numPr>
          <w:ilvl w:val="0"/>
          <w:numId w:val="45"/>
        </w:numPr>
        <w:ind w:left="567" w:hanging="567"/>
        <w:rPr>
          <w:sz w:val="18"/>
          <w:szCs w:val="18"/>
        </w:rPr>
      </w:pPr>
      <w:r w:rsidRPr="009E1942">
        <w:rPr>
          <w:sz w:val="18"/>
          <w:szCs w:val="18"/>
        </w:rPr>
        <w:t>The increase in estimated total cost</w:t>
      </w:r>
      <w:r>
        <w:rPr>
          <w:sz w:val="18"/>
          <w:szCs w:val="18"/>
        </w:rPr>
        <w:t xml:space="preserve"> since the publication of the 2013</w:t>
      </w:r>
      <w:r>
        <w:rPr>
          <w:sz w:val="18"/>
          <w:szCs w:val="18"/>
        </w:rPr>
        <w:noBreakHyphen/>
        <w:t>14 Annual Report</w:t>
      </w:r>
      <w:r w:rsidRPr="009E1942">
        <w:rPr>
          <w:sz w:val="18"/>
          <w:szCs w:val="18"/>
        </w:rPr>
        <w:t xml:space="preserve"> for the Ravenswood Community Health Centre reflects a contribution of $250 000 from</w:t>
      </w:r>
      <w:r>
        <w:rPr>
          <w:sz w:val="18"/>
          <w:szCs w:val="18"/>
        </w:rPr>
        <w:t xml:space="preserve"> Oral Health within</w:t>
      </w:r>
      <w:r w:rsidRPr="009E1942">
        <w:rPr>
          <w:sz w:val="18"/>
          <w:szCs w:val="18"/>
        </w:rPr>
        <w:t xml:space="preserve"> THO – South in 2014-15.</w:t>
      </w:r>
    </w:p>
    <w:p w:rsidR="00091543" w:rsidRPr="008E2E6A" w:rsidRDefault="00091543" w:rsidP="00091543">
      <w:pPr>
        <w:pStyle w:val="ListParagraph"/>
        <w:numPr>
          <w:ilvl w:val="0"/>
          <w:numId w:val="45"/>
        </w:numPr>
        <w:ind w:left="567" w:hanging="567"/>
        <w:rPr>
          <w:rFonts w:cs="Arial"/>
          <w:sz w:val="18"/>
          <w:szCs w:val="18"/>
          <w:lang w:eastAsia="en-AU"/>
        </w:rPr>
      </w:pPr>
      <w:r w:rsidRPr="009E1942">
        <w:rPr>
          <w:sz w:val="18"/>
          <w:szCs w:val="18"/>
        </w:rPr>
        <w:t xml:space="preserve">The Royal Hobart Hospital Redevelopment Project has been extended as a result of the outcome of the RHH Redevelopment Rescue Taskforce Report. </w:t>
      </w:r>
      <w:r>
        <w:rPr>
          <w:sz w:val="18"/>
          <w:szCs w:val="18"/>
        </w:rPr>
        <w:t xml:space="preserve">This component of the Redevelopment project is funded by the State through the Hospitals Capital Fund. </w:t>
      </w:r>
    </w:p>
    <w:p w:rsidR="00091543" w:rsidRPr="008E2E6A" w:rsidRDefault="00091543" w:rsidP="00091543">
      <w:pPr>
        <w:pStyle w:val="ListParagraph"/>
        <w:numPr>
          <w:ilvl w:val="0"/>
          <w:numId w:val="45"/>
        </w:numPr>
        <w:ind w:left="567" w:hanging="567"/>
        <w:rPr>
          <w:rFonts w:cs="Arial"/>
          <w:sz w:val="18"/>
          <w:szCs w:val="18"/>
          <w:lang w:eastAsia="en-AU"/>
        </w:rPr>
      </w:pPr>
      <w:r w:rsidRPr="009E1942">
        <w:rPr>
          <w:sz w:val="18"/>
          <w:szCs w:val="18"/>
        </w:rPr>
        <w:t xml:space="preserve">The estimated total cost of </w:t>
      </w:r>
      <w:r>
        <w:rPr>
          <w:sz w:val="18"/>
          <w:szCs w:val="18"/>
        </w:rPr>
        <w:t xml:space="preserve">this component of the RHH Redevelopment </w:t>
      </w:r>
      <w:r w:rsidRPr="009E1942">
        <w:rPr>
          <w:sz w:val="18"/>
          <w:szCs w:val="18"/>
        </w:rPr>
        <w:t xml:space="preserve"> project</w:t>
      </w:r>
      <w:r>
        <w:rPr>
          <w:sz w:val="18"/>
          <w:szCs w:val="18"/>
        </w:rPr>
        <w:t xml:space="preserve"> is $536.9 million</w:t>
      </w:r>
      <w:r w:rsidRPr="009E1942">
        <w:rPr>
          <w:sz w:val="18"/>
          <w:szCs w:val="18"/>
        </w:rPr>
        <w:t xml:space="preserve"> </w:t>
      </w:r>
      <w:r>
        <w:rPr>
          <w:sz w:val="18"/>
          <w:szCs w:val="18"/>
        </w:rPr>
        <w:t xml:space="preserve">which </w:t>
      </w:r>
      <w:r w:rsidRPr="009E1942">
        <w:rPr>
          <w:sz w:val="18"/>
          <w:szCs w:val="18"/>
        </w:rPr>
        <w:t xml:space="preserve">reflects </w:t>
      </w:r>
      <w:r>
        <w:rPr>
          <w:sz w:val="18"/>
          <w:szCs w:val="18"/>
        </w:rPr>
        <w:t>$340 million of Australian Government Funding and $196.9 million of</w:t>
      </w:r>
      <w:r w:rsidRPr="009E1942">
        <w:rPr>
          <w:sz w:val="18"/>
          <w:szCs w:val="18"/>
        </w:rPr>
        <w:t xml:space="preserve"> State Government </w:t>
      </w:r>
      <w:r>
        <w:rPr>
          <w:sz w:val="18"/>
          <w:szCs w:val="18"/>
        </w:rPr>
        <w:t xml:space="preserve">funding. The State commitment includes the additional State Government </w:t>
      </w:r>
      <w:r w:rsidRPr="009E1942">
        <w:rPr>
          <w:sz w:val="18"/>
          <w:szCs w:val="18"/>
        </w:rPr>
        <w:t>commitment of $71.9 million to this project</w:t>
      </w:r>
      <w:r>
        <w:rPr>
          <w:sz w:val="18"/>
          <w:szCs w:val="18"/>
        </w:rPr>
        <w:t xml:space="preserve"> announced in 2014-15 as a result of the outcome of the RHH Redevelopment Rescue Taskforce Report.</w:t>
      </w:r>
    </w:p>
    <w:p w:rsidR="00091543" w:rsidRPr="009E1942" w:rsidRDefault="00091543" w:rsidP="00091543">
      <w:pPr>
        <w:pStyle w:val="ListParagraph"/>
        <w:numPr>
          <w:ilvl w:val="0"/>
          <w:numId w:val="45"/>
        </w:numPr>
        <w:ind w:left="567" w:hanging="567"/>
        <w:rPr>
          <w:rFonts w:cs="Arial"/>
          <w:sz w:val="18"/>
          <w:szCs w:val="18"/>
          <w:lang w:eastAsia="en-AU"/>
        </w:rPr>
      </w:pPr>
      <w:r>
        <w:rPr>
          <w:sz w:val="18"/>
          <w:szCs w:val="18"/>
        </w:rPr>
        <w:t>The total Australian Government commitment to the Statewide Cancer Services project is $36.3 million, with $23.9 million funded by the State and $2.8 million provided through donations.</w:t>
      </w:r>
    </w:p>
    <w:p w:rsidR="00091543" w:rsidRPr="00601444" w:rsidRDefault="00091543" w:rsidP="00091543">
      <w:pPr>
        <w:pStyle w:val="ListParagraph"/>
        <w:numPr>
          <w:ilvl w:val="0"/>
          <w:numId w:val="45"/>
        </w:numPr>
        <w:ind w:left="567" w:hanging="567"/>
        <w:rPr>
          <w:rFonts w:cs="Arial"/>
          <w:sz w:val="18"/>
          <w:szCs w:val="18"/>
          <w:lang w:eastAsia="en-AU"/>
        </w:rPr>
      </w:pPr>
      <w:r w:rsidRPr="009E1942">
        <w:rPr>
          <w:sz w:val="18"/>
          <w:szCs w:val="18"/>
        </w:rPr>
        <w:t>This figure differs in the 2013-14 Annual Report due to a rounding error. This has been corrected in thi</w:t>
      </w:r>
      <w:r>
        <w:rPr>
          <w:sz w:val="18"/>
          <w:szCs w:val="18"/>
        </w:rPr>
        <w:t>s</w:t>
      </w:r>
      <w:r w:rsidRPr="009E1942">
        <w:rPr>
          <w:sz w:val="18"/>
          <w:szCs w:val="18"/>
        </w:rPr>
        <w:t xml:space="preserve"> Annual Report.</w:t>
      </w:r>
    </w:p>
    <w:p w:rsidR="00091543" w:rsidRPr="00702770" w:rsidRDefault="00091543" w:rsidP="00091543">
      <w:pPr>
        <w:pStyle w:val="ListParagraph"/>
        <w:numPr>
          <w:ilvl w:val="0"/>
          <w:numId w:val="45"/>
        </w:numPr>
        <w:ind w:left="567" w:hanging="567"/>
        <w:rPr>
          <w:rFonts w:cs="Arial"/>
          <w:sz w:val="18"/>
          <w:szCs w:val="18"/>
          <w:lang w:eastAsia="en-AU"/>
        </w:rPr>
      </w:pPr>
      <w:r>
        <w:rPr>
          <w:sz w:val="18"/>
          <w:szCs w:val="18"/>
        </w:rPr>
        <w:t>The Australian Government funded $1.0 million of the total cost of the Trinity Hill project.</w:t>
      </w:r>
    </w:p>
    <w:p w:rsidR="00C601E8" w:rsidRDefault="00C601E8" w:rsidP="00C601E8"/>
    <w:p w:rsidR="003F74D2" w:rsidRPr="001B05C8" w:rsidRDefault="003F74D2" w:rsidP="00C601E8">
      <w:pPr>
        <w:sectPr w:rsidR="003F74D2" w:rsidRPr="001B05C8" w:rsidSect="00CB41D0">
          <w:type w:val="continuous"/>
          <w:pgSz w:w="11906" w:h="16838" w:code="9"/>
          <w:pgMar w:top="907" w:right="1134" w:bottom="720" w:left="1134" w:header="709" w:footer="709" w:gutter="0"/>
          <w:cols w:space="708"/>
          <w:docGrid w:linePitch="360"/>
        </w:sectPr>
      </w:pPr>
    </w:p>
    <w:p w:rsidR="00043E2F" w:rsidRDefault="00043E2F">
      <w:pPr>
        <w:tabs>
          <w:tab w:val="clear" w:pos="567"/>
        </w:tabs>
        <w:spacing w:after="200" w:line="276" w:lineRule="auto"/>
      </w:pPr>
      <w:r>
        <w:lastRenderedPageBreak/>
        <w:br w:type="page"/>
      </w:r>
    </w:p>
    <w:p w:rsidR="00C601E8" w:rsidRPr="001B05C8" w:rsidRDefault="00C601E8" w:rsidP="00C601E8">
      <w:pPr>
        <w:rPr>
          <w:b/>
          <w:i/>
        </w:rPr>
      </w:pPr>
      <w:r w:rsidRPr="001B05C8">
        <w:lastRenderedPageBreak/>
        <w:t>In addition to the management of the essential maintenance program and the majority of the capital works projects for the</w:t>
      </w:r>
      <w:r w:rsidR="00747547">
        <w:t xml:space="preserve"> TH</w:t>
      </w:r>
      <w:r w:rsidR="00E75FAD">
        <w:t>Os</w:t>
      </w:r>
      <w:r w:rsidRPr="001B05C8">
        <w:t xml:space="preserve">, AMS provided assistance to Disability and Community Services (DCS) in managing their Neighbourhood House Upgrades program across Tasmania.  </w:t>
      </w:r>
      <w:r w:rsidR="00E75FAD">
        <w:br/>
      </w:r>
      <w:r w:rsidRPr="001B05C8">
        <w:lastRenderedPageBreak/>
        <w:t>A </w:t>
      </w:r>
      <w:r w:rsidRPr="00937E18">
        <w:t>$6</w:t>
      </w:r>
      <w:r w:rsidR="00937E18" w:rsidRPr="00937E18">
        <w:t>15</w:t>
      </w:r>
      <w:r w:rsidRPr="00937E18">
        <w:t> 000</w:t>
      </w:r>
      <w:r w:rsidRPr="001B05C8">
        <w:t xml:space="preserve"> Minor Rural Works Capital Program included a refurbishment of reception and waiting areas to support the staff and community members at a number of rural sites including Wynyard and Oatlands was also undertake</w:t>
      </w:r>
      <w:r w:rsidR="00747547">
        <w:t>n</w:t>
      </w:r>
      <w:r w:rsidRPr="001B05C8">
        <w:t xml:space="preserve"> in 2014-15.</w:t>
      </w:r>
    </w:p>
    <w:p w:rsidR="00C601E8" w:rsidRDefault="00C601E8" w:rsidP="00C601E8">
      <w:pPr>
        <w:pStyle w:val="Heading3"/>
        <w:sectPr w:rsidR="00C601E8" w:rsidSect="00C601E8">
          <w:type w:val="continuous"/>
          <w:pgSz w:w="11906" w:h="16838" w:code="9"/>
          <w:pgMar w:top="907" w:right="1134" w:bottom="720" w:left="1134" w:header="709" w:footer="709" w:gutter="0"/>
          <w:cols w:num="2" w:space="708"/>
          <w:docGrid w:linePitch="360"/>
        </w:sectPr>
      </w:pPr>
    </w:p>
    <w:p w:rsidR="00C601E8" w:rsidRPr="00C601E8" w:rsidRDefault="00C601E8" w:rsidP="00C601E8">
      <w:pPr>
        <w:pStyle w:val="Heading3"/>
      </w:pPr>
      <w:r w:rsidRPr="00C601E8">
        <w:lastRenderedPageBreak/>
        <w:t>Royal Hobart Hospital Redevelopment</w:t>
      </w:r>
    </w:p>
    <w:p w:rsidR="00C601E8" w:rsidRPr="001B05C8" w:rsidRDefault="00C601E8" w:rsidP="00C601E8">
      <w:pPr>
        <w:sectPr w:rsidR="00C601E8" w:rsidRPr="001B05C8" w:rsidSect="00CB41D0">
          <w:type w:val="continuous"/>
          <w:pgSz w:w="11906" w:h="16838" w:code="9"/>
          <w:pgMar w:top="907" w:right="1134" w:bottom="720" w:left="1134" w:header="709" w:footer="709" w:gutter="0"/>
          <w:cols w:space="708"/>
          <w:docGrid w:linePitch="360"/>
        </w:sectPr>
      </w:pPr>
    </w:p>
    <w:p w:rsidR="00C601E8" w:rsidRPr="001B05C8" w:rsidRDefault="00C601E8" w:rsidP="00C601E8">
      <w:r w:rsidRPr="001B05C8">
        <w:lastRenderedPageBreak/>
        <w:t>The Royal Hobart Hospital (the RHH) has been serving Tasmanians for almost 200 years.  Redeveloping and expanding the site is integral to ensuring the hospital can continue to meet the changing health needs of our community.</w:t>
      </w:r>
    </w:p>
    <w:p w:rsidR="00C601E8" w:rsidRPr="001B05C8" w:rsidRDefault="00C601E8" w:rsidP="00C601E8">
      <w:r w:rsidRPr="001B05C8">
        <w:t xml:space="preserve">It is increasingly difficult to provide contemporary health services at the RHH due to the condition and configuration of the current buildings. </w:t>
      </w:r>
      <w:r w:rsidR="00C222F0">
        <w:t xml:space="preserve">Some </w:t>
      </w:r>
      <w:r w:rsidRPr="001B05C8">
        <w:t>of the hospital’s buildings are near</w:t>
      </w:r>
      <w:r w:rsidR="00C222F0">
        <w:t>ing</w:t>
      </w:r>
      <w:r w:rsidRPr="001B05C8">
        <w:t xml:space="preserve"> the end of their functional life.</w:t>
      </w:r>
    </w:p>
    <w:p w:rsidR="00C601E8" w:rsidRPr="001B05C8" w:rsidRDefault="00C601E8" w:rsidP="00C601E8">
      <w:r w:rsidRPr="001B05C8">
        <w:t>On 7 May 2014, in a Ministerial Statement to Parliament, the Minister for Health announced the formation of the RHH Redevelopment Rescue Taskforce (the Taskforce).</w:t>
      </w:r>
    </w:p>
    <w:p w:rsidR="00C601E8" w:rsidRPr="001B05C8" w:rsidRDefault="00C601E8" w:rsidP="00C601E8">
      <w:r w:rsidRPr="001B05C8">
        <w:t>The role of the Taskforce was to undertake a process of review, investigation and refinement of the RHH Redevelopment Project and provide advice and recommendations to the Minister for Health on its future.</w:t>
      </w:r>
    </w:p>
    <w:p w:rsidR="00C601E8" w:rsidRPr="001B05C8" w:rsidRDefault="00C601E8" w:rsidP="00C601E8">
      <w:r w:rsidRPr="001B05C8">
        <w:t xml:space="preserve">The Taskforce submitted </w:t>
      </w:r>
      <w:r w:rsidR="00433A3C">
        <w:t>its</w:t>
      </w:r>
      <w:r w:rsidRPr="001B05C8">
        <w:t xml:space="preserve"> final report to the Tasmanian Government on 28 November 2014.</w:t>
      </w:r>
    </w:p>
    <w:p w:rsidR="00C601E8" w:rsidRPr="001B05C8" w:rsidRDefault="00C601E8" w:rsidP="00C601E8">
      <w:r w:rsidRPr="001B05C8">
        <w:t>The Tasmanian Government accepted all 13 recommendations made by the Taskforce including:</w:t>
      </w:r>
    </w:p>
    <w:p w:rsidR="00C601E8" w:rsidRPr="001B05C8" w:rsidRDefault="00C601E8" w:rsidP="00C601E8">
      <w:pPr>
        <w:pStyle w:val="Bullet1"/>
      </w:pPr>
      <w:r w:rsidRPr="001B05C8">
        <w:t>the addition of a crucial helipad on the roof of the new inpatient facility (known as K</w:t>
      </w:r>
      <w:r w:rsidRPr="001B05C8">
        <w:noBreakHyphen/>
        <w:t>Block)</w:t>
      </w:r>
    </w:p>
    <w:p w:rsidR="00C601E8" w:rsidRPr="001B05C8" w:rsidRDefault="00C601E8" w:rsidP="00C601E8">
      <w:pPr>
        <w:pStyle w:val="Bullet1"/>
      </w:pPr>
      <w:r w:rsidRPr="001B05C8">
        <w:t>a re-design of levels 2 and 3 of K-Block to enable contemporary standards of care and access to outdoor areas for mental health patients and</w:t>
      </w:r>
    </w:p>
    <w:p w:rsidR="00C601E8" w:rsidRPr="001B05C8" w:rsidRDefault="00C601E8" w:rsidP="00C601E8">
      <w:pPr>
        <w:pStyle w:val="Bullet1"/>
      </w:pPr>
      <w:r w:rsidRPr="001B05C8">
        <w:t>the accelerated replacement of the Hyperbaric Chamber which is approaching the end of its functional life.</w:t>
      </w:r>
    </w:p>
    <w:p w:rsidR="00C601E8" w:rsidRPr="001B05C8" w:rsidRDefault="00C601E8" w:rsidP="00C601E8">
      <w:r w:rsidRPr="001B05C8">
        <w:lastRenderedPageBreak/>
        <w:t>Early demolition works have commenced and decanting and refurbishment works are underway.</w:t>
      </w:r>
    </w:p>
    <w:p w:rsidR="00C601E8" w:rsidRPr="001B05C8" w:rsidRDefault="00C601E8" w:rsidP="00C601E8">
      <w:r w:rsidRPr="001B05C8">
        <w:t>All decanting and refurbishment works are due to be completed by April 2016.</w:t>
      </w:r>
    </w:p>
    <w:p w:rsidR="00C601E8" w:rsidRPr="001B05C8" w:rsidRDefault="00C601E8" w:rsidP="00C601E8">
      <w:r w:rsidRPr="001B05C8">
        <w:t>A temporary facility will be located in the Liverpool Street forecourt to house acute mental health patients on-site during the construction of K-Block.  The facility is being built off-site and is expected to be installed by the end of 2015.</w:t>
      </w:r>
    </w:p>
    <w:p w:rsidR="00C601E8" w:rsidRPr="001B05C8" w:rsidRDefault="00C601E8" w:rsidP="00C601E8">
      <w:r w:rsidRPr="001B05C8">
        <w:t>The demolition of B-Block (located on Campbell Street) will commence in April next year and will take approximately three months.</w:t>
      </w:r>
    </w:p>
    <w:p w:rsidR="00C601E8" w:rsidRPr="001B05C8" w:rsidRDefault="00C601E8" w:rsidP="00C601E8">
      <w:r w:rsidRPr="001B05C8">
        <w:t>Following the demolition of B-Block, the construction of K-Block can commence.  Construction of K-Block is expected to be completed by the end of 2018.</w:t>
      </w:r>
    </w:p>
    <w:p w:rsidR="00C601E8" w:rsidRPr="001B05C8" w:rsidRDefault="00C601E8" w:rsidP="00C601E8">
      <w:r w:rsidRPr="001B05C8">
        <w:t>There are significant benefits of the RHH Redevelopment including improved patient care and operating efficiencies resulting from bringing together services in ‘precincts’ such as: women’s, adolescents and children’s services; mental health services; medical services; and surgical services.</w:t>
      </w:r>
    </w:p>
    <w:p w:rsidR="00C601E8" w:rsidRPr="001B05C8" w:rsidRDefault="00C601E8" w:rsidP="00C601E8">
      <w:r w:rsidRPr="001B05C8">
        <w:t>In addition, a redeveloped RHH will enhance health outcomes and provide improved patient amenity via modern clinical facilities where contemporary models of care can be practiced.</w:t>
      </w:r>
    </w:p>
    <w:p w:rsidR="00C601E8" w:rsidRPr="001B05C8" w:rsidRDefault="00C601E8" w:rsidP="00C601E8">
      <w:r w:rsidRPr="00CD0FD6">
        <w:t>The Australian and Tasmanian Governments have now committed a total of $657.9 million to the RHH Redevelopment Project.</w:t>
      </w:r>
    </w:p>
    <w:p w:rsidR="00C601E8" w:rsidRPr="001B05C8" w:rsidRDefault="00C601E8" w:rsidP="00C601E8">
      <w:r w:rsidRPr="001B05C8">
        <w:t>This substantial investment provides an opportunity to transform Australia’s second oldest hospital so that it can deliver health services to Tasmanians into the future.</w:t>
      </w:r>
    </w:p>
    <w:p w:rsidR="00C601E8" w:rsidRPr="001B05C8" w:rsidRDefault="00C601E8" w:rsidP="00C601E8">
      <w:pPr>
        <w:pStyle w:val="Heading3"/>
        <w:sectPr w:rsidR="00C601E8" w:rsidRPr="001B05C8" w:rsidSect="00CB41D0">
          <w:type w:val="continuous"/>
          <w:pgSz w:w="11906" w:h="16838" w:code="9"/>
          <w:pgMar w:top="907" w:right="1134" w:bottom="720" w:left="1134" w:header="709" w:footer="709" w:gutter="0"/>
          <w:cols w:num="2" w:space="708"/>
          <w:docGrid w:linePitch="360"/>
        </w:sectPr>
      </w:pPr>
    </w:p>
    <w:p w:rsidR="003F74D2" w:rsidRDefault="003F74D2">
      <w:pPr>
        <w:tabs>
          <w:tab w:val="clear" w:pos="567"/>
        </w:tabs>
        <w:spacing w:after="200" w:line="276" w:lineRule="auto"/>
        <w:rPr>
          <w:rFonts w:eastAsiaTheme="majorEastAsia" w:cstheme="majorBidi"/>
          <w:b/>
          <w:bCs/>
          <w:sz w:val="28"/>
        </w:rPr>
      </w:pPr>
      <w:r>
        <w:lastRenderedPageBreak/>
        <w:br w:type="page"/>
      </w:r>
    </w:p>
    <w:p w:rsidR="00C601E8" w:rsidRPr="001B05C8" w:rsidRDefault="00C601E8" w:rsidP="00C601E8">
      <w:pPr>
        <w:pStyle w:val="Heading3"/>
      </w:pPr>
      <w:r w:rsidRPr="001B05C8">
        <w:lastRenderedPageBreak/>
        <w:t xml:space="preserve">Housing Tasmania </w:t>
      </w:r>
    </w:p>
    <w:p w:rsidR="00C601E8" w:rsidRPr="001B05C8" w:rsidRDefault="00C601E8" w:rsidP="00C601E8">
      <w:pPr>
        <w:sectPr w:rsidR="00C601E8" w:rsidRPr="001B05C8" w:rsidSect="00CB41D0">
          <w:type w:val="continuous"/>
          <w:pgSz w:w="11906" w:h="16838" w:code="9"/>
          <w:pgMar w:top="907" w:right="1134" w:bottom="720" w:left="1134" w:header="709" w:footer="709" w:gutter="0"/>
          <w:cols w:space="708"/>
          <w:docGrid w:linePitch="360"/>
        </w:sectPr>
      </w:pPr>
    </w:p>
    <w:p w:rsidR="00C601E8" w:rsidRPr="001B05C8" w:rsidRDefault="00C601E8" w:rsidP="00C601E8">
      <w:r w:rsidRPr="001B05C8">
        <w:lastRenderedPageBreak/>
        <w:t>Housing Tasmania manages its assets at both a strategic and operational level to ensure the portfolio meets the current and future needs of Tasmanians in need of housing support.</w:t>
      </w:r>
    </w:p>
    <w:p w:rsidR="0070310B" w:rsidRDefault="00C601E8" w:rsidP="00C601E8">
      <w:r w:rsidRPr="001B05C8">
        <w:t>In 2014-15, there was</w:t>
      </w:r>
      <w:r w:rsidR="00747547">
        <w:t xml:space="preserve"> a total debt write-off of </w:t>
      </w:r>
      <w:r w:rsidR="00091543">
        <w:t>$840 000</w:t>
      </w:r>
      <w:r w:rsidRPr="001B05C8">
        <w:t xml:space="preserve"> for Housing Tasmania.  In accordance with the </w:t>
      </w:r>
      <w:r>
        <w:t>DHHS</w:t>
      </w:r>
      <w:r w:rsidRPr="001B05C8">
        <w:t xml:space="preserve">’ delegation requirements, any debts that were greater than $10 000 were authorised by the Minister for Human Services with the remainder being authorised by the Department of Health and Human Services’ Chief Financial Officer.  It should be noted that while “written-off”, these accounts are still able to be recovered should the client choose to re-enter the public housing system. </w:t>
      </w:r>
    </w:p>
    <w:p w:rsidR="00C601E8" w:rsidRPr="001B05C8" w:rsidRDefault="00C601E8" w:rsidP="00C601E8">
      <w:r w:rsidRPr="001B05C8">
        <w:t xml:space="preserve">A system is maintained to support present policy and maximise recovery. </w:t>
      </w:r>
    </w:p>
    <w:p w:rsidR="00C601E8" w:rsidRPr="001B05C8" w:rsidRDefault="00C601E8" w:rsidP="00C601E8">
      <w:r w:rsidRPr="001B05C8">
        <w:t xml:space="preserve">Housing Tasmania had a total of </w:t>
      </w:r>
      <w:r>
        <w:t>six</w:t>
      </w:r>
      <w:r w:rsidRPr="001B05C8">
        <w:t xml:space="preserve"> stand-alone properties demolished in 2014-15, resulting in a total loss of </w:t>
      </w:r>
      <w:r w:rsidR="00091543" w:rsidRPr="001B05C8">
        <w:t>$</w:t>
      </w:r>
      <w:r w:rsidR="00091543">
        <w:t>610 000</w:t>
      </w:r>
      <w:r w:rsidRPr="001B05C8">
        <w:t xml:space="preserve">. This loss was recognised directly against the revaluation reserve. There was also </w:t>
      </w:r>
      <w:r>
        <w:t>one</w:t>
      </w:r>
      <w:r w:rsidRPr="001B05C8">
        <w:t xml:space="preserve"> unit within a complex demolished however this will be repaired to its full value and so no loss is recognised. </w:t>
      </w:r>
    </w:p>
    <w:p w:rsidR="00C601E8" w:rsidRPr="001B05C8" w:rsidRDefault="00C601E8" w:rsidP="00C601E8">
      <w:r w:rsidRPr="001B05C8">
        <w:t xml:space="preserve">Housing Tasmania sold </w:t>
      </w:r>
      <w:r>
        <w:t xml:space="preserve">four </w:t>
      </w:r>
      <w:r w:rsidRPr="001B05C8">
        <w:t>lots of vacant land during 2014-15 with a total carr</w:t>
      </w:r>
      <w:r w:rsidR="00747547">
        <w:t>ying value of</w:t>
      </w:r>
      <w:r w:rsidR="00091543">
        <w:t>$140 000</w:t>
      </w:r>
      <w:r w:rsidRPr="001B05C8">
        <w:t xml:space="preserve"> million. In addition, 54 properties were sold with a total carrying value of $10.86 million. </w:t>
      </w:r>
    </w:p>
    <w:p w:rsidR="00C601E8" w:rsidRPr="001B05C8" w:rsidRDefault="00C601E8" w:rsidP="00C601E8">
      <w:pPr>
        <w:pStyle w:val="Heading3"/>
        <w:rPr>
          <w:i/>
        </w:rPr>
      </w:pPr>
      <w:r w:rsidRPr="001B05C8">
        <w:t xml:space="preserve">Better Housing </w:t>
      </w:r>
      <w:r w:rsidRPr="001B05C8">
        <w:rPr>
          <w:i/>
        </w:rPr>
        <w:t xml:space="preserve">Futures </w:t>
      </w:r>
    </w:p>
    <w:p w:rsidR="00C601E8" w:rsidRPr="001B05C8" w:rsidRDefault="00C601E8" w:rsidP="00C601E8">
      <w:r w:rsidRPr="001B05C8">
        <w:t xml:space="preserve">Under the </w:t>
      </w:r>
      <w:r w:rsidRPr="00747547">
        <w:t>Better Housing</w:t>
      </w:r>
      <w:r w:rsidRPr="001B05C8">
        <w:rPr>
          <w:i/>
        </w:rPr>
        <w:t xml:space="preserve"> Futures </w:t>
      </w:r>
      <w:r w:rsidRPr="001B05C8">
        <w:t>(BHF) stock transfer program, the final portfolio of 1</w:t>
      </w:r>
      <w:r w:rsidR="00433A3C" w:rsidRPr="00433A3C">
        <w:rPr>
          <w:sz w:val="6"/>
        </w:rPr>
        <w:t> </w:t>
      </w:r>
      <w:r w:rsidRPr="001B05C8">
        <w:t xml:space="preserve">197 properties transferred to Community Housing Limited for management. Situated in the north of the State, the properties were located in the suburbs of Mayfield, Mowbray, Ravenswood, Rocherlea and Waverley.  This concludes the final stage of the Better Housing </w:t>
      </w:r>
      <w:r w:rsidRPr="001B05C8">
        <w:rPr>
          <w:i/>
        </w:rPr>
        <w:t>Futures</w:t>
      </w:r>
      <w:r w:rsidRPr="001B05C8">
        <w:t xml:space="preserve"> program which has seen Tasmania become the only state to meet the national housing reform target to transfer 35</w:t>
      </w:r>
      <w:r w:rsidR="00433A3C">
        <w:t> per cent</w:t>
      </w:r>
      <w:r w:rsidRPr="001B05C8">
        <w:t xml:space="preserve"> of public housing stock to the community housing sect</w:t>
      </w:r>
      <w:r>
        <w:t>or.</w:t>
      </w:r>
    </w:p>
    <w:p w:rsidR="00C601E8" w:rsidRPr="001B05C8" w:rsidRDefault="00C601E8" w:rsidP="00C601E8">
      <w:r w:rsidRPr="001B05C8">
        <w:t xml:space="preserve">The transfer of the stock has been treated as a grant to the organisation for accounting purposes with the assets being taken off Housing Tasmania’s </w:t>
      </w:r>
      <w:r w:rsidRPr="001B05C8">
        <w:lastRenderedPageBreak/>
        <w:t>Balance Sheet and recorded within a Contingent Asset register.</w:t>
      </w:r>
    </w:p>
    <w:p w:rsidR="00C601E8" w:rsidRPr="001B05C8" w:rsidRDefault="00C601E8" w:rsidP="00C601E8">
      <w:r w:rsidRPr="001B05C8">
        <w:t>During the year</w:t>
      </w:r>
      <w:r>
        <w:t>, four</w:t>
      </w:r>
      <w:r w:rsidRPr="001B05C8">
        <w:t xml:space="preserve"> Better Housing </w:t>
      </w:r>
      <w:r w:rsidRPr="001B05C8">
        <w:rPr>
          <w:i/>
        </w:rPr>
        <w:t>Futures</w:t>
      </w:r>
      <w:r w:rsidRPr="001B05C8">
        <w:t xml:space="preserve"> stand-alone properties were demolished resu</w:t>
      </w:r>
      <w:r>
        <w:t xml:space="preserve">lting in a total loss of </w:t>
      </w:r>
      <w:r w:rsidR="00091543">
        <w:t>$360 000</w:t>
      </w:r>
      <w:r w:rsidRPr="001B05C8">
        <w:t xml:space="preserve"> and </w:t>
      </w:r>
      <w:r>
        <w:t>three</w:t>
      </w:r>
      <w:r w:rsidRPr="001B05C8">
        <w:t xml:space="preserve"> units within a complex, which are expected to be repaired.</w:t>
      </w:r>
    </w:p>
    <w:p w:rsidR="00C601E8" w:rsidRPr="001B05C8" w:rsidRDefault="00C601E8" w:rsidP="00C601E8">
      <w:pPr>
        <w:pStyle w:val="Heading3"/>
      </w:pPr>
      <w:r w:rsidRPr="001B05C8">
        <w:t>Church Street Youth Accommodation and Training Facility</w:t>
      </w:r>
    </w:p>
    <w:p w:rsidR="00C601E8" w:rsidRDefault="00C601E8" w:rsidP="00C601E8">
      <w:r w:rsidRPr="001B05C8">
        <w:t>Significant progress has been made on this project during 2014-15, with $7.3</w:t>
      </w:r>
      <w:r w:rsidR="00747547">
        <w:t>6</w:t>
      </w:r>
      <w:r w:rsidRPr="001B05C8">
        <w:t xml:space="preserve"> million (accrual) expended on constructing the new facility. The construction program is ahead of schedule, with the completion </w:t>
      </w:r>
      <w:r>
        <w:t>date brought forward to October </w:t>
      </w:r>
      <w:r w:rsidRPr="001B05C8">
        <w:t xml:space="preserve">2015.  </w:t>
      </w:r>
    </w:p>
    <w:p w:rsidR="00C601E8" w:rsidRPr="001B05C8" w:rsidRDefault="00C601E8" w:rsidP="00C601E8">
      <w:r w:rsidRPr="001B05C8">
        <w:t>When complete, the facility will provide tenants with stable, supported, long-term accommodation, which will enable them to access key services, to reconnect with their family and community and to focus on employment, education and training opportunities.  The facility has been designed to be completely accessible for people living with disability, and will provide sixteen units specifically for young people living with disability.</w:t>
      </w:r>
    </w:p>
    <w:p w:rsidR="00C601E8" w:rsidRPr="001B05C8" w:rsidRDefault="00C601E8" w:rsidP="00C601E8">
      <w:pPr>
        <w:pStyle w:val="Heading3"/>
      </w:pPr>
      <w:r w:rsidRPr="001B05C8">
        <w:t xml:space="preserve">Housing Program </w:t>
      </w:r>
    </w:p>
    <w:p w:rsidR="00C601E8" w:rsidRPr="001B05C8" w:rsidRDefault="00C601E8" w:rsidP="00C601E8">
      <w:pPr>
        <w:keepNext/>
      </w:pPr>
      <w:r w:rsidRPr="001B05C8">
        <w:t>During 2014-15, a total of 358 new affordable homes, and seven residential lots, were delivered at a total cost $36.25 million.</w:t>
      </w:r>
    </w:p>
    <w:p w:rsidR="00C601E8" w:rsidRPr="001B05C8" w:rsidRDefault="00C601E8" w:rsidP="00C601E8">
      <w:pPr>
        <w:keepNext/>
      </w:pPr>
      <w:r w:rsidRPr="001B05C8">
        <w:t>The breakdown of projects delivered under this program is:</w:t>
      </w:r>
    </w:p>
    <w:p w:rsidR="00C601E8" w:rsidRPr="001B05C8" w:rsidRDefault="00C601E8" w:rsidP="00C601E8">
      <w:pPr>
        <w:numPr>
          <w:ilvl w:val="0"/>
          <w:numId w:val="43"/>
        </w:numPr>
        <w:tabs>
          <w:tab w:val="clear" w:pos="567"/>
        </w:tabs>
        <w:ind w:left="567" w:hanging="567"/>
      </w:pPr>
      <w:r>
        <w:t>seven</w:t>
      </w:r>
      <w:r w:rsidRPr="001B05C8">
        <w:t xml:space="preserve"> affordable housing units in Launceston</w:t>
      </w:r>
    </w:p>
    <w:p w:rsidR="00C601E8" w:rsidRPr="001B05C8" w:rsidRDefault="00C601E8" w:rsidP="00C601E8">
      <w:pPr>
        <w:numPr>
          <w:ilvl w:val="0"/>
          <w:numId w:val="43"/>
        </w:numPr>
        <w:tabs>
          <w:tab w:val="clear" w:pos="567"/>
        </w:tabs>
        <w:ind w:left="567" w:hanging="567"/>
      </w:pPr>
      <w:r>
        <w:t>a</w:t>
      </w:r>
      <w:r w:rsidRPr="001B05C8">
        <w:t xml:space="preserve"> crisis accommodation facility for young women in the </w:t>
      </w:r>
      <w:r w:rsidR="00747547">
        <w:t>n</w:t>
      </w:r>
      <w:r w:rsidRPr="001B05C8">
        <w:t>orthern suburbs of Hobart</w:t>
      </w:r>
    </w:p>
    <w:p w:rsidR="00C601E8" w:rsidRPr="001B05C8" w:rsidRDefault="00C601E8" w:rsidP="00C601E8">
      <w:pPr>
        <w:numPr>
          <w:ilvl w:val="0"/>
          <w:numId w:val="43"/>
        </w:numPr>
        <w:tabs>
          <w:tab w:val="clear" w:pos="567"/>
        </w:tabs>
        <w:ind w:left="567" w:hanging="567"/>
      </w:pPr>
      <w:r>
        <w:t>two</w:t>
      </w:r>
      <w:r w:rsidRPr="001B05C8">
        <w:t xml:space="preserve"> affordable housing units for people living with disability in Rose Bay</w:t>
      </w:r>
    </w:p>
    <w:p w:rsidR="00C601E8" w:rsidRPr="001B05C8" w:rsidRDefault="00C601E8" w:rsidP="00C601E8">
      <w:pPr>
        <w:numPr>
          <w:ilvl w:val="0"/>
          <w:numId w:val="43"/>
        </w:numPr>
        <w:tabs>
          <w:tab w:val="clear" w:pos="567"/>
        </w:tabs>
        <w:ind w:left="567" w:hanging="567"/>
      </w:pPr>
      <w:r>
        <w:t>seven</w:t>
      </w:r>
      <w:r w:rsidRPr="001B05C8">
        <w:t xml:space="preserve"> affordable housing units for people living with disability in Devonport</w:t>
      </w:r>
    </w:p>
    <w:p w:rsidR="00C601E8" w:rsidRPr="001B05C8" w:rsidRDefault="00C601E8" w:rsidP="00C601E8">
      <w:pPr>
        <w:numPr>
          <w:ilvl w:val="0"/>
          <w:numId w:val="43"/>
        </w:numPr>
        <w:tabs>
          <w:tab w:val="clear" w:pos="567"/>
        </w:tabs>
        <w:ind w:left="567" w:hanging="567"/>
      </w:pPr>
      <w:r>
        <w:t>seven</w:t>
      </w:r>
      <w:r w:rsidRPr="001B05C8">
        <w:t xml:space="preserve"> affordable housing units for people living with disability in Glenorchy</w:t>
      </w:r>
    </w:p>
    <w:p w:rsidR="00C601E8" w:rsidRPr="001B05C8" w:rsidRDefault="00C601E8" w:rsidP="00C601E8">
      <w:pPr>
        <w:numPr>
          <w:ilvl w:val="0"/>
          <w:numId w:val="43"/>
        </w:numPr>
        <w:tabs>
          <w:tab w:val="clear" w:pos="567"/>
        </w:tabs>
        <w:ind w:left="567" w:hanging="567"/>
      </w:pPr>
      <w:r w:rsidRPr="001B05C8">
        <w:t xml:space="preserve">102 house and land packages sold though HomeShare </w:t>
      </w:r>
    </w:p>
    <w:p w:rsidR="00C601E8" w:rsidRPr="001B05C8" w:rsidRDefault="00C601E8" w:rsidP="00C601E8">
      <w:pPr>
        <w:numPr>
          <w:ilvl w:val="0"/>
          <w:numId w:val="43"/>
        </w:numPr>
        <w:tabs>
          <w:tab w:val="clear" w:pos="567"/>
        </w:tabs>
        <w:ind w:left="567" w:hanging="567"/>
      </w:pPr>
      <w:r>
        <w:t>two</w:t>
      </w:r>
      <w:r w:rsidRPr="001B05C8">
        <w:t xml:space="preserve"> affordable homes for the Aboriginal community on Cape Barren Island</w:t>
      </w:r>
    </w:p>
    <w:p w:rsidR="00C601E8" w:rsidRPr="001B05C8" w:rsidRDefault="00C601E8" w:rsidP="00C601E8">
      <w:pPr>
        <w:numPr>
          <w:ilvl w:val="0"/>
          <w:numId w:val="43"/>
        </w:numPr>
        <w:tabs>
          <w:tab w:val="clear" w:pos="567"/>
        </w:tabs>
        <w:ind w:left="567" w:hanging="567"/>
      </w:pPr>
      <w:r>
        <w:lastRenderedPageBreak/>
        <w:t>seven</w:t>
      </w:r>
      <w:r w:rsidRPr="001B05C8">
        <w:t xml:space="preserve"> residential lots at Lindisfarne</w:t>
      </w:r>
      <w:r>
        <w:t>, and</w:t>
      </w:r>
    </w:p>
    <w:p w:rsidR="00C601E8" w:rsidRPr="001B05C8" w:rsidRDefault="00C601E8" w:rsidP="00C601E8">
      <w:pPr>
        <w:numPr>
          <w:ilvl w:val="0"/>
          <w:numId w:val="43"/>
        </w:numPr>
        <w:tabs>
          <w:tab w:val="clear" w:pos="567"/>
        </w:tabs>
        <w:ind w:left="567" w:hanging="567"/>
        <w:rPr>
          <w:b/>
        </w:rPr>
      </w:pPr>
      <w:r w:rsidRPr="001B05C8">
        <w:t>230 affordable rental properties under the National Rental Affordability Scheme across Tasmania.</w:t>
      </w:r>
      <w:r w:rsidRPr="001B05C8">
        <w:rPr>
          <w:b/>
        </w:rPr>
        <w:t xml:space="preserve"> </w:t>
      </w:r>
    </w:p>
    <w:p w:rsidR="00C601E8" w:rsidRPr="001B05C8" w:rsidRDefault="00C601E8" w:rsidP="00C601E8">
      <w:pPr>
        <w:pStyle w:val="Heading3"/>
      </w:pPr>
      <w:r w:rsidRPr="001B05C8">
        <w:t>National Rental Affordability Scheme</w:t>
      </w:r>
    </w:p>
    <w:p w:rsidR="00C601E8" w:rsidRDefault="00C601E8" w:rsidP="00C601E8">
      <w:r w:rsidRPr="001B05C8">
        <w:t>Funding for the</w:t>
      </w:r>
      <w:r>
        <w:t xml:space="preserve"> delivery of Round 4 and Shovel </w:t>
      </w:r>
      <w:r w:rsidRPr="001B05C8">
        <w:t xml:space="preserve">Ready projects has seen the delivery </w:t>
      </w:r>
      <w:r>
        <w:t>of 230 </w:t>
      </w:r>
      <w:r w:rsidRPr="001B05C8">
        <w:t>new affordable rental properties delivered across Tasmania</w:t>
      </w:r>
      <w:r>
        <w:t xml:space="preserve"> in 2014-15.  Funding of $3.94 million </w:t>
      </w:r>
      <w:r w:rsidRPr="001B05C8">
        <w:t xml:space="preserve">has </w:t>
      </w:r>
      <w:r>
        <w:t>been allocated from the Housing </w:t>
      </w:r>
      <w:r w:rsidRPr="001B05C8">
        <w:t>Fund to support this program.  Support for these projects has also included the transfer the State</w:t>
      </w:r>
      <w:r>
        <w:t>-</w:t>
      </w:r>
      <w:r w:rsidRPr="001B05C8">
        <w:t xml:space="preserve">owned Jane Franklin Hall in South Hobart to the University of Tasmania at $9.25 million. </w:t>
      </w:r>
    </w:p>
    <w:p w:rsidR="00C601E8" w:rsidRPr="001B05C8" w:rsidRDefault="00C601E8" w:rsidP="00C601E8">
      <w:r w:rsidRPr="001B05C8">
        <w:t xml:space="preserve">This forms part of the states total in-kind support of $17.6 million towards the delivery of 770 student accommodation units at Hobart, Launceston and Burnie, with 220 already delivered in Burnie and Launceston, and a further 120 under construction at Inveresk and 430 under construction at Melville Street Hobart. </w:t>
      </w:r>
    </w:p>
    <w:p w:rsidR="00C601E8" w:rsidRPr="001B05C8" w:rsidRDefault="00C601E8" w:rsidP="00C601E8">
      <w:pPr>
        <w:pStyle w:val="Heading3"/>
      </w:pPr>
      <w:r w:rsidRPr="001B05C8">
        <w:t xml:space="preserve">Neighbourhood House Program </w:t>
      </w:r>
    </w:p>
    <w:p w:rsidR="00C601E8" w:rsidRPr="001B05C8" w:rsidRDefault="00C601E8" w:rsidP="00C601E8">
      <w:r w:rsidRPr="001B05C8">
        <w:t xml:space="preserve">Under the Neighbourhood House Capital Investment Program, $1.5 million was spent on the upgrade of the statewide network of Neighbourhood Hood Houses. Specifically: </w:t>
      </w:r>
    </w:p>
    <w:p w:rsidR="00C601E8" w:rsidRPr="001B05C8" w:rsidRDefault="00C601E8" w:rsidP="00C601E8">
      <w:pPr>
        <w:numPr>
          <w:ilvl w:val="0"/>
          <w:numId w:val="44"/>
        </w:numPr>
        <w:tabs>
          <w:tab w:val="clear" w:pos="567"/>
        </w:tabs>
        <w:ind w:left="567" w:hanging="567"/>
      </w:pPr>
      <w:r>
        <w:t>w</w:t>
      </w:r>
      <w:r w:rsidRPr="001B05C8">
        <w:t>orks were in p</w:t>
      </w:r>
      <w:r w:rsidR="00091543">
        <w:t>rogress at Rocherlea and Zeehan</w:t>
      </w:r>
    </w:p>
    <w:p w:rsidR="00C601E8" w:rsidRPr="001B05C8" w:rsidRDefault="00C601E8" w:rsidP="00C601E8">
      <w:pPr>
        <w:numPr>
          <w:ilvl w:val="0"/>
          <w:numId w:val="44"/>
        </w:numPr>
        <w:tabs>
          <w:tab w:val="clear" w:pos="567"/>
        </w:tabs>
        <w:ind w:left="567" w:hanging="567"/>
      </w:pPr>
      <w:r>
        <w:t>w</w:t>
      </w:r>
      <w:r w:rsidRPr="001B05C8">
        <w:t xml:space="preserve">orks were completed at Dunalley, Geeveston, </w:t>
      </w:r>
      <w:r w:rsidR="00091543">
        <w:t>Ulverstone and St Helens Houses, and</w:t>
      </w:r>
    </w:p>
    <w:p w:rsidR="00C601E8" w:rsidRPr="001B05C8" w:rsidRDefault="00C601E8" w:rsidP="00C601E8">
      <w:pPr>
        <w:numPr>
          <w:ilvl w:val="0"/>
          <w:numId w:val="44"/>
        </w:numPr>
        <w:tabs>
          <w:tab w:val="clear" w:pos="567"/>
        </w:tabs>
        <w:ind w:left="567" w:hanging="567"/>
      </w:pPr>
      <w:proofErr w:type="gramStart"/>
      <w:r>
        <w:t>g</w:t>
      </w:r>
      <w:r w:rsidRPr="001B05C8">
        <w:t>rants</w:t>
      </w:r>
      <w:proofErr w:type="gramEnd"/>
      <w:r w:rsidRPr="001B05C8">
        <w:t xml:space="preserve"> to the property owners of Deloraine, Fingal Valley, Goodwood and </w:t>
      </w:r>
      <w:proofErr w:type="spellStart"/>
      <w:r w:rsidRPr="001B05C8">
        <w:t>Tresca</w:t>
      </w:r>
      <w:proofErr w:type="spellEnd"/>
      <w:r w:rsidRPr="001B05C8">
        <w:t xml:space="preserve"> (Exeter) Houses were executed to enable</w:t>
      </w:r>
      <w:r>
        <w:t xml:space="preserve"> works to be undertaken in 2015</w:t>
      </w:r>
      <w:r>
        <w:noBreakHyphen/>
      </w:r>
      <w:r w:rsidR="00091543">
        <w:t>16.</w:t>
      </w:r>
    </w:p>
    <w:p w:rsidR="00C601E8" w:rsidRPr="001B05C8" w:rsidRDefault="00091543" w:rsidP="00091543">
      <w:pPr>
        <w:tabs>
          <w:tab w:val="clear" w:pos="567"/>
        </w:tabs>
      </w:pPr>
      <w:r>
        <w:t>F</w:t>
      </w:r>
      <w:r w:rsidR="00C601E8" w:rsidRPr="001B05C8">
        <w:t>urther works to upgrade another 18</w:t>
      </w:r>
      <w:r w:rsidR="00C601E8">
        <w:t> houses are planned for in 2015</w:t>
      </w:r>
      <w:r w:rsidR="00C601E8">
        <w:noBreakHyphen/>
      </w:r>
      <w:r w:rsidR="00C601E8" w:rsidRPr="001B05C8">
        <w:t>16 at $2.6</w:t>
      </w:r>
      <w:r w:rsidR="00747547">
        <w:t>9</w:t>
      </w:r>
      <w:r w:rsidR="00C601E8" w:rsidRPr="001B05C8">
        <w:t xml:space="preserve"> million </w:t>
      </w:r>
    </w:p>
    <w:p w:rsidR="00C601E8" w:rsidRPr="001B05C8" w:rsidRDefault="00C601E8" w:rsidP="00C601E8">
      <w:pPr>
        <w:pStyle w:val="Heading3"/>
      </w:pPr>
      <w:r w:rsidRPr="001B05C8">
        <w:t>Accommodation</w:t>
      </w:r>
    </w:p>
    <w:p w:rsidR="00C601E8" w:rsidRPr="001B05C8" w:rsidRDefault="00C601E8" w:rsidP="00C601E8">
      <w:r w:rsidRPr="001B05C8">
        <w:t>Throughout 2014-15</w:t>
      </w:r>
      <w:r>
        <w:t>,</w:t>
      </w:r>
      <w:r w:rsidRPr="001B05C8">
        <w:t xml:space="preserve"> </w:t>
      </w:r>
      <w:r>
        <w:t xml:space="preserve">DHHS </w:t>
      </w:r>
      <w:r w:rsidRPr="001B05C8">
        <w:t xml:space="preserve">continued to review Strategic Office Accommodation Plans in </w:t>
      </w:r>
      <w:r>
        <w:t>light of</w:t>
      </w:r>
      <w:r w:rsidRPr="001B05C8">
        <w:t xml:space="preserve"> Hobart’s Parliament Square development an</w:t>
      </w:r>
      <w:r>
        <w:t>d the DHHS Review outcomes for corporate staff</w:t>
      </w:r>
      <w:r w:rsidRPr="001B05C8">
        <w:t>.</w:t>
      </w:r>
    </w:p>
    <w:p w:rsidR="00C601E8" w:rsidRPr="001B05C8" w:rsidRDefault="00C601E8" w:rsidP="00C601E8">
      <w:r w:rsidRPr="001B05C8">
        <w:lastRenderedPageBreak/>
        <w:t>During 2014-15</w:t>
      </w:r>
      <w:r>
        <w:t>,</w:t>
      </w:r>
      <w:r w:rsidRPr="001B05C8">
        <w:t xml:space="preserve"> the Depa</w:t>
      </w:r>
      <w:r>
        <w:t xml:space="preserve">rtment of Treasury and Finance </w:t>
      </w:r>
      <w:r w:rsidRPr="001B05C8">
        <w:t xml:space="preserve">took responsibility for the assignment of Government leased accommodation in Hobart’s CBD.  </w:t>
      </w:r>
      <w:r>
        <w:t>DHHS</w:t>
      </w:r>
      <w:r w:rsidRPr="001B05C8">
        <w:t xml:space="preserve"> has worked closely with Treasury to assist with accommodation planning decisions throughout the transition period.</w:t>
      </w:r>
    </w:p>
    <w:p w:rsidR="00C601E8" w:rsidRPr="001B05C8" w:rsidRDefault="00C601E8" w:rsidP="00C601E8">
      <w:r w:rsidRPr="001B05C8">
        <w:t>During 2014-15:</w:t>
      </w:r>
    </w:p>
    <w:p w:rsidR="00C601E8" w:rsidRPr="001B05C8" w:rsidRDefault="00C601E8" w:rsidP="00C601E8">
      <w:pPr>
        <w:pStyle w:val="Bullet1"/>
      </w:pPr>
      <w:r>
        <w:t>a</w:t>
      </w:r>
      <w:r w:rsidRPr="001B05C8">
        <w:t xml:space="preserve"> total of </w:t>
      </w:r>
      <w:r>
        <w:t>six</w:t>
      </w:r>
      <w:r w:rsidRPr="001B05C8">
        <w:t xml:space="preserve"> Children and Youth S</w:t>
      </w:r>
      <w:r>
        <w:t>ervices</w:t>
      </w:r>
      <w:r w:rsidRPr="001B05C8">
        <w:t xml:space="preserve"> staff were relocated to more appropriate accommodation in Launceston</w:t>
      </w:r>
      <w:r>
        <w:t xml:space="preserve">, and </w:t>
      </w:r>
    </w:p>
    <w:p w:rsidR="00C601E8" w:rsidRPr="001B05C8" w:rsidRDefault="00C601E8" w:rsidP="00C601E8">
      <w:pPr>
        <w:pStyle w:val="Bullet1"/>
      </w:pPr>
      <w:r>
        <w:t>a</w:t>
      </w:r>
      <w:r w:rsidRPr="001B05C8">
        <w:t xml:space="preserve"> </w:t>
      </w:r>
      <w:r>
        <w:t xml:space="preserve">further </w:t>
      </w:r>
      <w:r w:rsidRPr="001B05C8">
        <w:t>60 Children and Youth Services staff were relocated to more appropriate accommodation in Burnie.</w:t>
      </w:r>
    </w:p>
    <w:p w:rsidR="00C601E8" w:rsidRPr="001B05C8" w:rsidRDefault="00C601E8" w:rsidP="00C601E8">
      <w:pPr>
        <w:pStyle w:val="Heading3"/>
      </w:pPr>
      <w:r w:rsidRPr="001B05C8">
        <w:t>Leased Accommodation</w:t>
      </w:r>
    </w:p>
    <w:p w:rsidR="00C601E8" w:rsidRPr="001B05C8" w:rsidRDefault="00C601E8" w:rsidP="00C601E8">
      <w:r w:rsidRPr="001B05C8">
        <w:t xml:space="preserve">During 2014-15, </w:t>
      </w:r>
      <w:r>
        <w:t xml:space="preserve">DHHS </w:t>
      </w:r>
      <w:r w:rsidRPr="001B05C8">
        <w:t>continued to make accommodation available to non</w:t>
      </w:r>
      <w:r w:rsidRPr="001B05C8">
        <w:noBreakHyphen/>
        <w:t xml:space="preserve">government organisations that complement the </w:t>
      </w:r>
      <w:r>
        <w:t xml:space="preserve">Department’s </w:t>
      </w:r>
      <w:r w:rsidRPr="001B05C8">
        <w:t>overall service delivery.  Presently there are 190 active tenancies throughout the portfolio occupied by various health service organisations as well as health professionals.  All tenancies are on a formal lease or licence agreement.</w:t>
      </w:r>
      <w:r>
        <w:t xml:space="preserve">  This figure excludes Housing Tasmania whose core business is the provision of rental accommodation, either directly to individuals or indirectly through non-government third party organisations.</w:t>
      </w:r>
    </w:p>
    <w:p w:rsidR="00C601E8" w:rsidRPr="001B05C8" w:rsidRDefault="00C601E8" w:rsidP="00C601E8">
      <w:r w:rsidRPr="001B05C8">
        <w:t>T</w:t>
      </w:r>
      <w:r>
        <w:t>he impact of the Department’s program of FTE reductions</w:t>
      </w:r>
      <w:r w:rsidRPr="001B05C8">
        <w:t xml:space="preserve"> allowed leased accommodation to be consolidated in North West and Southern Tasmania.</w:t>
      </w:r>
    </w:p>
    <w:p w:rsidR="00C601E8" w:rsidRPr="001B05C8" w:rsidRDefault="00C601E8" w:rsidP="00C601E8">
      <w:r w:rsidRPr="001B05C8">
        <w:t xml:space="preserve">During 2014-15, </w:t>
      </w:r>
      <w:r>
        <w:t xml:space="preserve">DHHS’ </w:t>
      </w:r>
      <w:r w:rsidRPr="001B05C8">
        <w:t>leased accommodation portfolio was redu</w:t>
      </w:r>
      <w:r>
        <w:t xml:space="preserve">ced </w:t>
      </w:r>
      <w:r w:rsidRPr="001B05C8">
        <w:t>with leases at Burnie and Hobart not renewed on expiry.</w:t>
      </w:r>
      <w:r>
        <w:t xml:space="preserve"> </w:t>
      </w:r>
      <w:r w:rsidR="00747547">
        <w:t>DHHS</w:t>
      </w:r>
      <w:r w:rsidRPr="001B05C8">
        <w:t xml:space="preserve"> leases not renewed</w:t>
      </w:r>
      <w:r>
        <w:t xml:space="preserve"> were as follows</w:t>
      </w:r>
      <w:r w:rsidRPr="001B05C8">
        <w:t>:</w:t>
      </w:r>
    </w:p>
    <w:p w:rsidR="00C601E8" w:rsidRPr="001B05C8" w:rsidRDefault="00C601E8" w:rsidP="00C601E8">
      <w:pPr>
        <w:pStyle w:val="Bullet1"/>
      </w:pPr>
      <w:r w:rsidRPr="001B05C8">
        <w:t>46 Mount Street, Burnie (Children and Youth Services offices – 1 157m</w:t>
      </w:r>
      <w:r>
        <w:rPr>
          <w:vertAlign w:val="superscript"/>
        </w:rPr>
        <w:t>2</w:t>
      </w:r>
      <w:r w:rsidRPr="001B05C8">
        <w:t>)</w:t>
      </w:r>
    </w:p>
    <w:p w:rsidR="00C601E8" w:rsidRPr="001B05C8" w:rsidRDefault="00C601E8" w:rsidP="00C601E8">
      <w:pPr>
        <w:pStyle w:val="Bullet1"/>
      </w:pPr>
      <w:r w:rsidRPr="001B05C8">
        <w:t>Ground</w:t>
      </w:r>
      <w:r>
        <w:t xml:space="preserve"> floor</w:t>
      </w:r>
      <w:r w:rsidRPr="001B05C8">
        <w:t xml:space="preserve">, 25 Argyle Street, Hobart (Cancer </w:t>
      </w:r>
      <w:r>
        <w:t>Screening and Control Services records – 129m</w:t>
      </w:r>
      <w:r>
        <w:rPr>
          <w:vertAlign w:val="superscript"/>
        </w:rPr>
        <w:t>2</w:t>
      </w:r>
      <w:r w:rsidRPr="001B05C8">
        <w:t>)</w:t>
      </w:r>
      <w:r>
        <w:t>, and</w:t>
      </w:r>
    </w:p>
    <w:p w:rsidR="00C601E8" w:rsidRPr="001B05C8" w:rsidRDefault="00C601E8" w:rsidP="00C601E8">
      <w:pPr>
        <w:pStyle w:val="Bullet1"/>
      </w:pPr>
      <w:r w:rsidRPr="001B05C8">
        <w:t>Level 3, 25 Argyle Street, Hobart (P</w:t>
      </w:r>
      <w:r>
        <w:t>opulation Health offices – 221m</w:t>
      </w:r>
      <w:r>
        <w:rPr>
          <w:vertAlign w:val="superscript"/>
        </w:rPr>
        <w:t>2</w:t>
      </w:r>
      <w:r w:rsidRPr="001B05C8">
        <w:t>).</w:t>
      </w:r>
    </w:p>
    <w:p w:rsidR="008D3FA8" w:rsidRDefault="008D3FA8">
      <w:pPr>
        <w:tabs>
          <w:tab w:val="clear" w:pos="567"/>
        </w:tabs>
        <w:spacing w:after="200" w:line="276" w:lineRule="auto"/>
      </w:pPr>
      <w:r>
        <w:br w:type="page"/>
      </w:r>
    </w:p>
    <w:p w:rsidR="00C601E8" w:rsidRPr="001B05C8" w:rsidRDefault="00C601E8" w:rsidP="00C601E8">
      <w:r w:rsidRPr="001B05C8">
        <w:lastRenderedPageBreak/>
        <w:t>During 2014-1</w:t>
      </w:r>
      <w:r>
        <w:t xml:space="preserve">5, Children and Youth Services </w:t>
      </w:r>
      <w:r w:rsidRPr="001B05C8">
        <w:t xml:space="preserve">took up new office accommodation (51 </w:t>
      </w:r>
      <w:proofErr w:type="spellStart"/>
      <w:r>
        <w:t>Cattley</w:t>
      </w:r>
      <w:proofErr w:type="spellEnd"/>
      <w:r>
        <w:t xml:space="preserve"> Street, Burnie - 866m</w:t>
      </w:r>
      <w:r>
        <w:rPr>
          <w:vertAlign w:val="superscript"/>
        </w:rPr>
        <w:t>2</w:t>
      </w:r>
      <w:r w:rsidRPr="001B05C8">
        <w:t>) relocating to more efficient, contemporary premises.</w:t>
      </w:r>
    </w:p>
    <w:p w:rsidR="00C601E8" w:rsidRPr="001B05C8" w:rsidRDefault="00C601E8" w:rsidP="00C601E8">
      <w:pPr>
        <w:pStyle w:val="Heading3"/>
      </w:pPr>
      <w:r w:rsidRPr="001B05C8">
        <w:t>Maintenance</w:t>
      </w:r>
    </w:p>
    <w:p w:rsidR="00C601E8" w:rsidRPr="001B05C8" w:rsidRDefault="00C601E8" w:rsidP="00C601E8">
      <w:r w:rsidRPr="001B05C8">
        <w:t xml:space="preserve">Through AMS, the management of statutory building compliance under the </w:t>
      </w:r>
      <w:r w:rsidRPr="001B05C8">
        <w:rPr>
          <w:i/>
        </w:rPr>
        <w:t>Building Act 2000</w:t>
      </w:r>
      <w:r w:rsidRPr="001B05C8">
        <w:t xml:space="preserve"> continues to ensure this category of risk is regularly reviewed</w:t>
      </w:r>
      <w:r>
        <w:t>,</w:t>
      </w:r>
      <w:r w:rsidRPr="001B05C8">
        <w:t xml:space="preserve"> and required works promptly completed.</w:t>
      </w:r>
    </w:p>
    <w:p w:rsidR="00F676CE" w:rsidRDefault="00C601E8" w:rsidP="00C601E8">
      <w:r w:rsidRPr="001B05C8">
        <w:t>Nominally 20 per cent of the asset portfolio has a Building Condition Assessment undertaken each year (excluding major</w:t>
      </w:r>
      <w:r>
        <w:t xml:space="preserve"> acute care hospitals).  </w:t>
      </w:r>
    </w:p>
    <w:p w:rsidR="00C601E8" w:rsidRPr="001B05C8" w:rsidRDefault="00C601E8" w:rsidP="00C601E8">
      <w:r>
        <w:t>A risk</w:t>
      </w:r>
      <w:r>
        <w:noBreakHyphen/>
      </w:r>
      <w:r w:rsidRPr="001B05C8">
        <w:t xml:space="preserve">based and prioritised Capital Investment Program – Essential Maintenance Program is derived from these Building Condition Assessments and from occupant requests to address deficiencies that are identified across the remainder of sites that are not assessed in that year. </w:t>
      </w:r>
    </w:p>
    <w:p w:rsidR="00C601E8" w:rsidRPr="001B05C8" w:rsidRDefault="00C601E8" w:rsidP="00C601E8">
      <w:pPr>
        <w:pStyle w:val="Heading3"/>
      </w:pPr>
      <w:r>
        <w:t xml:space="preserve">Asset Management and the </w:t>
      </w:r>
      <w:r w:rsidRPr="001B05C8">
        <w:t>Disability Action Plan</w:t>
      </w:r>
    </w:p>
    <w:p w:rsidR="00C601E8" w:rsidRPr="001B05C8" w:rsidRDefault="00C601E8" w:rsidP="00C601E8">
      <w:r>
        <w:t>Asset Management Services</w:t>
      </w:r>
      <w:r w:rsidRPr="001B05C8">
        <w:t xml:space="preserve"> is a key contributor to the Department’s Disa</w:t>
      </w:r>
      <w:r>
        <w:t>bility Action Plan from a built</w:t>
      </w:r>
      <w:r>
        <w:noBreakHyphen/>
      </w:r>
      <w:r w:rsidRPr="001B05C8">
        <w:t xml:space="preserve">environment perspective.  There was $50 000 of essential maintenance set aside to address disability access issues across the </w:t>
      </w:r>
      <w:r>
        <w:t xml:space="preserve">DHHS </w:t>
      </w:r>
      <w:r w:rsidRPr="001B05C8">
        <w:t>asset portfolio.</w:t>
      </w:r>
    </w:p>
    <w:p w:rsidR="00C601E8" w:rsidRPr="001B05C8" w:rsidRDefault="00C601E8" w:rsidP="00C601E8">
      <w:r w:rsidRPr="001B05C8">
        <w:t>Further funding enabled ongoing liaison between AMS and a Disability Access Consultant to develop a Disability Access Checklist</w:t>
      </w:r>
      <w:r>
        <w:t xml:space="preserve">, which </w:t>
      </w:r>
      <w:r w:rsidRPr="001B05C8">
        <w:t>has been incorporated into the AMS rolling Building Condition Assessment Program.</w:t>
      </w:r>
    </w:p>
    <w:p w:rsidR="00C601E8" w:rsidRPr="001B05C8" w:rsidRDefault="00C601E8" w:rsidP="00C601E8">
      <w:r>
        <w:t>Asset Management Services is</w:t>
      </w:r>
      <w:r w:rsidRPr="001B05C8">
        <w:t xml:space="preserve"> in the process of engaging a Disability Access Consultant to inspect a targeted number of DHHS sites and to develop Disability Access Registers</w:t>
      </w:r>
      <w:r>
        <w:t>,</w:t>
      </w:r>
      <w:r w:rsidRPr="001B05C8">
        <w:t xml:space="preserve"> including information such as </w:t>
      </w:r>
      <w:r>
        <w:t xml:space="preserve">a </w:t>
      </w:r>
      <w:r w:rsidRPr="001B05C8">
        <w:t>current facility assessment, prioritised lists of work required and risk assessment</w:t>
      </w:r>
      <w:r>
        <w:t>s</w:t>
      </w:r>
      <w:r w:rsidRPr="001B05C8">
        <w:t xml:space="preserve"> for each site.</w:t>
      </w:r>
    </w:p>
    <w:p w:rsidR="00C601E8" w:rsidRPr="001B05C8" w:rsidRDefault="00C601E8" w:rsidP="00C601E8">
      <w:r w:rsidRPr="001B05C8">
        <w:t>The next stage will address issues across the remainder of DHHS sites by commencing a program of developing Disability Access Registers for all DHHS sites.</w:t>
      </w:r>
    </w:p>
    <w:p w:rsidR="006B2562" w:rsidRPr="001B05C8" w:rsidRDefault="003F74D2" w:rsidP="006B2562">
      <w:r>
        <w:br w:type="column"/>
      </w:r>
      <w:r w:rsidR="004966D5">
        <w:lastRenderedPageBreak/>
        <w:t>T</w:t>
      </w:r>
      <w:r w:rsidR="006B2562" w:rsidRPr="001B05C8">
        <w:t xml:space="preserve">he </w:t>
      </w:r>
      <w:r w:rsidR="006B2562">
        <w:t>Australian Government has</w:t>
      </w:r>
      <w:r w:rsidR="006B2562" w:rsidRPr="001B05C8">
        <w:t xml:space="preserve"> also agreed to the Department undertaking significant </w:t>
      </w:r>
      <w:r w:rsidR="006B2562">
        <w:t xml:space="preserve">disability access improvements to ensure the Nurses Home at the Australian Government owned Mersey Community Hospital is compliant with the </w:t>
      </w:r>
      <w:r w:rsidR="006B2562" w:rsidRPr="000438C5">
        <w:rPr>
          <w:i/>
        </w:rPr>
        <w:t>Disa</w:t>
      </w:r>
      <w:r w:rsidR="004966D5">
        <w:rPr>
          <w:i/>
        </w:rPr>
        <w:t>bility Discrimination Act 1992</w:t>
      </w:r>
      <w:r w:rsidR="006B2562">
        <w:t>.  The Australian Government has provided approximately</w:t>
      </w:r>
      <w:r w:rsidR="006B2562" w:rsidRPr="001B05C8">
        <w:t xml:space="preserve"> $</w:t>
      </w:r>
      <w:r w:rsidR="006B2562">
        <w:t>40</w:t>
      </w:r>
      <w:r w:rsidR="006B2562" w:rsidRPr="001B05C8">
        <w:t>0 000 for the</w:t>
      </w:r>
      <w:r w:rsidR="006B2562">
        <w:t xml:space="preserve"> project, which will include</w:t>
      </w:r>
      <w:r w:rsidR="006B2562" w:rsidRPr="001B05C8">
        <w:t xml:space="preserve"> installation of a new lift to provide appropriate access to the upper levels and refurbishment of amenities areas to provide compliant accessible toilets and upgrade general ramp access to the building.</w:t>
      </w:r>
    </w:p>
    <w:p w:rsidR="00091543" w:rsidRDefault="00091543">
      <w:pPr>
        <w:tabs>
          <w:tab w:val="clear" w:pos="567"/>
        </w:tabs>
        <w:spacing w:after="200" w:line="276" w:lineRule="auto"/>
        <w:rPr>
          <w:rFonts w:eastAsiaTheme="majorEastAsia" w:cstheme="majorBidi"/>
          <w:b/>
          <w:bCs/>
          <w:sz w:val="28"/>
        </w:rPr>
      </w:pPr>
      <w:r>
        <w:br w:type="page"/>
      </w:r>
    </w:p>
    <w:p w:rsidR="00C601E8" w:rsidRPr="001B05C8" w:rsidRDefault="00C601E8" w:rsidP="00C601E8">
      <w:pPr>
        <w:pStyle w:val="Heading3"/>
      </w:pPr>
      <w:r w:rsidRPr="001B05C8">
        <w:lastRenderedPageBreak/>
        <w:t>Transport</w:t>
      </w:r>
    </w:p>
    <w:p w:rsidR="00C601E8" w:rsidRPr="001B05C8" w:rsidRDefault="00C601E8" w:rsidP="00C601E8">
      <w:r w:rsidRPr="001B05C8">
        <w:t xml:space="preserve">At 30 June 2015, the </w:t>
      </w:r>
      <w:r w:rsidR="004966D5">
        <w:t xml:space="preserve">DHHS </w:t>
      </w:r>
      <w:r w:rsidRPr="001B05C8">
        <w:t>operated 459 leased light vehicles comprising 37 executive and 422 operational vehicles.  This is a decrease of 13 (</w:t>
      </w:r>
      <w:r>
        <w:t>two</w:t>
      </w:r>
      <w:r w:rsidRPr="001B05C8">
        <w:t> executive and 11 operational) vehicles from the same period in the previous year.</w:t>
      </w:r>
    </w:p>
    <w:p w:rsidR="00C601E8" w:rsidRPr="001B05C8" w:rsidRDefault="00C601E8" w:rsidP="00C601E8">
      <w:r w:rsidRPr="001B05C8">
        <w:t xml:space="preserve">The </w:t>
      </w:r>
      <w:r w:rsidR="004966D5">
        <w:t>DHHS</w:t>
      </w:r>
      <w:r w:rsidRPr="001B05C8">
        <w:t>,</w:t>
      </w:r>
      <w:r w:rsidRPr="001B05C8" w:rsidDel="0087705E">
        <w:t xml:space="preserve"> </w:t>
      </w:r>
      <w:r w:rsidRPr="001B05C8">
        <w:t xml:space="preserve">including the </w:t>
      </w:r>
      <w:r>
        <w:t>THOs</w:t>
      </w:r>
      <w:r w:rsidRPr="001B05C8">
        <w:t>, saved $610 115.30 (e</w:t>
      </w:r>
      <w:r>
        <w:t>xcluding </w:t>
      </w:r>
      <w:r w:rsidRPr="001B05C8">
        <w:t>GST) on vehicle lease costs during the 2014-15 financial year compared to the 2013-14 financial year.</w:t>
      </w:r>
    </w:p>
    <w:p w:rsidR="003F74D2" w:rsidRDefault="003F74D2" w:rsidP="003F74D2">
      <w:pPr>
        <w:spacing w:after="0"/>
      </w:pPr>
    </w:p>
    <w:p w:rsidR="00C601E8" w:rsidRPr="001B05C8" w:rsidRDefault="00C601E8" w:rsidP="00C601E8">
      <w:r w:rsidRPr="001B05C8">
        <w:t>The Department,</w:t>
      </w:r>
      <w:r w:rsidRPr="001B05C8" w:rsidDel="0087705E">
        <w:t xml:space="preserve"> </w:t>
      </w:r>
      <w:r w:rsidRPr="001B05C8">
        <w:t>including Ambulance Tasmania, saved $249 074.17 on vehicle lease costs during the 2014-15 financial year compared to the 2013</w:t>
      </w:r>
      <w:r w:rsidRPr="001B05C8">
        <w:noBreakHyphen/>
        <w:t>14 financial year.</w:t>
      </w:r>
    </w:p>
    <w:p w:rsidR="00C601E8" w:rsidRDefault="00C601E8" w:rsidP="00C601E8">
      <w:r w:rsidRPr="001B05C8">
        <w:t>Vehicle lease and other associated costs (excluding GST) for the 2014-15 financial year were $4 200 725.48, compared to $4 449 799.65 for the 2013-14 financial year</w:t>
      </w:r>
      <w:r w:rsidR="005F0766">
        <w:t>.</w:t>
      </w:r>
    </w:p>
    <w:p w:rsidR="00C601E8" w:rsidRDefault="00C601E8" w:rsidP="00C601E8"/>
    <w:p w:rsidR="00C601E8" w:rsidRDefault="00C601E8" w:rsidP="00C601E8">
      <w:pPr>
        <w:sectPr w:rsidR="00C601E8" w:rsidSect="00CB41D0">
          <w:type w:val="continuous"/>
          <w:pgSz w:w="11906" w:h="16838" w:code="9"/>
          <w:pgMar w:top="907" w:right="1134" w:bottom="720" w:left="1134" w:header="709" w:footer="709" w:gutter="0"/>
          <w:cols w:num="2" w:space="708"/>
          <w:docGrid w:linePitch="360"/>
        </w:sectPr>
      </w:pPr>
    </w:p>
    <w:p w:rsidR="00C601E8" w:rsidRDefault="00C601E8" w:rsidP="00C601E8"/>
    <w:p w:rsidR="00C601E8" w:rsidRDefault="00C601E8">
      <w:pPr>
        <w:tabs>
          <w:tab w:val="clear" w:pos="567"/>
        </w:tabs>
        <w:spacing w:after="200" w:line="276" w:lineRule="auto"/>
      </w:pPr>
      <w:r>
        <w:br w:type="page"/>
      </w:r>
    </w:p>
    <w:p w:rsidR="000800BD" w:rsidRPr="001B05C8" w:rsidRDefault="00973B3B" w:rsidP="00973B3B">
      <w:pPr>
        <w:pStyle w:val="Heading1"/>
      </w:pPr>
      <w:bookmarkStart w:id="11" w:name="_Toc430351450"/>
      <w:r w:rsidRPr="001B05C8">
        <w:lastRenderedPageBreak/>
        <w:t>Consultancies, Contracts and Tenders</w:t>
      </w:r>
      <w:bookmarkEnd w:id="11"/>
    </w:p>
    <w:p w:rsidR="00D94CB4" w:rsidRPr="001B05C8" w:rsidRDefault="00D94CB4" w:rsidP="00973B3B">
      <w:pPr>
        <w:ind w:right="-341"/>
        <w:sectPr w:rsidR="00D94CB4" w:rsidRPr="001B05C8" w:rsidSect="00CB41D0">
          <w:headerReference w:type="even" r:id="rId16"/>
          <w:headerReference w:type="default" r:id="rId17"/>
          <w:footerReference w:type="even" r:id="rId18"/>
          <w:footerReference w:type="default" r:id="rId19"/>
          <w:type w:val="continuous"/>
          <w:pgSz w:w="11906" w:h="16838" w:code="9"/>
          <w:pgMar w:top="907" w:right="1134" w:bottom="720" w:left="1134" w:header="709" w:footer="709" w:gutter="0"/>
          <w:cols w:space="708"/>
          <w:docGrid w:linePitch="360"/>
        </w:sectPr>
      </w:pPr>
    </w:p>
    <w:p w:rsidR="00766A9E" w:rsidRPr="001B05C8" w:rsidRDefault="00973B3B" w:rsidP="00973B3B">
      <w:pPr>
        <w:ind w:right="-341"/>
      </w:pPr>
      <w:r w:rsidRPr="001B05C8">
        <w:lastRenderedPageBreak/>
        <w:t xml:space="preserve">The </w:t>
      </w:r>
      <w:r w:rsidR="004966D5">
        <w:t xml:space="preserve">DHHS </w:t>
      </w:r>
      <w:r w:rsidRPr="001B05C8">
        <w:t>ensures procurement is undertaken in accordance with the mandatory requirements of the Treasurer's Instructions relating to procurement, including that Tasmanian businesses are given every opportunity to compete for business. It is the Department’</w:t>
      </w:r>
      <w:r w:rsidR="00766A9E">
        <w:t>s policy to support Tasmanian </w:t>
      </w:r>
      <w:r w:rsidRPr="001B05C8">
        <w:t xml:space="preserve">businesses whenever they offer best value for money for the Government. </w:t>
      </w:r>
    </w:p>
    <w:p w:rsidR="00D94CB4" w:rsidRPr="001B05C8" w:rsidRDefault="00D94CB4" w:rsidP="00973B3B">
      <w:pPr>
        <w:spacing w:after="85" w:line="300" w:lineRule="exact"/>
        <w:sectPr w:rsidR="00D94CB4" w:rsidRPr="001B05C8" w:rsidSect="00766A9E">
          <w:type w:val="continuous"/>
          <w:pgSz w:w="11906" w:h="16838" w:code="9"/>
          <w:pgMar w:top="907" w:right="1134" w:bottom="720" w:left="1134" w:header="709" w:footer="709" w:gutter="0"/>
          <w:cols w:space="708"/>
          <w:docGrid w:linePitch="360"/>
        </w:sectPr>
      </w:pPr>
    </w:p>
    <w:p w:rsidR="00973B3B" w:rsidRPr="001B05C8" w:rsidRDefault="00973B3B" w:rsidP="00573CC2">
      <w:pPr>
        <w:pStyle w:val="Heading4"/>
      </w:pPr>
      <w:r w:rsidRPr="001B05C8">
        <w:lastRenderedPageBreak/>
        <w:t>Summary of Pa</w:t>
      </w:r>
      <w:r w:rsidR="00766A9E">
        <w:t>rticipation by Local Businesses</w:t>
      </w:r>
    </w:p>
    <w:p w:rsidR="00973B3B" w:rsidRPr="001B05C8" w:rsidRDefault="00973B3B" w:rsidP="00973B3B">
      <w:pPr>
        <w:rPr>
          <w:bCs/>
        </w:rPr>
      </w:pPr>
      <w:r w:rsidRPr="001B05C8">
        <w:rPr>
          <w:bCs/>
        </w:rPr>
        <w:t>Below is a summary of participation by local businesses for contracts, tenders and/or quotation processes with a value of $50</w:t>
      </w:r>
      <w:r w:rsidRPr="001B05C8">
        <w:t> </w:t>
      </w:r>
      <w:r w:rsidRPr="001B05C8">
        <w:rPr>
          <w:bCs/>
        </w:rPr>
        <w:t>000 or over.</w:t>
      </w:r>
    </w:p>
    <w:tbl>
      <w:tblPr>
        <w:tblStyle w:val="TableGrid"/>
        <w:tblW w:w="9322" w:type="dxa"/>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7479"/>
        <w:gridCol w:w="1701"/>
        <w:gridCol w:w="142"/>
      </w:tblGrid>
      <w:tr w:rsidR="00973B3B" w:rsidRPr="001B05C8" w:rsidTr="00D075E5">
        <w:trPr>
          <w:gridAfter w:val="1"/>
          <w:wAfter w:w="142" w:type="dxa"/>
        </w:trPr>
        <w:tc>
          <w:tcPr>
            <w:tcW w:w="7479" w:type="dxa"/>
          </w:tcPr>
          <w:p w:rsidR="00973B3B" w:rsidRPr="001B05C8" w:rsidRDefault="00973B3B" w:rsidP="00CC226B">
            <w:pPr>
              <w:pStyle w:val="Table-AnnualReport"/>
            </w:pPr>
            <w:r w:rsidRPr="001B05C8">
              <w:t>Total number of contracts awarded</w:t>
            </w:r>
          </w:p>
        </w:tc>
        <w:tc>
          <w:tcPr>
            <w:tcW w:w="1701" w:type="dxa"/>
          </w:tcPr>
          <w:p w:rsidR="00973B3B" w:rsidRPr="001B05C8" w:rsidRDefault="00973B3B" w:rsidP="00CC226B">
            <w:pPr>
              <w:pStyle w:val="Table-AnnualReport"/>
              <w:jc w:val="right"/>
            </w:pPr>
            <w:r w:rsidRPr="001B05C8">
              <w:t>146</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Total number of contracts awarded to Tasmanian businesses</w:t>
            </w:r>
          </w:p>
        </w:tc>
        <w:tc>
          <w:tcPr>
            <w:tcW w:w="1701" w:type="dxa"/>
          </w:tcPr>
          <w:p w:rsidR="00973B3B" w:rsidRPr="001B05C8" w:rsidRDefault="00973B3B" w:rsidP="00CC226B">
            <w:pPr>
              <w:pStyle w:val="Table-AnnualReport"/>
              <w:jc w:val="right"/>
            </w:pPr>
            <w:r w:rsidRPr="001B05C8">
              <w:t>85</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Value of contracts awarded</w:t>
            </w:r>
          </w:p>
        </w:tc>
        <w:tc>
          <w:tcPr>
            <w:tcW w:w="1701" w:type="dxa"/>
          </w:tcPr>
          <w:p w:rsidR="00973B3B" w:rsidRPr="001B05C8" w:rsidRDefault="00973B3B" w:rsidP="00573CC2">
            <w:pPr>
              <w:pStyle w:val="Table-AnnualReport"/>
              <w:jc w:val="right"/>
              <w:rPr>
                <w:rFonts w:cs="Arial"/>
              </w:rPr>
            </w:pPr>
            <w:r w:rsidRPr="001B05C8">
              <w:t>$</w:t>
            </w:r>
            <w:r w:rsidR="00573CC2">
              <w:t>143 </w:t>
            </w:r>
            <w:r w:rsidRPr="001B05C8">
              <w:t>425</w:t>
            </w:r>
            <w:r w:rsidR="00573CC2">
              <w:t> </w:t>
            </w:r>
            <w:r w:rsidRPr="001B05C8">
              <w:t>629</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Value of contracts awarded to Tasmanian businesses</w:t>
            </w:r>
          </w:p>
        </w:tc>
        <w:tc>
          <w:tcPr>
            <w:tcW w:w="1701" w:type="dxa"/>
          </w:tcPr>
          <w:p w:rsidR="00973B3B" w:rsidRPr="001B05C8" w:rsidRDefault="00573CC2" w:rsidP="00CC226B">
            <w:pPr>
              <w:pStyle w:val="Table-AnnualReport"/>
              <w:jc w:val="right"/>
              <w:rPr>
                <w:rFonts w:cs="Arial"/>
              </w:rPr>
            </w:pPr>
            <w:r>
              <w:t>$66 144 </w:t>
            </w:r>
            <w:r w:rsidR="00973B3B" w:rsidRPr="001B05C8">
              <w:t>417</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Total number of tenders called and/or quotation processes run</w:t>
            </w:r>
          </w:p>
        </w:tc>
        <w:tc>
          <w:tcPr>
            <w:tcW w:w="1701" w:type="dxa"/>
          </w:tcPr>
          <w:p w:rsidR="00973B3B" w:rsidRPr="001B05C8" w:rsidRDefault="00973B3B" w:rsidP="00CC226B">
            <w:pPr>
              <w:pStyle w:val="Table-AnnualReport"/>
              <w:jc w:val="right"/>
            </w:pPr>
            <w:r w:rsidRPr="001B05C8">
              <w:t xml:space="preserve">54 </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Total number of bids and/or written quotations received</w:t>
            </w:r>
          </w:p>
        </w:tc>
        <w:tc>
          <w:tcPr>
            <w:tcW w:w="1701" w:type="dxa"/>
          </w:tcPr>
          <w:p w:rsidR="00973B3B" w:rsidRPr="001B05C8" w:rsidRDefault="00973B3B" w:rsidP="00CC226B">
            <w:pPr>
              <w:pStyle w:val="Table-AnnualReport"/>
              <w:jc w:val="right"/>
            </w:pPr>
            <w:r w:rsidRPr="001B05C8">
              <w:t>335</w:t>
            </w:r>
          </w:p>
        </w:tc>
      </w:tr>
      <w:tr w:rsidR="00973B3B" w:rsidRPr="001B05C8" w:rsidTr="00D075E5">
        <w:trPr>
          <w:gridAfter w:val="1"/>
          <w:wAfter w:w="142" w:type="dxa"/>
        </w:trPr>
        <w:tc>
          <w:tcPr>
            <w:tcW w:w="7479" w:type="dxa"/>
          </w:tcPr>
          <w:p w:rsidR="00973B3B" w:rsidRPr="001B05C8" w:rsidRDefault="00973B3B" w:rsidP="00CC226B">
            <w:pPr>
              <w:pStyle w:val="Table-AnnualReport"/>
            </w:pPr>
            <w:r w:rsidRPr="001B05C8">
              <w:t>Total number of bids and/or written quotations received from Tasmanian businesses</w:t>
            </w:r>
          </w:p>
        </w:tc>
        <w:tc>
          <w:tcPr>
            <w:tcW w:w="1701" w:type="dxa"/>
          </w:tcPr>
          <w:p w:rsidR="00973B3B" w:rsidRPr="001B05C8" w:rsidRDefault="00973B3B" w:rsidP="00CC226B">
            <w:pPr>
              <w:pStyle w:val="Table-AnnualReport"/>
              <w:jc w:val="right"/>
            </w:pPr>
            <w:r w:rsidRPr="001B05C8">
              <w:t>188</w:t>
            </w:r>
          </w:p>
        </w:tc>
      </w:tr>
      <w:tr w:rsidR="00973B3B" w:rsidRPr="001B05C8" w:rsidTr="00D075E5">
        <w:tc>
          <w:tcPr>
            <w:tcW w:w="9322" w:type="dxa"/>
            <w:gridSpan w:val="3"/>
            <w:shd w:val="clear" w:color="auto" w:fill="auto"/>
          </w:tcPr>
          <w:p w:rsidR="005242A6" w:rsidRDefault="00CC226B" w:rsidP="00CC226B">
            <w:pPr>
              <w:spacing w:before="70" w:after="70" w:line="300" w:lineRule="exact"/>
              <w:ind w:right="-46"/>
              <w:rPr>
                <w:sz w:val="18"/>
                <w:szCs w:val="18"/>
              </w:rPr>
            </w:pPr>
            <w:r w:rsidRPr="00B260F0">
              <w:rPr>
                <w:sz w:val="18"/>
                <w:szCs w:val="18"/>
              </w:rPr>
              <w:t xml:space="preserve">Note: </w:t>
            </w:r>
          </w:p>
          <w:p w:rsidR="00973B3B" w:rsidRPr="00B260F0" w:rsidRDefault="005242A6" w:rsidP="00CC226B">
            <w:pPr>
              <w:spacing w:before="70" w:after="70" w:line="300" w:lineRule="exact"/>
              <w:ind w:right="-46"/>
              <w:rPr>
                <w:sz w:val="18"/>
                <w:szCs w:val="18"/>
              </w:rPr>
            </w:pPr>
            <w:r>
              <w:rPr>
                <w:sz w:val="18"/>
                <w:szCs w:val="18"/>
              </w:rPr>
              <w:t xml:space="preserve">1 </w:t>
            </w:r>
            <w:r>
              <w:rPr>
                <w:sz w:val="18"/>
                <w:szCs w:val="18"/>
              </w:rPr>
              <w:tab/>
            </w:r>
            <w:r w:rsidR="00973B3B" w:rsidRPr="00B260F0">
              <w:rPr>
                <w:rFonts w:cs="GillSansMT"/>
                <w:sz w:val="18"/>
                <w:szCs w:val="18"/>
              </w:rPr>
              <w:t xml:space="preserve">In accordance with the requirements of the Treasurer’s Instructions, the values in this table do not include the value of </w:t>
            </w:r>
            <w:r w:rsidR="00766A9E">
              <w:rPr>
                <w:rFonts w:cs="GillSansMT"/>
                <w:sz w:val="18"/>
                <w:szCs w:val="18"/>
              </w:rPr>
              <w:tab/>
            </w:r>
            <w:r w:rsidR="00973B3B" w:rsidRPr="00B260F0">
              <w:rPr>
                <w:rFonts w:cs="GillSansMT"/>
                <w:sz w:val="18"/>
                <w:szCs w:val="18"/>
              </w:rPr>
              <w:t>options to extend or GST.</w:t>
            </w:r>
          </w:p>
        </w:tc>
      </w:tr>
    </w:tbl>
    <w:p w:rsidR="00973B3B" w:rsidRPr="001B05C8" w:rsidRDefault="00973B3B" w:rsidP="00573CC2">
      <w:pPr>
        <w:pStyle w:val="Heading4"/>
      </w:pPr>
      <w:r w:rsidRPr="001B05C8">
        <w:t xml:space="preserve">Consultancies Awarded </w:t>
      </w:r>
    </w:p>
    <w:p w:rsidR="00973B3B" w:rsidRPr="001B05C8" w:rsidRDefault="00973B3B" w:rsidP="00973B3B">
      <w:pPr>
        <w:spacing w:after="240" w:line="300" w:lineRule="exact"/>
        <w:ind w:right="-46"/>
        <w:rPr>
          <w:b/>
        </w:rPr>
      </w:pPr>
      <w:r w:rsidRPr="001B05C8">
        <w:t>The following table provides detailed information on consultancies awarded in the 2014-15 financial year with a value of $50 000 or over.</w:t>
      </w:r>
    </w:p>
    <w:tbl>
      <w:tblPr>
        <w:tblW w:w="9229" w:type="dxa"/>
        <w:tblInd w:w="93" w:type="dxa"/>
        <w:tblBorders>
          <w:insideH w:val="single" w:sz="2" w:space="0" w:color="808080" w:themeColor="background1" w:themeShade="80"/>
        </w:tblBorders>
        <w:tblLayout w:type="fixed"/>
        <w:tblLook w:val="0000" w:firstRow="0" w:lastRow="0" w:firstColumn="0" w:lastColumn="0" w:noHBand="0" w:noVBand="0"/>
      </w:tblPr>
      <w:tblGrid>
        <w:gridCol w:w="1716"/>
        <w:gridCol w:w="993"/>
        <w:gridCol w:w="3118"/>
        <w:gridCol w:w="1985"/>
        <w:gridCol w:w="1417"/>
      </w:tblGrid>
      <w:tr w:rsidR="00973B3B" w:rsidRPr="00FB29A2" w:rsidTr="00CB41D0">
        <w:trPr>
          <w:cantSplit/>
          <w:tblHeader/>
        </w:trPr>
        <w:tc>
          <w:tcPr>
            <w:tcW w:w="1716" w:type="dxa"/>
            <w:shd w:val="clear" w:color="auto" w:fill="auto"/>
            <w:vAlign w:val="bottom"/>
          </w:tcPr>
          <w:p w:rsidR="00973B3B" w:rsidRPr="00FB29A2" w:rsidRDefault="00973B3B" w:rsidP="00B504A4">
            <w:pPr>
              <w:spacing w:beforeLines="20" w:before="48" w:afterLines="20" w:after="48" w:line="240" w:lineRule="auto"/>
              <w:rPr>
                <w:rFonts w:cs="Arial"/>
                <w:b/>
                <w:bCs/>
                <w:sz w:val="18"/>
                <w:szCs w:val="18"/>
              </w:rPr>
            </w:pPr>
            <w:r w:rsidRPr="00FB29A2">
              <w:rPr>
                <w:rFonts w:cs="Arial"/>
                <w:b/>
                <w:bCs/>
                <w:sz w:val="18"/>
                <w:szCs w:val="18"/>
              </w:rPr>
              <w:t>Consultant Name</w:t>
            </w:r>
          </w:p>
        </w:tc>
        <w:tc>
          <w:tcPr>
            <w:tcW w:w="993" w:type="dxa"/>
            <w:shd w:val="clear" w:color="auto" w:fill="auto"/>
            <w:vAlign w:val="bottom"/>
          </w:tcPr>
          <w:p w:rsidR="00973B3B" w:rsidRPr="00FB29A2" w:rsidRDefault="00973B3B" w:rsidP="00B504A4">
            <w:pPr>
              <w:tabs>
                <w:tab w:val="clear" w:pos="567"/>
              </w:tabs>
              <w:spacing w:beforeLines="20" w:before="48" w:afterLines="20" w:after="48" w:line="240" w:lineRule="auto"/>
              <w:ind w:left="-108" w:right="-108"/>
              <w:rPr>
                <w:rFonts w:cs="Arial"/>
                <w:b/>
                <w:bCs/>
                <w:sz w:val="18"/>
                <w:szCs w:val="18"/>
              </w:rPr>
            </w:pPr>
            <w:r w:rsidRPr="00FB29A2">
              <w:rPr>
                <w:rFonts w:cs="Arial"/>
                <w:b/>
                <w:bCs/>
                <w:sz w:val="18"/>
                <w:szCs w:val="18"/>
              </w:rPr>
              <w:t>Location</w:t>
            </w:r>
          </w:p>
        </w:tc>
        <w:tc>
          <w:tcPr>
            <w:tcW w:w="3118" w:type="dxa"/>
            <w:shd w:val="clear" w:color="auto" w:fill="auto"/>
            <w:vAlign w:val="bottom"/>
          </w:tcPr>
          <w:p w:rsidR="00973B3B" w:rsidRPr="00FB29A2" w:rsidRDefault="00973B3B" w:rsidP="00B504A4">
            <w:pPr>
              <w:spacing w:beforeLines="20" w:before="48" w:afterLines="20" w:after="48" w:line="240" w:lineRule="auto"/>
              <w:ind w:right="198"/>
              <w:rPr>
                <w:rFonts w:cs="Arial"/>
                <w:b/>
                <w:bCs/>
                <w:sz w:val="18"/>
                <w:szCs w:val="18"/>
              </w:rPr>
            </w:pPr>
            <w:r w:rsidRPr="00FB29A2">
              <w:rPr>
                <w:rFonts w:cs="Arial"/>
                <w:b/>
                <w:bCs/>
                <w:sz w:val="18"/>
                <w:szCs w:val="18"/>
              </w:rPr>
              <w:t>Consultancy Description</w:t>
            </w:r>
          </w:p>
        </w:tc>
        <w:tc>
          <w:tcPr>
            <w:tcW w:w="1985" w:type="dxa"/>
            <w:shd w:val="clear" w:color="auto" w:fill="auto"/>
            <w:vAlign w:val="bottom"/>
          </w:tcPr>
          <w:p w:rsidR="00973B3B" w:rsidRPr="00FB29A2" w:rsidRDefault="00973B3B" w:rsidP="00B504A4">
            <w:pPr>
              <w:spacing w:beforeLines="20" w:before="48" w:afterLines="20" w:after="48" w:line="240" w:lineRule="auto"/>
              <w:ind w:left="-108" w:right="33"/>
              <w:jc w:val="right"/>
              <w:rPr>
                <w:rFonts w:cs="Arial"/>
                <w:b/>
                <w:bCs/>
                <w:sz w:val="18"/>
                <w:szCs w:val="18"/>
              </w:rPr>
            </w:pPr>
            <w:r w:rsidRPr="00FB29A2">
              <w:rPr>
                <w:rFonts w:cs="Arial"/>
                <w:b/>
                <w:bCs/>
                <w:sz w:val="18"/>
                <w:szCs w:val="18"/>
              </w:rPr>
              <w:t>Period of Consultancy</w:t>
            </w:r>
          </w:p>
        </w:tc>
        <w:tc>
          <w:tcPr>
            <w:tcW w:w="1417" w:type="dxa"/>
            <w:shd w:val="clear" w:color="auto" w:fill="auto"/>
            <w:vAlign w:val="bottom"/>
          </w:tcPr>
          <w:p w:rsidR="00973B3B" w:rsidRPr="00FB29A2" w:rsidRDefault="00973B3B" w:rsidP="00B504A4">
            <w:pPr>
              <w:spacing w:beforeLines="20" w:before="48" w:afterLines="20" w:after="48" w:line="240" w:lineRule="auto"/>
              <w:ind w:left="-108" w:right="58"/>
              <w:jc w:val="right"/>
              <w:rPr>
                <w:rFonts w:cs="Arial"/>
                <w:b/>
                <w:bCs/>
                <w:sz w:val="18"/>
                <w:szCs w:val="18"/>
              </w:rPr>
            </w:pPr>
            <w:r w:rsidRPr="00FB29A2">
              <w:rPr>
                <w:rFonts w:cs="Arial"/>
                <w:b/>
                <w:bCs/>
                <w:sz w:val="18"/>
                <w:szCs w:val="18"/>
              </w:rPr>
              <w:t xml:space="preserve">Total Value </w:t>
            </w:r>
            <w:r w:rsidR="00CB41D0" w:rsidRPr="00FB29A2">
              <w:rPr>
                <w:rFonts w:cs="Arial"/>
                <w:b/>
                <w:bCs/>
                <w:sz w:val="18"/>
                <w:szCs w:val="18"/>
              </w:rPr>
              <w:br/>
            </w:r>
            <w:r w:rsidRPr="00FB29A2">
              <w:rPr>
                <w:rFonts w:cs="Arial"/>
                <w:b/>
                <w:bCs/>
                <w:sz w:val="18"/>
                <w:szCs w:val="18"/>
              </w:rPr>
              <w:t>$</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BDO (Tas) Pty Ltd</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5242A6">
            <w:pPr>
              <w:spacing w:beforeLines="20" w:before="48" w:afterLines="20" w:after="48" w:line="240" w:lineRule="auto"/>
            </w:pPr>
            <w:r w:rsidRPr="001B05C8">
              <w:rPr>
                <w:rFonts w:cs="Arial"/>
                <w:color w:val="000000"/>
                <w:sz w:val="17"/>
                <w:szCs w:val="17"/>
              </w:rPr>
              <w:t>Audi</w:t>
            </w:r>
            <w:r w:rsidR="005242A6">
              <w:rPr>
                <w:rFonts w:cs="Arial"/>
                <w:color w:val="000000"/>
                <w:sz w:val="17"/>
                <w:szCs w:val="17"/>
              </w:rPr>
              <w:t>t, Tax and Consultancy Services</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5242A6"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5242A6">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Bentleys Tasmania</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B504A4">
            <w:pPr>
              <w:spacing w:beforeLines="20" w:before="48" w:afterLines="20" w:after="48" w:line="240" w:lineRule="auto"/>
            </w:pPr>
            <w:r w:rsidRPr="001B05C8">
              <w:rPr>
                <w:rFonts w:cs="Arial"/>
                <w:color w:val="000000"/>
                <w:sz w:val="17"/>
                <w:szCs w:val="17"/>
              </w:rPr>
              <w:t xml:space="preserve">Audit, Tax and Consultancy Services </w:t>
            </w:r>
            <w:r w:rsidR="005242A6" w:rsidRPr="005242A6">
              <w:rPr>
                <w:rFonts w:cs="Arial"/>
                <w:color w:val="000000"/>
                <w:sz w:val="17"/>
                <w:szCs w:val="17"/>
                <w:vertAlign w:val="superscript"/>
              </w:rPr>
              <w:t>1</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5242A6"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5242A6">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RSM Bird Cameron</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ACT</w:t>
            </w:r>
          </w:p>
        </w:tc>
        <w:tc>
          <w:tcPr>
            <w:tcW w:w="3118"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Budget Management and Forecasting - Consultancy Services</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06/11/2014 - 05/02/2015</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113 560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Crowe Horwath</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B504A4">
            <w:pPr>
              <w:spacing w:beforeLines="20" w:before="48" w:afterLines="20" w:after="48" w:line="240" w:lineRule="auto"/>
            </w:pPr>
            <w:r w:rsidRPr="001B05C8">
              <w:rPr>
                <w:rFonts w:cs="Arial"/>
                <w:color w:val="000000"/>
                <w:sz w:val="17"/>
                <w:szCs w:val="17"/>
              </w:rPr>
              <w:t xml:space="preserve">Audit, Tax and Consultancy Services </w:t>
            </w:r>
            <w:r w:rsidR="005242A6" w:rsidRPr="005242A6">
              <w:rPr>
                <w:rFonts w:cs="Arial"/>
                <w:color w:val="000000"/>
                <w:sz w:val="17"/>
                <w:szCs w:val="17"/>
                <w:vertAlign w:val="superscript"/>
              </w:rPr>
              <w:t>1</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5242A6"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5242A6">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 xml:space="preserve">Deloitte </w:t>
            </w:r>
            <w:proofErr w:type="spellStart"/>
            <w:r w:rsidRPr="001B05C8">
              <w:rPr>
                <w:rFonts w:cs="Arial"/>
                <w:color w:val="000000"/>
                <w:sz w:val="17"/>
                <w:szCs w:val="17"/>
              </w:rPr>
              <w:t>Touche</w:t>
            </w:r>
            <w:proofErr w:type="spellEnd"/>
            <w:r w:rsidRPr="001B05C8">
              <w:rPr>
                <w:rFonts w:cs="Arial"/>
                <w:color w:val="000000"/>
                <w:sz w:val="17"/>
                <w:szCs w:val="17"/>
              </w:rPr>
              <w:t xml:space="preserve"> Tohmatsu</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B504A4">
            <w:pPr>
              <w:spacing w:beforeLines="20" w:before="48" w:afterLines="20" w:after="48" w:line="240" w:lineRule="auto"/>
            </w:pPr>
            <w:r w:rsidRPr="001B05C8">
              <w:rPr>
                <w:rFonts w:cs="Arial"/>
                <w:color w:val="000000"/>
                <w:sz w:val="17"/>
                <w:szCs w:val="17"/>
              </w:rPr>
              <w:t xml:space="preserve">Audit, Tax and Consultancy Services </w:t>
            </w:r>
            <w:r w:rsidR="005242A6" w:rsidRPr="005242A6">
              <w:rPr>
                <w:rFonts w:cs="Arial"/>
                <w:color w:val="000000"/>
                <w:sz w:val="17"/>
                <w:szCs w:val="17"/>
                <w:vertAlign w:val="superscript"/>
              </w:rPr>
              <w:t>1</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766A9E"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766A9E">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Health Recruitment Specialists Pty Ltd</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Vic</w:t>
            </w:r>
          </w:p>
        </w:tc>
        <w:tc>
          <w:tcPr>
            <w:tcW w:w="3118"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Tasmanian Health Organisation South - Implementation Assistance Financial Recovery Plan Project</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30/10/2014 - 31/01/2015</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79 200</w:t>
            </w:r>
          </w:p>
        </w:tc>
      </w:tr>
      <w:tr w:rsidR="00973B3B" w:rsidRPr="001B05C8" w:rsidTr="003D593F">
        <w:tblPrEx>
          <w:tblLook w:val="04A0" w:firstRow="1" w:lastRow="0" w:firstColumn="1" w:lastColumn="0" w:noHBand="0" w:noVBand="1"/>
        </w:tblPrEx>
        <w:trPr>
          <w:cantSplit/>
        </w:trPr>
        <w:tc>
          <w:tcPr>
            <w:tcW w:w="1716" w:type="dxa"/>
            <w:tcBorders>
              <w:bottom w:val="single" w:sz="2" w:space="0" w:color="808080" w:themeColor="background1" w:themeShade="80"/>
            </w:tcBorders>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KPMG</w:t>
            </w:r>
          </w:p>
        </w:tc>
        <w:tc>
          <w:tcPr>
            <w:tcW w:w="993" w:type="dxa"/>
            <w:tcBorders>
              <w:bottom w:val="single" w:sz="2" w:space="0" w:color="808080" w:themeColor="background1" w:themeShade="80"/>
            </w:tcBorders>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Vic</w:t>
            </w:r>
          </w:p>
        </w:tc>
        <w:tc>
          <w:tcPr>
            <w:tcW w:w="3118" w:type="dxa"/>
            <w:tcBorders>
              <w:bottom w:val="single" w:sz="2" w:space="0" w:color="808080" w:themeColor="background1" w:themeShade="80"/>
            </w:tcBorders>
            <w:shd w:val="clear" w:color="auto" w:fill="auto"/>
            <w:vAlign w:val="center"/>
            <w:hideMark/>
          </w:tcPr>
          <w:p w:rsidR="00973B3B" w:rsidRPr="001B05C8" w:rsidRDefault="00573CC2" w:rsidP="00B504A4">
            <w:pPr>
              <w:spacing w:beforeLines="20" w:before="48" w:afterLines="20" w:after="48" w:line="240" w:lineRule="auto"/>
              <w:outlineLvl w:val="1"/>
              <w:rPr>
                <w:rFonts w:cs="Arial"/>
                <w:color w:val="000000"/>
                <w:sz w:val="17"/>
                <w:szCs w:val="17"/>
              </w:rPr>
            </w:pPr>
            <w:r>
              <w:rPr>
                <w:rFonts w:cs="Arial"/>
                <w:color w:val="000000"/>
                <w:sz w:val="17"/>
                <w:szCs w:val="17"/>
              </w:rPr>
              <w:t>Royal Hobart Hospital</w:t>
            </w:r>
            <w:r w:rsidR="00973B3B" w:rsidRPr="001B05C8">
              <w:rPr>
                <w:rFonts w:cs="Arial"/>
                <w:color w:val="000000"/>
                <w:sz w:val="17"/>
                <w:szCs w:val="17"/>
              </w:rPr>
              <w:t xml:space="preserve"> Redevelopment - Cost Benefit Analysis</w:t>
            </w:r>
          </w:p>
        </w:tc>
        <w:tc>
          <w:tcPr>
            <w:tcW w:w="1985" w:type="dxa"/>
            <w:tcBorders>
              <w:bottom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15/08/2014 - 03/10/2014</w:t>
            </w:r>
          </w:p>
        </w:tc>
        <w:tc>
          <w:tcPr>
            <w:tcW w:w="1417" w:type="dxa"/>
            <w:tcBorders>
              <w:bottom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199 950</w:t>
            </w:r>
          </w:p>
        </w:tc>
      </w:tr>
      <w:tr w:rsidR="00973B3B" w:rsidRPr="001B05C8" w:rsidTr="003D593F">
        <w:tblPrEx>
          <w:tblLook w:val="04A0" w:firstRow="1" w:lastRow="0" w:firstColumn="1" w:lastColumn="0" w:noHBand="0" w:noVBand="1"/>
        </w:tblPrEx>
        <w:trPr>
          <w:cantSplit/>
        </w:trPr>
        <w:tc>
          <w:tcPr>
            <w:tcW w:w="1716"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KPMG</w:t>
            </w:r>
          </w:p>
        </w:tc>
        <w:tc>
          <w:tcPr>
            <w:tcW w:w="993"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5242A6">
            <w:pPr>
              <w:spacing w:beforeLines="20" w:before="48" w:afterLines="20" w:after="48" w:line="240" w:lineRule="auto"/>
            </w:pPr>
            <w:r w:rsidRPr="001B05C8">
              <w:rPr>
                <w:rFonts w:cs="Arial"/>
                <w:color w:val="000000"/>
                <w:sz w:val="17"/>
                <w:szCs w:val="17"/>
              </w:rPr>
              <w:t xml:space="preserve">Audit, Tax and Consultancy Services </w:t>
            </w:r>
            <w:r w:rsidR="005242A6">
              <w:rPr>
                <w:rFonts w:cs="Arial"/>
                <w:color w:val="000000"/>
                <w:sz w:val="17"/>
                <w:szCs w:val="17"/>
                <w:vertAlign w:val="superscript"/>
              </w:rPr>
              <w:t>1</w:t>
            </w:r>
          </w:p>
        </w:tc>
        <w:tc>
          <w:tcPr>
            <w:tcW w:w="1985"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766A9E"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766A9E">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3D593F">
        <w:tblPrEx>
          <w:tblLook w:val="04A0" w:firstRow="1" w:lastRow="0" w:firstColumn="1" w:lastColumn="0" w:noHBand="0" w:noVBand="1"/>
        </w:tblPrEx>
        <w:trPr>
          <w:cantSplit/>
        </w:trPr>
        <w:tc>
          <w:tcPr>
            <w:tcW w:w="1716" w:type="dxa"/>
            <w:tcBorders>
              <w:top w:val="single" w:sz="2" w:space="0" w:color="808080" w:themeColor="background1" w:themeShade="80"/>
            </w:tcBorders>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lastRenderedPageBreak/>
              <w:t>Operational Research in Health Limited</w:t>
            </w:r>
          </w:p>
        </w:tc>
        <w:tc>
          <w:tcPr>
            <w:tcW w:w="993" w:type="dxa"/>
            <w:tcBorders>
              <w:top w:val="single" w:sz="2" w:space="0" w:color="808080" w:themeColor="background1" w:themeShade="80"/>
            </w:tcBorders>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UK</w:t>
            </w:r>
          </w:p>
        </w:tc>
        <w:tc>
          <w:tcPr>
            <w:tcW w:w="3118" w:type="dxa"/>
            <w:tcBorders>
              <w:top w:val="single" w:sz="2" w:space="0" w:color="808080" w:themeColor="background1" w:themeShade="80"/>
            </w:tcBorders>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Business Case - 20 year Asset Management Strategy for Ambulance Tasmania Operational Infrastructure Requirements</w:t>
            </w:r>
          </w:p>
        </w:tc>
        <w:tc>
          <w:tcPr>
            <w:tcW w:w="1985" w:type="dxa"/>
            <w:tcBorders>
              <w:top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12/09/2014 - 19/01/2015</w:t>
            </w:r>
          </w:p>
        </w:tc>
        <w:tc>
          <w:tcPr>
            <w:tcW w:w="1417" w:type="dxa"/>
            <w:tcBorders>
              <w:top w:val="single" w:sz="2" w:space="0" w:color="808080" w:themeColor="background1" w:themeShade="80"/>
            </w:tcBorders>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179 450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The Litmus Group Pty Ltd</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5242A6">
            <w:pPr>
              <w:spacing w:beforeLines="20" w:before="48" w:afterLines="20" w:after="48" w:line="240" w:lineRule="auto"/>
            </w:pPr>
            <w:r w:rsidRPr="001B05C8">
              <w:rPr>
                <w:rFonts w:cs="Arial"/>
                <w:color w:val="000000"/>
                <w:sz w:val="17"/>
                <w:szCs w:val="17"/>
              </w:rPr>
              <w:t xml:space="preserve">Audit, Tax and Consultancy Services </w:t>
            </w:r>
            <w:r w:rsidR="005242A6">
              <w:rPr>
                <w:rFonts w:cs="Arial"/>
                <w:color w:val="000000"/>
                <w:sz w:val="17"/>
                <w:szCs w:val="17"/>
                <w:vertAlign w:val="superscript"/>
              </w:rPr>
              <w:t>1</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766A9E"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766A9E">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The University of Queensland</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Qld</w:t>
            </w:r>
          </w:p>
        </w:tc>
        <w:tc>
          <w:tcPr>
            <w:tcW w:w="3118"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Tasmanian Home and Community Care Program Client Group Analysis</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21/07/2014 - 19/01/2015</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225 082</w:t>
            </w:r>
          </w:p>
        </w:tc>
      </w:tr>
      <w:tr w:rsidR="00973B3B" w:rsidRPr="001B05C8" w:rsidTr="00CB41D0">
        <w:tblPrEx>
          <w:tblLook w:val="04A0" w:firstRow="1" w:lastRow="0" w:firstColumn="1" w:lastColumn="0" w:noHBand="0" w:noVBand="1"/>
        </w:tblPrEx>
        <w:trPr>
          <w:cantSplit/>
        </w:trPr>
        <w:tc>
          <w:tcPr>
            <w:tcW w:w="1716" w:type="dxa"/>
            <w:shd w:val="clear" w:color="auto" w:fill="auto"/>
            <w:vAlign w:val="center"/>
            <w:hideMark/>
          </w:tcPr>
          <w:p w:rsidR="00973B3B" w:rsidRPr="001B05C8" w:rsidRDefault="00973B3B" w:rsidP="00B504A4">
            <w:pPr>
              <w:spacing w:beforeLines="20" w:before="48" w:afterLines="20" w:after="48" w:line="240" w:lineRule="auto"/>
              <w:outlineLvl w:val="1"/>
              <w:rPr>
                <w:rFonts w:cs="Arial"/>
                <w:color w:val="000000"/>
                <w:sz w:val="17"/>
                <w:szCs w:val="17"/>
              </w:rPr>
            </w:pPr>
            <w:r w:rsidRPr="001B05C8">
              <w:rPr>
                <w:rFonts w:cs="Arial"/>
                <w:color w:val="000000"/>
                <w:sz w:val="17"/>
                <w:szCs w:val="17"/>
              </w:rPr>
              <w:t>Wise Lord and Ferguson</w:t>
            </w:r>
          </w:p>
        </w:tc>
        <w:tc>
          <w:tcPr>
            <w:tcW w:w="993" w:type="dxa"/>
            <w:shd w:val="clear" w:color="auto" w:fill="auto"/>
            <w:noWrap/>
            <w:vAlign w:val="center"/>
            <w:hideMark/>
          </w:tcPr>
          <w:p w:rsidR="00973B3B" w:rsidRPr="001B05C8" w:rsidRDefault="00973B3B" w:rsidP="00B260F0">
            <w:pPr>
              <w:spacing w:beforeLines="20" w:before="48" w:afterLines="20" w:after="48" w:line="240" w:lineRule="auto"/>
              <w:outlineLvl w:val="1"/>
              <w:rPr>
                <w:rFonts w:cs="Arial"/>
                <w:color w:val="000000"/>
                <w:sz w:val="17"/>
                <w:szCs w:val="17"/>
              </w:rPr>
            </w:pPr>
            <w:r w:rsidRPr="001B05C8">
              <w:rPr>
                <w:rFonts w:cs="Arial"/>
                <w:color w:val="000000"/>
                <w:sz w:val="17"/>
                <w:szCs w:val="17"/>
              </w:rPr>
              <w:t>Tas</w:t>
            </w:r>
          </w:p>
        </w:tc>
        <w:tc>
          <w:tcPr>
            <w:tcW w:w="3118" w:type="dxa"/>
            <w:shd w:val="clear" w:color="auto" w:fill="auto"/>
            <w:vAlign w:val="center"/>
            <w:hideMark/>
          </w:tcPr>
          <w:p w:rsidR="00973B3B" w:rsidRPr="001B05C8" w:rsidRDefault="00973B3B" w:rsidP="005242A6">
            <w:pPr>
              <w:spacing w:beforeLines="20" w:before="48" w:afterLines="20" w:after="48" w:line="240" w:lineRule="auto"/>
              <w:outlineLvl w:val="1"/>
              <w:rPr>
                <w:rFonts w:cs="Arial"/>
                <w:color w:val="000000"/>
                <w:sz w:val="17"/>
                <w:szCs w:val="17"/>
              </w:rPr>
            </w:pPr>
            <w:r w:rsidRPr="001B05C8">
              <w:rPr>
                <w:rFonts w:cs="Arial"/>
                <w:color w:val="000000"/>
                <w:sz w:val="17"/>
                <w:szCs w:val="17"/>
              </w:rPr>
              <w:t xml:space="preserve">Audit, Tax and Consultancy Services </w:t>
            </w:r>
            <w:r w:rsidR="005242A6">
              <w:rPr>
                <w:rFonts w:cs="Arial"/>
                <w:color w:val="000000"/>
                <w:sz w:val="17"/>
                <w:szCs w:val="17"/>
                <w:vertAlign w:val="superscript"/>
              </w:rPr>
              <w:t>1</w:t>
            </w:r>
          </w:p>
        </w:tc>
        <w:tc>
          <w:tcPr>
            <w:tcW w:w="1985"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01/10/2014 - 30/09/2017</w:t>
            </w:r>
          </w:p>
          <w:p w:rsidR="00973B3B" w:rsidRPr="00766A9E" w:rsidRDefault="00973B3B" w:rsidP="00B504A4">
            <w:pPr>
              <w:spacing w:beforeLines="20" w:before="48" w:afterLines="20" w:after="48" w:line="240" w:lineRule="auto"/>
              <w:jc w:val="right"/>
              <w:outlineLvl w:val="1"/>
              <w:rPr>
                <w:rFonts w:cs="Arial"/>
                <w:color w:val="000000"/>
                <w:sz w:val="17"/>
                <w:szCs w:val="17"/>
                <w:vertAlign w:val="superscript"/>
              </w:rPr>
            </w:pPr>
            <w:r w:rsidRPr="001B05C8">
              <w:rPr>
                <w:rFonts w:cs="Arial"/>
                <w:color w:val="000000"/>
                <w:sz w:val="17"/>
                <w:szCs w:val="17"/>
              </w:rPr>
              <w:t>Option to extend</w:t>
            </w:r>
            <w:r w:rsidR="00766A9E">
              <w:rPr>
                <w:rFonts w:cs="Arial"/>
                <w:color w:val="000000"/>
                <w:sz w:val="17"/>
                <w:szCs w:val="17"/>
                <w:vertAlign w:val="superscript"/>
              </w:rPr>
              <w:t>2</w:t>
            </w: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01/10/2017 - 30/09/2023</w:t>
            </w:r>
          </w:p>
        </w:tc>
        <w:tc>
          <w:tcPr>
            <w:tcW w:w="1417" w:type="dxa"/>
            <w:shd w:val="clear" w:color="auto" w:fill="auto"/>
            <w:noWrap/>
            <w:vAlign w:val="center"/>
            <w:hideMark/>
          </w:tcPr>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 xml:space="preserve">  0</w:t>
            </w:r>
          </w:p>
          <w:p w:rsidR="00973B3B" w:rsidRPr="001B05C8" w:rsidRDefault="00973B3B" w:rsidP="00B504A4">
            <w:pPr>
              <w:spacing w:beforeLines="20" w:before="48" w:afterLines="20" w:after="48" w:line="240" w:lineRule="auto"/>
              <w:jc w:val="right"/>
              <w:outlineLvl w:val="1"/>
              <w:rPr>
                <w:rFonts w:cs="Arial"/>
                <w:color w:val="000000"/>
                <w:sz w:val="17"/>
                <w:szCs w:val="17"/>
              </w:rPr>
            </w:pPr>
          </w:p>
          <w:p w:rsidR="00973B3B" w:rsidRPr="001B05C8" w:rsidRDefault="00973B3B" w:rsidP="00B504A4">
            <w:pPr>
              <w:spacing w:beforeLines="20" w:before="48" w:afterLines="20" w:after="48" w:line="240" w:lineRule="auto"/>
              <w:jc w:val="right"/>
              <w:outlineLvl w:val="1"/>
              <w:rPr>
                <w:rFonts w:cs="Arial"/>
                <w:color w:val="000000"/>
                <w:sz w:val="17"/>
                <w:szCs w:val="17"/>
              </w:rPr>
            </w:pPr>
            <w:r w:rsidRPr="001B05C8">
              <w:rPr>
                <w:rFonts w:cs="Arial"/>
                <w:color w:val="000000"/>
                <w:sz w:val="17"/>
                <w:szCs w:val="17"/>
              </w:rPr>
              <w:t>0</w:t>
            </w:r>
          </w:p>
        </w:tc>
      </w:tr>
      <w:tr w:rsidR="00973B3B" w:rsidRPr="001B05C8" w:rsidTr="00CB41D0">
        <w:trPr>
          <w:cantSplit/>
        </w:trPr>
        <w:tc>
          <w:tcPr>
            <w:tcW w:w="9229" w:type="dxa"/>
            <w:gridSpan w:val="5"/>
            <w:shd w:val="clear" w:color="auto" w:fill="auto"/>
            <w:vAlign w:val="center"/>
          </w:tcPr>
          <w:p w:rsidR="00973B3B" w:rsidRPr="005242A6" w:rsidRDefault="00973B3B" w:rsidP="005242A6">
            <w:pPr>
              <w:tabs>
                <w:tab w:val="left" w:pos="447"/>
                <w:tab w:val="left" w:pos="3022"/>
              </w:tabs>
              <w:spacing w:beforeLines="20" w:before="48" w:afterLines="20" w:after="48" w:line="240" w:lineRule="auto"/>
              <w:ind w:left="474" w:right="33" w:hanging="474"/>
              <w:outlineLvl w:val="1"/>
              <w:rPr>
                <w:rFonts w:cs="Arial"/>
                <w:color w:val="000000"/>
                <w:sz w:val="18"/>
                <w:szCs w:val="18"/>
              </w:rPr>
            </w:pPr>
            <w:r w:rsidRPr="005242A6">
              <w:rPr>
                <w:rFonts w:cs="Arial"/>
                <w:color w:val="000000"/>
                <w:sz w:val="18"/>
                <w:szCs w:val="18"/>
              </w:rPr>
              <w:t>Notes:</w:t>
            </w:r>
          </w:p>
          <w:p w:rsidR="00973B3B" w:rsidRPr="005242A6" w:rsidRDefault="005242A6" w:rsidP="005242A6">
            <w:pPr>
              <w:tabs>
                <w:tab w:val="left" w:pos="474"/>
                <w:tab w:val="left" w:pos="3022"/>
              </w:tabs>
              <w:spacing w:beforeLines="20" w:before="48" w:afterLines="20" w:after="48" w:line="240" w:lineRule="auto"/>
              <w:ind w:left="476" w:hanging="476"/>
              <w:rPr>
                <w:sz w:val="18"/>
                <w:szCs w:val="18"/>
              </w:rPr>
            </w:pPr>
            <w:r w:rsidRPr="005242A6">
              <w:rPr>
                <w:sz w:val="18"/>
                <w:szCs w:val="18"/>
              </w:rPr>
              <w:t>1</w:t>
            </w:r>
            <w:r w:rsidR="00973B3B" w:rsidRPr="005242A6">
              <w:rPr>
                <w:sz w:val="18"/>
                <w:szCs w:val="18"/>
              </w:rPr>
              <w:tab/>
              <w:t xml:space="preserve">Signifies a panel contract - </w:t>
            </w:r>
            <w:r w:rsidR="00973B3B" w:rsidRPr="005242A6">
              <w:rPr>
                <w:rFonts w:cs="GillSansMT"/>
                <w:sz w:val="18"/>
                <w:szCs w:val="18"/>
              </w:rPr>
              <w:t>as individual consultant sales are not guaranteed under this arrangement, individual contract values are shown as zero</w:t>
            </w:r>
            <w:r w:rsidR="00973B3B" w:rsidRPr="005242A6">
              <w:rPr>
                <w:sz w:val="18"/>
                <w:szCs w:val="18"/>
              </w:rPr>
              <w:t>.</w:t>
            </w:r>
          </w:p>
          <w:p w:rsidR="00973B3B" w:rsidRPr="001B05C8" w:rsidRDefault="005242A6" w:rsidP="005242A6">
            <w:pPr>
              <w:tabs>
                <w:tab w:val="left" w:pos="447"/>
                <w:tab w:val="left" w:pos="3022"/>
              </w:tabs>
              <w:spacing w:beforeLines="20" w:before="48" w:afterLines="20" w:after="48" w:line="240" w:lineRule="auto"/>
              <w:rPr>
                <w:rFonts w:cs="Arial"/>
                <w:color w:val="000000"/>
                <w:sz w:val="17"/>
                <w:szCs w:val="17"/>
              </w:rPr>
            </w:pPr>
            <w:r w:rsidRPr="005242A6">
              <w:rPr>
                <w:sz w:val="18"/>
                <w:szCs w:val="18"/>
              </w:rPr>
              <w:t>2</w:t>
            </w:r>
            <w:r w:rsidRPr="005242A6">
              <w:rPr>
                <w:sz w:val="18"/>
                <w:szCs w:val="18"/>
              </w:rPr>
              <w:tab/>
            </w:r>
            <w:r w:rsidR="00973B3B" w:rsidRPr="005242A6">
              <w:rPr>
                <w:sz w:val="18"/>
                <w:szCs w:val="18"/>
              </w:rPr>
              <w:t xml:space="preserve">In accordance with Treasurer’s Instruction 1111, the period of a contract for reporting purposes includes any option to </w:t>
            </w:r>
            <w:r w:rsidRPr="005242A6">
              <w:rPr>
                <w:sz w:val="18"/>
                <w:szCs w:val="18"/>
              </w:rPr>
              <w:tab/>
            </w:r>
            <w:r w:rsidR="00973B3B" w:rsidRPr="005242A6">
              <w:rPr>
                <w:sz w:val="18"/>
                <w:szCs w:val="18"/>
              </w:rPr>
              <w:t xml:space="preserve">extend.  Where applicable, the principal period of the contract is identified as well as any option to extend; this does not </w:t>
            </w:r>
            <w:r w:rsidRPr="005242A6">
              <w:rPr>
                <w:sz w:val="18"/>
                <w:szCs w:val="18"/>
              </w:rPr>
              <w:tab/>
            </w:r>
            <w:r w:rsidR="00973B3B" w:rsidRPr="005242A6">
              <w:rPr>
                <w:sz w:val="18"/>
                <w:szCs w:val="18"/>
              </w:rPr>
              <w:t>signify that the option has been or will be exercised by the Department.  All values exclude GST.</w:t>
            </w:r>
          </w:p>
        </w:tc>
      </w:tr>
    </w:tbl>
    <w:p w:rsidR="00973B3B" w:rsidRPr="001B05C8" w:rsidRDefault="00973B3B" w:rsidP="00973B3B">
      <w:pPr>
        <w:spacing w:after="85" w:line="300" w:lineRule="exact"/>
        <w:ind w:right="-766"/>
      </w:pPr>
    </w:p>
    <w:p w:rsidR="00973B3B" w:rsidRPr="00573CC2" w:rsidRDefault="004966D5" w:rsidP="00573CC2">
      <w:pPr>
        <w:pStyle w:val="Heading4"/>
      </w:pPr>
      <w:r>
        <w:t>Contracts Awarded</w:t>
      </w:r>
    </w:p>
    <w:p w:rsidR="00973B3B" w:rsidRPr="001B05C8" w:rsidRDefault="00973B3B" w:rsidP="00973B3B">
      <w:pPr>
        <w:spacing w:after="240" w:line="300" w:lineRule="exact"/>
        <w:ind w:right="-187"/>
      </w:pPr>
      <w:r w:rsidRPr="001B05C8">
        <w:t>The following table provides detailed information on contracts awarded in the 2014-15 financial year with a value of $50 000 or over and excludes consultancy contracts.</w:t>
      </w:r>
    </w:p>
    <w:tbl>
      <w:tblPr>
        <w:tblW w:w="9372" w:type="dxa"/>
        <w:tblInd w:w="93" w:type="dxa"/>
        <w:tblBorders>
          <w:insideH w:val="single" w:sz="2" w:space="0" w:color="808080" w:themeColor="background1" w:themeShade="80"/>
        </w:tblBorders>
        <w:tblLayout w:type="fixed"/>
        <w:tblLook w:val="0000" w:firstRow="0" w:lastRow="0" w:firstColumn="0" w:lastColumn="0" w:noHBand="0" w:noVBand="0"/>
      </w:tblPr>
      <w:tblGrid>
        <w:gridCol w:w="1857"/>
        <w:gridCol w:w="852"/>
        <w:gridCol w:w="142"/>
        <w:gridCol w:w="2975"/>
        <w:gridCol w:w="142"/>
        <w:gridCol w:w="1985"/>
        <w:gridCol w:w="142"/>
        <w:gridCol w:w="1135"/>
        <w:gridCol w:w="142"/>
      </w:tblGrid>
      <w:tr w:rsidR="00973B3B" w:rsidRPr="00FB29A2" w:rsidTr="00462FB2">
        <w:trPr>
          <w:cantSplit/>
          <w:tblHeader/>
        </w:trPr>
        <w:tc>
          <w:tcPr>
            <w:tcW w:w="1857" w:type="dxa"/>
            <w:shd w:val="clear" w:color="auto" w:fill="auto"/>
            <w:vAlign w:val="center"/>
          </w:tcPr>
          <w:p w:rsidR="00973B3B" w:rsidRPr="00FB29A2" w:rsidRDefault="00973B3B" w:rsidP="00766A9E">
            <w:pPr>
              <w:pStyle w:val="Table-AnnualReport"/>
              <w:spacing w:beforeLines="20" w:before="48" w:afterLines="20" w:after="48" w:line="240" w:lineRule="auto"/>
              <w:rPr>
                <w:b/>
                <w:szCs w:val="18"/>
              </w:rPr>
            </w:pPr>
            <w:r w:rsidRPr="00FB29A2">
              <w:rPr>
                <w:b/>
                <w:szCs w:val="18"/>
              </w:rPr>
              <w:t xml:space="preserve">Contractor Name </w:t>
            </w:r>
          </w:p>
        </w:tc>
        <w:tc>
          <w:tcPr>
            <w:tcW w:w="994" w:type="dxa"/>
            <w:gridSpan w:val="2"/>
            <w:shd w:val="clear" w:color="auto" w:fill="auto"/>
            <w:vAlign w:val="center"/>
          </w:tcPr>
          <w:p w:rsidR="00973B3B" w:rsidRPr="00FB29A2" w:rsidRDefault="00973B3B" w:rsidP="00766A9E">
            <w:pPr>
              <w:pStyle w:val="Table-AnnualReport"/>
              <w:spacing w:beforeLines="20" w:before="48" w:afterLines="20" w:after="48" w:line="240" w:lineRule="auto"/>
              <w:rPr>
                <w:b/>
                <w:szCs w:val="18"/>
              </w:rPr>
            </w:pPr>
            <w:r w:rsidRPr="00FB29A2">
              <w:rPr>
                <w:b/>
                <w:szCs w:val="18"/>
              </w:rPr>
              <w:t>Location</w:t>
            </w:r>
          </w:p>
        </w:tc>
        <w:tc>
          <w:tcPr>
            <w:tcW w:w="3117" w:type="dxa"/>
            <w:gridSpan w:val="2"/>
            <w:shd w:val="clear" w:color="auto" w:fill="auto"/>
            <w:vAlign w:val="center"/>
          </w:tcPr>
          <w:p w:rsidR="00973B3B" w:rsidRPr="00FB29A2" w:rsidRDefault="00973B3B" w:rsidP="00766A9E">
            <w:pPr>
              <w:pStyle w:val="Table-AnnualReport"/>
              <w:spacing w:beforeLines="20" w:before="48" w:afterLines="20" w:after="48" w:line="240" w:lineRule="auto"/>
              <w:rPr>
                <w:b/>
                <w:szCs w:val="18"/>
              </w:rPr>
            </w:pPr>
            <w:r w:rsidRPr="00FB29A2">
              <w:rPr>
                <w:b/>
                <w:szCs w:val="18"/>
              </w:rPr>
              <w:t>Contract Description</w:t>
            </w:r>
          </w:p>
        </w:tc>
        <w:tc>
          <w:tcPr>
            <w:tcW w:w="2127" w:type="dxa"/>
            <w:gridSpan w:val="2"/>
            <w:shd w:val="clear" w:color="auto" w:fill="auto"/>
            <w:vAlign w:val="center"/>
          </w:tcPr>
          <w:p w:rsidR="00973B3B" w:rsidRPr="00FB29A2" w:rsidRDefault="00973B3B" w:rsidP="00766A9E">
            <w:pPr>
              <w:pStyle w:val="Table-AnnualReport"/>
              <w:spacing w:beforeLines="20" w:before="48" w:afterLines="20" w:after="48" w:line="240" w:lineRule="auto"/>
              <w:rPr>
                <w:b/>
                <w:szCs w:val="18"/>
              </w:rPr>
            </w:pPr>
            <w:r w:rsidRPr="00FB29A2">
              <w:rPr>
                <w:b/>
                <w:szCs w:val="18"/>
              </w:rPr>
              <w:t>Period of Contract</w:t>
            </w:r>
          </w:p>
        </w:tc>
        <w:tc>
          <w:tcPr>
            <w:tcW w:w="1277" w:type="dxa"/>
            <w:gridSpan w:val="2"/>
            <w:shd w:val="clear" w:color="auto" w:fill="auto"/>
            <w:vAlign w:val="center"/>
          </w:tcPr>
          <w:p w:rsidR="00973B3B" w:rsidRPr="00FB29A2" w:rsidRDefault="00973B3B" w:rsidP="00766A9E">
            <w:pPr>
              <w:pStyle w:val="Table-AnnualReport"/>
              <w:spacing w:beforeLines="20" w:before="48" w:afterLines="20" w:after="48" w:line="240" w:lineRule="auto"/>
              <w:rPr>
                <w:b/>
                <w:szCs w:val="18"/>
              </w:rPr>
            </w:pPr>
            <w:r w:rsidRPr="00FB29A2">
              <w:rPr>
                <w:b/>
                <w:szCs w:val="18"/>
              </w:rPr>
              <w:t>Total Value $</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3M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86 531</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43 266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Actavis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01/07/2013 - 30/06/2018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41 345</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41 345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AECOM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Asbestos Auditing and Update of Master Register</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01/10/2014 - 24/12/2014</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105 000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Air Liquide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Assisted Ventilation Equipment and Associated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01/05/2015 - 30/04/2018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01/05/2018 - 30/04/2020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1 563 567</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1 042 378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Alcidion</w:t>
            </w:r>
            <w:proofErr w:type="spellEnd"/>
            <w:r w:rsidRPr="001B05C8">
              <w:rPr>
                <w:color w:val="000000"/>
                <w:sz w:val="17"/>
              </w:rPr>
              <w:t xml:space="preserve"> Corporation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Connected Care Foundation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21/07/2014 - 20/07/2019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846 500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Alcon Laboratories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41 989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41 989</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Alphapharm</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664 079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664 079</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Alphawest</w:t>
            </w:r>
            <w:proofErr w:type="spellEnd"/>
            <w:r w:rsidRPr="001B05C8">
              <w:rPr>
                <w:color w:val="000000"/>
                <w:sz w:val="17"/>
              </w:rPr>
              <w:t xml:space="preserve"> Services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HP Trim  Licenses and Associated Support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30/10/2014 - 30/10/2015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248 823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Amgen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6 698 621</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6 698 621</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Anittel</w:t>
            </w:r>
            <w:proofErr w:type="spellEnd"/>
            <w:r w:rsidRPr="001B05C8">
              <w:rPr>
                <w:color w:val="000000"/>
                <w:sz w:val="17"/>
              </w:rPr>
              <w:t xml:space="preserve"> Group Limited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Citrix Support and Maintenance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01/10/2014 - 30/09/2015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92 264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Anittel</w:t>
            </w:r>
            <w:proofErr w:type="spellEnd"/>
            <w:r w:rsidRPr="001B05C8">
              <w:rPr>
                <w:color w:val="000000"/>
                <w:sz w:val="17"/>
              </w:rPr>
              <w:t xml:space="preserve"> Group Limited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CommVault</w:t>
            </w:r>
            <w:proofErr w:type="spellEnd"/>
            <w:r w:rsidRPr="001B05C8">
              <w:rPr>
                <w:color w:val="000000"/>
                <w:sz w:val="17"/>
              </w:rPr>
              <w:t xml:space="preserve"> Support and Maintenance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01/10/2014 - 30/09/2015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76 897</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Apotex</w:t>
            </w:r>
            <w:proofErr w:type="spellEnd"/>
            <w:r w:rsidRPr="001B05C8">
              <w:rPr>
                <w:color w:val="000000"/>
                <w:sz w:val="17"/>
              </w:rPr>
              <w:t xml:space="preserve">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417 638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417 638</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Ashford Roofing Pty Ltd</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Roof Repairs - 229 Campbell Street</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15/06/2015 - 30/08/2015</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88 400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ind w:right="-252"/>
              <w:rPr>
                <w:color w:val="000000"/>
                <w:sz w:val="17"/>
              </w:rPr>
            </w:pPr>
            <w:r w:rsidRPr="001B05C8">
              <w:rPr>
                <w:color w:val="000000"/>
                <w:sz w:val="17"/>
              </w:rPr>
              <w:lastRenderedPageBreak/>
              <w:t>Aspen Pharma Pty Ltd</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357 846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357 846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AstraZeneca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479 770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479 770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 Braun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Needles and Syringes (Sterile)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18/08/2014 - 17/08/2017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18/08/2017 - 17/08/2019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28 116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18 744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Baxter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Provision of Peritoneal Dialysis and Haemodialysis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01/02/2015 - 31/01/2022</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01/02/2022 - 31/01/2023</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25 432 233</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3 600 000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Baxter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1 288 476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644 238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Baxter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411 050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411 050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Baxter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Volumetric Infusion Pumps and Consumables - Contract Extension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24/02/2015 - 30/09/2017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5 500 000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proofErr w:type="spellStart"/>
            <w:r w:rsidRPr="001B05C8">
              <w:rPr>
                <w:color w:val="000000"/>
                <w:sz w:val="17"/>
              </w:rPr>
              <w:t>Beckton</w:t>
            </w:r>
            <w:proofErr w:type="spellEnd"/>
            <w:r w:rsidRPr="001B05C8">
              <w:rPr>
                <w:color w:val="000000"/>
                <w:sz w:val="17"/>
              </w:rPr>
              <w:t xml:space="preserve"> Dickinson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Needles and Syringes (Sterile)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18/08/2014 - 17/08/2017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18/08/2017 - 17/08/2019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956 650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637 767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Betta Milk Co-operative Society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519 276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1 186 918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Bidvest Australia Limited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807 750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1 846 285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bioCSL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316 350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316 350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10"/>
              <w:rPr>
                <w:color w:val="000000"/>
                <w:sz w:val="17"/>
              </w:rPr>
            </w:pPr>
            <w:r w:rsidRPr="001B05C8">
              <w:rPr>
                <w:color w:val="000000"/>
                <w:sz w:val="17"/>
              </w:rPr>
              <w:t>Bunzl Outsourcing Services Limited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Washroom Paper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01/06/2015 - 31/05/2018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01/06/2018 - 31/05/2020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1 117 000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780 000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Central Choice Foods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44 416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101 521</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CGI Technologies and Solutions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CB1FDB">
            <w:pPr>
              <w:pStyle w:val="Table-AnnualReport"/>
              <w:spacing w:beforeLines="20" w:before="48" w:afterLines="20" w:after="48" w:line="240" w:lineRule="auto"/>
              <w:rPr>
                <w:color w:val="000000"/>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Checkley Group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Clifford Hallam Healthcare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24 110 308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24 110 308</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Clifford Hallam Healthcare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57 628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28 814</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Community Potential Foundation Ltd</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lastRenderedPageBreak/>
              <w:t>Connexxion</w:t>
            </w:r>
            <w:proofErr w:type="spellEnd"/>
            <w:r w:rsidRPr="001B05C8">
              <w:rPr>
                <w:color w:val="000000"/>
                <w:sz w:val="17"/>
              </w:rPr>
              <w:t xml:space="preserve"> Pty Ltd</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ACT</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Covidien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Medical Sutures and Associated Stapling Devices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01/03/2015 - 28/02/2018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01/03/2018 - 28/02/2022</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3 365 000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4 480 000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Cripps </w:t>
            </w:r>
            <w:proofErr w:type="spellStart"/>
            <w:r w:rsidRPr="001B05C8">
              <w:rPr>
                <w:color w:val="000000"/>
                <w:sz w:val="17"/>
              </w:rPr>
              <w:t>Nubake</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171 041</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390 951</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Deloitte </w:t>
            </w:r>
            <w:proofErr w:type="spellStart"/>
            <w:r w:rsidRPr="001B05C8">
              <w:rPr>
                <w:color w:val="000000"/>
                <w:sz w:val="17"/>
              </w:rPr>
              <w:t>Touche</w:t>
            </w:r>
            <w:proofErr w:type="spellEnd"/>
            <w:r w:rsidRPr="001B05C8">
              <w:rPr>
                <w:color w:val="000000"/>
                <w:sz w:val="17"/>
              </w:rPr>
              <w:t xml:space="preserve"> Tohmatsu</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Dialog Pty Ltd t/a Dialog Information Technology</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Ditech</w:t>
            </w:r>
            <w:proofErr w:type="spellEnd"/>
            <w:r w:rsidRPr="001B05C8">
              <w:rPr>
                <w:color w:val="000000"/>
                <w:sz w:val="17"/>
              </w:rPr>
              <w:t xml:space="preserve"> Systems Pty Ltd t/a Intuit Technologies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VMWare - Basic Level Support and Maintenance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01/11/2014 - 31/10/2015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106 573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Ditech</w:t>
            </w:r>
            <w:proofErr w:type="spellEnd"/>
            <w:r w:rsidRPr="001B05C8">
              <w:rPr>
                <w:color w:val="000000"/>
                <w:sz w:val="17"/>
              </w:rPr>
              <w:t xml:space="preserve"> Systems Pty Ltd t/a Intuit Technologies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VMWare - Production Level Support and Maintenance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01/11/2014 - 31/10/2015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219 801</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DRA Computing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Tasmanian Child Electronic Health Record Solution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28/11/2014 - 30/04/2020</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01/05/2020 - 30/04/2025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769 530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545 285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EBOS Group Australia Pty Ltd t/a Tasmanian Medical Supplies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128 438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128 438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Ecolab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54 969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27 485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Ego Pharmaceuticals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32 229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16 154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Emerge Health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113 379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113 379</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ERM Power Retail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Qld</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Retail Electricity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01/03/2015 - 30/04/2015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01/05/2015 - 31/05/2015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1 800 000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900 000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ERM Power Retail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Qld</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Retail Electricity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01/01/2015 - 28/02/2015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1 800 000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Ernst &amp; Young</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Fairbrother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Devonport Community Health Centre Façade Repair</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27/03/2015 - 15/05/2015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115 494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Fairbrother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LGH – Redevelopment of Specialist Clinic</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25/11/2014 - 26/06/2015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3 665 277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Fairbrother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Mersey Community Hospital – Fire Protection Upgrade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25/10/2014 - 30/06/2015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2 164 833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Fire and Safety Tasmania Pty Ltd</w:t>
            </w:r>
          </w:p>
        </w:tc>
        <w:tc>
          <w:tcPr>
            <w:tcW w:w="852" w:type="dxa"/>
            <w:shd w:val="clear" w:color="auto" w:fill="auto"/>
            <w:noWrap/>
            <w:vAlign w:val="center"/>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LGH – Fire Sprinkler Valve Upgrade</w:t>
            </w:r>
          </w:p>
        </w:tc>
        <w:tc>
          <w:tcPr>
            <w:tcW w:w="2127" w:type="dxa"/>
            <w:gridSpan w:val="2"/>
            <w:shd w:val="clear" w:color="auto" w:fill="auto"/>
            <w:noWrap/>
            <w:vAlign w:val="center"/>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11/03/2015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(one-off purchase)</w:t>
            </w:r>
          </w:p>
        </w:tc>
        <w:tc>
          <w:tcPr>
            <w:tcW w:w="1277" w:type="dxa"/>
            <w:gridSpan w:val="2"/>
            <w:shd w:val="clear" w:color="auto" w:fill="auto"/>
            <w:noWrap/>
            <w:vAlign w:val="center"/>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83 000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Foot and </w:t>
            </w:r>
            <w:proofErr w:type="spellStart"/>
            <w:r w:rsidRPr="001B05C8">
              <w:rPr>
                <w:color w:val="000000"/>
                <w:sz w:val="17"/>
              </w:rPr>
              <w:t>Playsted</w:t>
            </w:r>
            <w:proofErr w:type="spellEnd"/>
            <w:r w:rsidRPr="001B05C8">
              <w:rPr>
                <w:color w:val="000000"/>
                <w:sz w:val="17"/>
              </w:rPr>
              <w:t xml:space="preserve">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and Printing of Medication Inpatient Charts</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15/01/2015 - 01/06/2017</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170 585</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Forth Farm Produce Pty Ltd t/a Vegie Express</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424 808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970 990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lastRenderedPageBreak/>
              <w:t xml:space="preserve">Fresenius </w:t>
            </w:r>
            <w:proofErr w:type="spellStart"/>
            <w:r w:rsidRPr="001B05C8">
              <w:rPr>
                <w:color w:val="000000"/>
                <w:sz w:val="17"/>
              </w:rPr>
              <w:t>Kabi</w:t>
            </w:r>
            <w:proofErr w:type="spellEnd"/>
            <w:r w:rsidRPr="001B05C8">
              <w:rPr>
                <w:color w:val="000000"/>
                <w:sz w:val="17"/>
              </w:rPr>
              <w:t xml:space="preserve"> Australia Pty Ltd</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130 228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130 228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G H Varley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Qld</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Mobile Screening Unit – BreastScreen Tasmania</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13/03/2015 - 31/12/2015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633 486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Gambro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245 077</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490 154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Geometry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Integrated Housing Management System</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01/09/2014 - 31/07/2020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1 225 000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GlaxoSmithKline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2 538 013</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2 538 013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Halmed</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49</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Handee</w:t>
            </w:r>
            <w:proofErr w:type="spellEnd"/>
            <w:r w:rsidRPr="001B05C8">
              <w:rPr>
                <w:color w:val="000000"/>
                <w:sz w:val="17"/>
              </w:rPr>
              <w:t xml:space="preserve"> </w:t>
            </w:r>
            <w:proofErr w:type="spellStart"/>
            <w:r w:rsidRPr="001B05C8">
              <w:rPr>
                <w:color w:val="000000"/>
                <w:sz w:val="17"/>
              </w:rPr>
              <w:t>Pax</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29 096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66 505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Hays Specialist Recruitment (</w:t>
            </w:r>
            <w:proofErr w:type="spellStart"/>
            <w:r w:rsidRPr="001B05C8">
              <w:rPr>
                <w:color w:val="000000"/>
                <w:sz w:val="17"/>
              </w:rPr>
              <w:t>Aust</w:t>
            </w:r>
            <w:proofErr w:type="spellEnd"/>
            <w:r w:rsidRPr="001B05C8">
              <w:rPr>
                <w:color w:val="000000"/>
                <w:sz w:val="17"/>
              </w:rPr>
              <w:t>)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Hospira</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2 466 116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2 466 116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Independence Australia</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Continence Management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01/10/2014 - 30/09/2017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01/10/2017 - 30/09/2019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1 821 695</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1 214 463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Ingles &amp; Sons Pty Ltd t/a </w:t>
            </w:r>
            <w:proofErr w:type="spellStart"/>
            <w:r w:rsidRPr="001B05C8">
              <w:rPr>
                <w:color w:val="000000"/>
                <w:sz w:val="17"/>
              </w:rPr>
              <w:t>Pandani</w:t>
            </w:r>
            <w:proofErr w:type="spellEnd"/>
            <w:r w:rsidRPr="001B05C8">
              <w:rPr>
                <w:color w:val="000000"/>
                <w:sz w:val="17"/>
              </w:rPr>
              <w:t xml:space="preserve"> Select Foods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60 023</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137 196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Injury Prevention Services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Asbestos Inspection and Registers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18/02/2015 - 31/07/2015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113 295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Insight (Tas)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Adaptable Housing Units - Sale off the Plan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18/08/2014 - 31/03/2015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1 547 000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 Hutchinson Pty Ltd t/a Hutchinson Builders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Demolition and Construction/Renovation of Annie Kenney House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25/11/2014 - 30/06/2015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1 278 752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 Hutchinson Pty Ltd t/a Hutchinson Builders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Ravenswood Community Health Centre – Redevelopment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16/10/2014 - 20/03/2015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1 798 926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Janssen-</w:t>
            </w:r>
            <w:proofErr w:type="spellStart"/>
            <w:r w:rsidRPr="001B05C8">
              <w:rPr>
                <w:color w:val="000000"/>
                <w:sz w:val="17"/>
              </w:rPr>
              <w:t>Cilag</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7 235 019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7 235 019</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Johnson &amp; Johnson Medical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Medical Sutures and Associated Stapling Devices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01/03/2015 - 28/02/2018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01/03/2018 - 28/02/2022</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3 365 000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4 480 000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Johnson &amp; Johnson Medical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151 644</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75 822</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Juicy Isle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147 086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336 196</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Knight Errant Pty Ltd</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KPMG</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ind w:right="-109"/>
              <w:rPr>
                <w:color w:val="000000"/>
                <w:sz w:val="17"/>
              </w:rPr>
            </w:pPr>
            <w:r w:rsidRPr="001B05C8">
              <w:rPr>
                <w:color w:val="000000"/>
                <w:sz w:val="17"/>
              </w:rPr>
              <w:lastRenderedPageBreak/>
              <w:t>Link Medical Products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719 808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719 808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Lion Dairy &amp; Drinks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48 878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111 720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Magdem</w:t>
            </w:r>
            <w:proofErr w:type="spellEnd"/>
            <w:r w:rsidRPr="001B05C8">
              <w:rPr>
                <w:color w:val="000000"/>
                <w:sz w:val="17"/>
              </w:rPr>
              <w:t xml:space="preserve"> Pty Ltd t/a </w:t>
            </w:r>
            <w:proofErr w:type="spellStart"/>
            <w:r w:rsidRPr="001B05C8">
              <w:rPr>
                <w:color w:val="000000"/>
                <w:sz w:val="17"/>
              </w:rPr>
              <w:t>Acrodata</w:t>
            </w:r>
            <w:proofErr w:type="spellEnd"/>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File Relocation and Storage - </w:t>
            </w:r>
            <w:r w:rsidR="00CB1FDB">
              <w:rPr>
                <w:color w:val="000000"/>
                <w:sz w:val="17"/>
              </w:rPr>
              <w:br/>
            </w:r>
            <w:r w:rsidRPr="001B05C8">
              <w:rPr>
                <w:color w:val="000000"/>
                <w:sz w:val="17"/>
              </w:rPr>
              <w:t>12 Murray Street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01/09/2014 - 31/10/2019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53 745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Magdem</w:t>
            </w:r>
            <w:proofErr w:type="spellEnd"/>
            <w:r w:rsidRPr="001B05C8">
              <w:rPr>
                <w:color w:val="000000"/>
                <w:sz w:val="17"/>
              </w:rPr>
              <w:t xml:space="preserve"> Pty Ltd t/a </w:t>
            </w:r>
            <w:proofErr w:type="spellStart"/>
            <w:r w:rsidRPr="001B05C8">
              <w:rPr>
                <w:color w:val="000000"/>
                <w:sz w:val="17"/>
              </w:rPr>
              <w:t>Acrodata</w:t>
            </w:r>
            <w:proofErr w:type="spellEnd"/>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File Removal and Scanning</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04/07/2014 - 03/07/2015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82 954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Manpower Services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Melbourne Health</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Support and Maintenance for Guidance </w:t>
            </w:r>
            <w:r w:rsidR="00CB1FDB">
              <w:rPr>
                <w:color w:val="000000"/>
                <w:sz w:val="17"/>
              </w:rPr>
              <w:br/>
            </w:r>
            <w:r w:rsidRPr="001B05C8">
              <w:rPr>
                <w:color w:val="000000"/>
                <w:sz w:val="17"/>
              </w:rPr>
              <w:t>MS Software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18/11/2014 - 18/11/2017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156 687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Merck Sharp and Dohme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2 146 780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2 146 780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Meta PM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Michael </w:t>
            </w:r>
            <w:proofErr w:type="spellStart"/>
            <w:r w:rsidRPr="001B05C8">
              <w:rPr>
                <w:color w:val="000000"/>
                <w:sz w:val="17"/>
              </w:rPr>
              <w:t>Kerschbaum</w:t>
            </w:r>
            <w:proofErr w:type="spellEnd"/>
            <w:r w:rsidRPr="001B05C8">
              <w:rPr>
                <w:color w:val="000000"/>
                <w:sz w:val="17"/>
              </w:rPr>
              <w:t xml:space="preserve"> Family Trust</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Adaptable Housing Units - Sale off the Plan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30/06/2014 - 14/11/2014</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1 860 000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MKM Health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Moorey</w:t>
            </w:r>
            <w:proofErr w:type="spellEnd"/>
            <w:r w:rsidRPr="001B05C8">
              <w:rPr>
                <w:color w:val="000000"/>
                <w:sz w:val="17"/>
              </w:rPr>
              <w:t xml:space="preserve"> Constructions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St Helens Neighbourhood House - Extension and Renovation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06/03/2015 - 31/05/2015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177 860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MPH Builders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Rocherlea Neighbourhood House - Demountable Building</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25/05/2015 - 01/07/2015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66 430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Mundy &amp; Sons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191 265</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437 177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Nikkiso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288 931</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577 862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Novartis Pharmaceuticals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777 940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388 970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Novartis Pharmaceuticals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2 346 616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2 346 616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Novo Nordisk Pharmaceuticals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378 188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378 188</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OakRidge</w:t>
            </w:r>
            <w:proofErr w:type="spellEnd"/>
            <w:r w:rsidRPr="001B05C8">
              <w:rPr>
                <w:color w:val="000000"/>
                <w:sz w:val="17"/>
              </w:rPr>
              <w:t xml:space="preserve"> Consulting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Upgrade of the Tasmanian Health Client Index</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06/03/2015 - 30/03/2015</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71 000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Orion Laboratories Pty Ltd t/a Perrigo Australia</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WA</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321 671</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321 671</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Orion Laboratories Pty Ltd t/a Perrigo Australia</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WA</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272 283</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136 141</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Orphan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88 972</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88 972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lastRenderedPageBreak/>
              <w:t>PeopleCo</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Perry's Building Services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Dunalley Neighbourhood House - Extension and Partial Renovation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20/02/2015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(one-off purchase)</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79 510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CB1FDB">
            <w:pPr>
              <w:pStyle w:val="Table-AnnualReport"/>
              <w:spacing w:beforeLines="20" w:before="48" w:afterLines="20" w:after="48" w:line="240" w:lineRule="auto"/>
              <w:ind w:right="-109"/>
              <w:rPr>
                <w:color w:val="000000"/>
                <w:sz w:val="17"/>
              </w:rPr>
            </w:pPr>
            <w:r w:rsidRPr="001B05C8">
              <w:rPr>
                <w:color w:val="000000"/>
                <w:sz w:val="17"/>
              </w:rPr>
              <w:t>PFD Food Services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3 129 724</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7 153 654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Pfizer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96 972</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48 486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Pfizer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1 601 447</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1 601 447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Pitcher Partners Growth</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CB1FDB">
            <w:pPr>
              <w:pStyle w:val="Table-AnnualReport"/>
              <w:spacing w:beforeLines="20" w:before="48" w:afterLines="20" w:after="48" w:line="240" w:lineRule="auto"/>
              <w:ind w:right="-109"/>
              <w:rPr>
                <w:color w:val="000000"/>
                <w:sz w:val="17"/>
              </w:rPr>
            </w:pPr>
            <w:proofErr w:type="spellStart"/>
            <w:r w:rsidRPr="001B05C8">
              <w:rPr>
                <w:color w:val="000000"/>
                <w:sz w:val="17"/>
              </w:rPr>
              <w:t>Pricewaterhouse</w:t>
            </w:r>
            <w:proofErr w:type="spellEnd"/>
            <w:r w:rsidRPr="001B05C8">
              <w:rPr>
                <w:color w:val="000000"/>
                <w:sz w:val="17"/>
              </w:rPr>
              <w:t xml:space="preserve"> Coopers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Probe Group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Provision of Debt Collection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03/11/2014 - 31/10/2017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01/11/2017 - 31/10/2023</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420 489</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841 000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R &amp; D </w:t>
            </w:r>
            <w:proofErr w:type="spellStart"/>
            <w:r w:rsidRPr="001B05C8">
              <w:rPr>
                <w:color w:val="000000"/>
                <w:sz w:val="17"/>
              </w:rPr>
              <w:t>Rimmelzwaan</w:t>
            </w:r>
            <w:proofErr w:type="spellEnd"/>
            <w:r w:rsidRPr="001B05C8">
              <w:rPr>
                <w:color w:val="000000"/>
                <w:sz w:val="17"/>
              </w:rPr>
              <w:t xml:space="preserve"> Pty Ltd (t/a RD Homes)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Ulverstone Neighbourhood House Alterations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25/02/2015 - 31/05/2015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63 273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Regent Recruitment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p w:rsidR="00973B3B" w:rsidRPr="001B05C8" w:rsidRDefault="00973B3B" w:rsidP="00766A9E">
            <w:pPr>
              <w:pStyle w:val="Table-AnnualReport"/>
              <w:spacing w:beforeLines="20" w:before="48" w:afterLines="20" w:after="48" w:line="240" w:lineRule="auto"/>
              <w:jc w:val="right"/>
              <w:rPr>
                <w:color w:val="000000"/>
                <w:sz w:val="17"/>
              </w:rPr>
            </w:pP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Roche Products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1 776 706</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1 776 706</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RXP Services Limited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Sandoz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01/06/2016 - 30/06/2018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1 082 502</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1 082 502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Sanofi-Aventis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2 316 315</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2 316 315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Sanofi-Aventis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01/04/2014 - 30/06/2018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3 877</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1 938</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CB1FDB">
            <w:pPr>
              <w:pStyle w:val="Table-AnnualReport"/>
              <w:spacing w:beforeLines="20" w:before="48" w:afterLines="20" w:after="48" w:line="240" w:lineRule="auto"/>
              <w:ind w:right="-109"/>
              <w:rPr>
                <w:color w:val="000000"/>
                <w:sz w:val="17"/>
              </w:rPr>
            </w:pPr>
            <w:proofErr w:type="spellStart"/>
            <w:r w:rsidRPr="001B05C8">
              <w:rPr>
                <w:color w:val="000000"/>
                <w:sz w:val="17"/>
              </w:rPr>
              <w:t>Sawards</w:t>
            </w:r>
            <w:proofErr w:type="spellEnd"/>
            <w:r w:rsidRPr="001B05C8">
              <w:rPr>
                <w:color w:val="000000"/>
                <w:sz w:val="17"/>
              </w:rPr>
              <w:t xml:space="preserve"> Building Services</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Zeehan Neighbourhood House Alteration</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25/02/2015 - 31/05/2015</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87 245</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Schneider Electric Building</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North East Soldiers Memorial Hospital - HVAC and demand control upgrades</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27/04/2015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(one-off purchase)</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65 121</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Searson</w:t>
            </w:r>
            <w:proofErr w:type="spellEnd"/>
            <w:r w:rsidRPr="001B05C8">
              <w:rPr>
                <w:color w:val="000000"/>
                <w:sz w:val="17"/>
              </w:rPr>
              <w:t xml:space="preserve"> Buck Pty Ltd</w:t>
            </w:r>
          </w:p>
        </w:tc>
        <w:tc>
          <w:tcPr>
            <w:tcW w:w="852" w:type="dxa"/>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Short Term Staff/Labour Hire Services </w:t>
            </w:r>
            <w:r w:rsidR="00CB1FDB">
              <w:rPr>
                <w:color w:val="000000"/>
                <w:sz w:val="17"/>
                <w:vertAlign w:val="superscript"/>
              </w:rPr>
              <w:t>1</w:t>
            </w:r>
          </w:p>
        </w:tc>
        <w:tc>
          <w:tcPr>
            <w:tcW w:w="212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01/09/2014 - 30/06/2017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01/07/2017 - 30/06/2019</w:t>
            </w:r>
          </w:p>
        </w:tc>
        <w:tc>
          <w:tcPr>
            <w:tcW w:w="1277" w:type="dxa"/>
            <w:gridSpan w:val="2"/>
            <w:tcBorders>
              <w:top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Sigma Company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01/07/2016 - 30/07/2018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172 593</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172 593</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Spatial Vision Innovations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lastRenderedPageBreak/>
              <w:t>Squiz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Search Engine Solution</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12/09/2014 - 12/09/2017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92 175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SRA Information Technology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SA</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Staples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Multi-Function Device Service - Extension to Contract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28/01/2015 - 31/01/2019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3 000 000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Symbion</w:t>
            </w:r>
            <w:proofErr w:type="spellEnd"/>
            <w:r w:rsidRPr="001B05C8">
              <w:rPr>
                <w:color w:val="000000"/>
                <w:sz w:val="17"/>
              </w:rPr>
              <w:t xml:space="preserve"> Pty Ltd t/a </w:t>
            </w:r>
            <w:proofErr w:type="spellStart"/>
            <w:r w:rsidRPr="001B05C8">
              <w:rPr>
                <w:color w:val="000000"/>
                <w:sz w:val="17"/>
              </w:rPr>
              <w:t>Symbion</w:t>
            </w:r>
            <w:proofErr w:type="spellEnd"/>
            <w:r w:rsidRPr="001B05C8">
              <w:rPr>
                <w:color w:val="000000"/>
                <w:sz w:val="17"/>
              </w:rPr>
              <w:t xml:space="preserve"> Hospital Services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01/07/2014 - 30/06/2018</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01/07/2018 - 30/06/2020</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57 628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28 814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Symbion</w:t>
            </w:r>
            <w:proofErr w:type="spellEnd"/>
            <w:r w:rsidRPr="001B05C8">
              <w:rPr>
                <w:color w:val="000000"/>
                <w:sz w:val="17"/>
              </w:rPr>
              <w:t xml:space="preserve"> Pty Ltd t/a </w:t>
            </w:r>
            <w:proofErr w:type="spellStart"/>
            <w:r w:rsidRPr="001B05C8">
              <w:rPr>
                <w:color w:val="000000"/>
                <w:sz w:val="17"/>
              </w:rPr>
              <w:t>Symbion</w:t>
            </w:r>
            <w:proofErr w:type="spellEnd"/>
            <w:r w:rsidRPr="001B05C8">
              <w:rPr>
                <w:color w:val="000000"/>
                <w:sz w:val="17"/>
              </w:rPr>
              <w:t xml:space="preserve"> Hospital Services</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3 005 090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3 005 090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Synateq</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 &amp; V Mead Pty Ltd t/a Mead Con</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Anne O'Byrne Building - Asbestos Cladding Removal and Replacement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15/09/2014 - 31/01/2015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361 477</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 &amp; V Mead Pty Ltd t/a Mead Con</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Mersey Community Hospital Pharmacy Refurbishment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26/11/2014 - 30/06/2015</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729 785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Takeda Pharmaceuticals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Pharmaceutical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01/07/2014 - 30/06/2016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01/07/2016 - 30/06/2018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3 838</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3 838</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Tasmanian Meat Wholesalers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Food and Beverage Products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18/08/2014 - 30/06/2015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01/07/2015 - 30/06/2017</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71 462</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163 342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Tasmanian Medicare Local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Tasmanian Provider Directory Project - Data Management Services</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19/03/2015 - 18/09/2015</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19/09/2015 - 18/03/2016</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45 000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45 000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Taswide</w:t>
            </w:r>
            <w:proofErr w:type="spellEnd"/>
            <w:r w:rsidRPr="001B05C8">
              <w:rPr>
                <w:color w:val="000000"/>
                <w:sz w:val="17"/>
              </w:rPr>
              <w:t xml:space="preserve"> Building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Extension and Renovation of Neighbourhood Houses - Bridgewater, Risdon Vale and West Moonah</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04/05/2015 - 22/06/2016</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811 905</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Terumo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NSW</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Supply of Needles and Syringes (Sterile)</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25/08/2014 - 17/08/2017</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18/08/2017 - 17/08/2019</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148 312</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98 874</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Toshiba (Australia)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Vic</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BreastScreen Tasmania -  Ultrasound Equipment </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01/07/2015 - 30/06/2021</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151 242</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 xml:space="preserve">Virtual CIO Pty Ltd t/a </w:t>
            </w:r>
            <w:proofErr w:type="spellStart"/>
            <w:r w:rsidRPr="001B05C8">
              <w:rPr>
                <w:color w:val="000000"/>
                <w:sz w:val="17"/>
              </w:rPr>
              <w:t>Gartlans</w:t>
            </w:r>
            <w:proofErr w:type="spellEnd"/>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w:t>
            </w:r>
          </w:p>
        </w:tc>
      </w:tr>
      <w:tr w:rsidR="00973B3B" w:rsidRPr="001B05C8" w:rsidTr="00462FB2">
        <w:tblPrEx>
          <w:tblLook w:val="04A0" w:firstRow="1" w:lastRow="0" w:firstColumn="1" w:lastColumn="0" w:noHBand="0" w:noVBand="1"/>
        </w:tblPrEx>
        <w:trPr>
          <w:gridAfter w:val="1"/>
          <w:wAfter w:w="142" w:type="dxa"/>
          <w:cantSplit/>
        </w:trPr>
        <w:tc>
          <w:tcPr>
            <w:tcW w:w="1857" w:type="dxa"/>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proofErr w:type="spellStart"/>
            <w:r w:rsidRPr="001B05C8">
              <w:rPr>
                <w:color w:val="000000"/>
                <w:sz w:val="17"/>
              </w:rPr>
              <w:t>Visasys</w:t>
            </w:r>
            <w:proofErr w:type="spellEnd"/>
            <w:r w:rsidRPr="001B05C8">
              <w:rPr>
                <w:color w:val="000000"/>
                <w:sz w:val="17"/>
              </w:rPr>
              <w:t xml:space="preserve"> Pty Ltd</w:t>
            </w:r>
          </w:p>
        </w:tc>
        <w:tc>
          <w:tcPr>
            <w:tcW w:w="852" w:type="dxa"/>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ACT</w:t>
            </w:r>
          </w:p>
        </w:tc>
        <w:tc>
          <w:tcPr>
            <w:tcW w:w="3117" w:type="dxa"/>
            <w:gridSpan w:val="2"/>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Clinical Costing Software and Support</w:t>
            </w:r>
          </w:p>
        </w:tc>
        <w:tc>
          <w:tcPr>
            <w:tcW w:w="212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01/07/2015 - 30/06/2020</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01/07/2020 - 30/06/2021</w:t>
            </w:r>
          </w:p>
        </w:tc>
        <w:tc>
          <w:tcPr>
            <w:tcW w:w="1277" w:type="dxa"/>
            <w:gridSpan w:val="2"/>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170 000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34 000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White &amp; McAllister Pty Ltd</w:t>
            </w:r>
          </w:p>
        </w:tc>
        <w:tc>
          <w:tcPr>
            <w:tcW w:w="852" w:type="dxa"/>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Ambulance Tasmania Replacement Generator and Main Switchboard</w:t>
            </w:r>
          </w:p>
        </w:tc>
        <w:tc>
          <w:tcPr>
            <w:tcW w:w="212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23/01/2015 - 30/05/2015</w:t>
            </w:r>
          </w:p>
        </w:tc>
        <w:tc>
          <w:tcPr>
            <w:tcW w:w="1277" w:type="dxa"/>
            <w:gridSpan w:val="2"/>
            <w:tcBorders>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216 900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Wilson Homes Tasmania Pty Ltd</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6 Shore Street, Rose Bay – 2 Unit Development</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21/10/2014 - 24/03/2015</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448 789</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Write Resource</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1B05C8" w:rsidTr="00462FB2">
        <w:tblPrEx>
          <w:tblLook w:val="04A0" w:firstRow="1" w:lastRow="0" w:firstColumn="1" w:lastColumn="0" w:noHBand="0" w:noVBand="1"/>
        </w:tblPrEx>
        <w:trPr>
          <w:gridAfter w:val="1"/>
          <w:wAfter w:w="142" w:type="dxa"/>
          <w:cantSplit/>
        </w:trPr>
        <w:tc>
          <w:tcPr>
            <w:tcW w:w="1857" w:type="dxa"/>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XVT Solutions Pty Ltd</w:t>
            </w:r>
          </w:p>
        </w:tc>
        <w:tc>
          <w:tcPr>
            <w:tcW w:w="852" w:type="dxa"/>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rPr>
                <w:color w:val="000000"/>
                <w:sz w:val="17"/>
              </w:rPr>
            </w:pPr>
            <w:r w:rsidRPr="001B05C8">
              <w:rPr>
                <w:color w:val="000000"/>
                <w:sz w:val="17"/>
              </w:rPr>
              <w:t>Tas</w:t>
            </w:r>
          </w:p>
        </w:tc>
        <w:tc>
          <w:tcPr>
            <w:tcW w:w="3117" w:type="dxa"/>
            <w:gridSpan w:val="2"/>
            <w:tcBorders>
              <w:top w:val="single" w:sz="2" w:space="0" w:color="808080" w:themeColor="background1" w:themeShade="80"/>
              <w:bottom w:val="single" w:sz="2" w:space="0" w:color="808080" w:themeColor="background1" w:themeShade="80"/>
            </w:tcBorders>
            <w:shd w:val="clear" w:color="auto" w:fill="auto"/>
            <w:vAlign w:val="center"/>
            <w:hideMark/>
          </w:tcPr>
          <w:p w:rsidR="00973B3B" w:rsidRPr="001B05C8" w:rsidRDefault="00973B3B" w:rsidP="00766A9E">
            <w:pPr>
              <w:pStyle w:val="Table-AnnualReport"/>
              <w:spacing w:beforeLines="20" w:before="48" w:afterLines="20" w:after="48" w:line="240" w:lineRule="auto"/>
              <w:rPr>
                <w:sz w:val="17"/>
              </w:rPr>
            </w:pPr>
            <w:r w:rsidRPr="001B05C8">
              <w:rPr>
                <w:color w:val="000000"/>
                <w:sz w:val="17"/>
              </w:rPr>
              <w:t xml:space="preserve">e-Health and ICT Project Management Services Panel </w:t>
            </w:r>
            <w:r w:rsidR="00CB1FDB">
              <w:rPr>
                <w:color w:val="000000"/>
                <w:sz w:val="17"/>
                <w:vertAlign w:val="superscript"/>
              </w:rPr>
              <w:t>1</w:t>
            </w:r>
          </w:p>
        </w:tc>
        <w:tc>
          <w:tcPr>
            <w:tcW w:w="212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28/04/2014 - 27/04/2016</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Option to extend</w:t>
            </w: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28/04/2016 - 27/04/2018</w:t>
            </w:r>
          </w:p>
        </w:tc>
        <w:tc>
          <w:tcPr>
            <w:tcW w:w="1277" w:type="dxa"/>
            <w:gridSpan w:val="2"/>
            <w:tcBorders>
              <w:top w:val="single" w:sz="2" w:space="0" w:color="808080" w:themeColor="background1" w:themeShade="80"/>
              <w:bottom w:val="single" w:sz="2" w:space="0" w:color="808080" w:themeColor="background1" w:themeShade="80"/>
            </w:tcBorders>
            <w:shd w:val="clear" w:color="auto" w:fill="auto"/>
            <w:noWrap/>
            <w:vAlign w:val="center"/>
            <w:hideMark/>
          </w:tcPr>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p w:rsidR="00973B3B" w:rsidRPr="001B05C8" w:rsidRDefault="00973B3B" w:rsidP="00766A9E">
            <w:pPr>
              <w:pStyle w:val="Table-AnnualReport"/>
              <w:spacing w:beforeLines="20" w:before="48" w:afterLines="20" w:after="48" w:line="240" w:lineRule="auto"/>
              <w:jc w:val="right"/>
              <w:rPr>
                <w:color w:val="000000"/>
                <w:sz w:val="17"/>
              </w:rPr>
            </w:pPr>
          </w:p>
          <w:p w:rsidR="00973B3B" w:rsidRPr="001B05C8" w:rsidRDefault="00973B3B" w:rsidP="00766A9E">
            <w:pPr>
              <w:pStyle w:val="Table-AnnualReport"/>
              <w:spacing w:beforeLines="20" w:before="48" w:afterLines="20" w:after="48" w:line="240" w:lineRule="auto"/>
              <w:jc w:val="right"/>
              <w:rPr>
                <w:color w:val="000000"/>
                <w:sz w:val="17"/>
              </w:rPr>
            </w:pPr>
            <w:r w:rsidRPr="001B05C8">
              <w:rPr>
                <w:color w:val="000000"/>
                <w:sz w:val="17"/>
              </w:rPr>
              <w:t xml:space="preserve">  0</w:t>
            </w:r>
          </w:p>
        </w:tc>
      </w:tr>
      <w:tr w:rsidR="00973B3B" w:rsidRPr="00573CC2" w:rsidTr="00462FB2">
        <w:tblPrEx>
          <w:tblLook w:val="04A0" w:firstRow="1" w:lastRow="0" w:firstColumn="1" w:lastColumn="0" w:noHBand="0" w:noVBand="1"/>
        </w:tblPrEx>
        <w:trPr>
          <w:gridAfter w:val="1"/>
          <w:wAfter w:w="142" w:type="dxa"/>
          <w:cantSplit/>
        </w:trPr>
        <w:tc>
          <w:tcPr>
            <w:tcW w:w="9230" w:type="dxa"/>
            <w:gridSpan w:val="8"/>
            <w:shd w:val="clear" w:color="auto" w:fill="auto"/>
            <w:vAlign w:val="center"/>
          </w:tcPr>
          <w:p w:rsidR="00973B3B" w:rsidRPr="00573CC2" w:rsidRDefault="00973B3B" w:rsidP="00CB1FDB">
            <w:pPr>
              <w:pStyle w:val="Table-AnnualReport"/>
              <w:tabs>
                <w:tab w:val="clear" w:pos="567"/>
              </w:tabs>
              <w:spacing w:beforeLines="20" w:before="48" w:afterLines="20" w:after="48" w:line="240" w:lineRule="auto"/>
              <w:rPr>
                <w:color w:val="000000"/>
                <w:sz w:val="16"/>
                <w:szCs w:val="16"/>
              </w:rPr>
            </w:pPr>
          </w:p>
        </w:tc>
      </w:tr>
    </w:tbl>
    <w:p w:rsidR="00FB29A2" w:rsidRDefault="00FB29A2" w:rsidP="00CB1FDB">
      <w:pPr>
        <w:pStyle w:val="Table-AnnualReport"/>
        <w:tabs>
          <w:tab w:val="clear" w:pos="567"/>
        </w:tabs>
        <w:spacing w:beforeLines="20" w:before="48" w:afterLines="20" w:after="48" w:line="240" w:lineRule="auto"/>
        <w:ind w:left="616" w:hanging="567"/>
        <w:rPr>
          <w:color w:val="000000"/>
          <w:sz w:val="16"/>
          <w:szCs w:val="16"/>
        </w:rPr>
      </w:pPr>
    </w:p>
    <w:p w:rsidR="00FB29A2" w:rsidRDefault="00FB29A2">
      <w:pPr>
        <w:tabs>
          <w:tab w:val="clear" w:pos="567"/>
        </w:tabs>
        <w:spacing w:after="200" w:line="276" w:lineRule="auto"/>
        <w:rPr>
          <w:color w:val="000000"/>
          <w:sz w:val="16"/>
          <w:szCs w:val="16"/>
          <w:lang w:eastAsia="en-AU"/>
        </w:rPr>
      </w:pPr>
      <w:r>
        <w:rPr>
          <w:color w:val="000000"/>
          <w:sz w:val="16"/>
          <w:szCs w:val="16"/>
        </w:rPr>
        <w:br w:type="page"/>
      </w:r>
    </w:p>
    <w:p w:rsidR="00CB1FDB" w:rsidRPr="00573CC2" w:rsidRDefault="00CB1FDB" w:rsidP="00CB1FDB">
      <w:pPr>
        <w:pStyle w:val="Table-AnnualReport"/>
        <w:tabs>
          <w:tab w:val="clear" w:pos="567"/>
        </w:tabs>
        <w:spacing w:beforeLines="20" w:before="48" w:afterLines="20" w:after="48" w:line="240" w:lineRule="auto"/>
        <w:ind w:left="616" w:hanging="567"/>
        <w:rPr>
          <w:color w:val="000000"/>
          <w:sz w:val="16"/>
          <w:szCs w:val="16"/>
        </w:rPr>
      </w:pPr>
      <w:r w:rsidRPr="00573CC2">
        <w:rPr>
          <w:color w:val="000000"/>
          <w:sz w:val="16"/>
          <w:szCs w:val="16"/>
        </w:rPr>
        <w:lastRenderedPageBreak/>
        <w:t>Notes:</w:t>
      </w:r>
    </w:p>
    <w:p w:rsidR="00CB1FDB" w:rsidRPr="00573CC2" w:rsidRDefault="00CB1FDB" w:rsidP="007A28E6">
      <w:pPr>
        <w:pStyle w:val="Table-AnnualReport"/>
        <w:numPr>
          <w:ilvl w:val="0"/>
          <w:numId w:val="46"/>
        </w:numPr>
        <w:tabs>
          <w:tab w:val="clear" w:pos="567"/>
        </w:tabs>
        <w:spacing w:beforeLines="20" w:before="48" w:line="240" w:lineRule="auto"/>
        <w:ind w:left="567" w:right="-45" w:hanging="567"/>
        <w:rPr>
          <w:sz w:val="16"/>
          <w:szCs w:val="16"/>
        </w:rPr>
      </w:pPr>
      <w:r w:rsidRPr="00573CC2">
        <w:rPr>
          <w:sz w:val="16"/>
          <w:szCs w:val="16"/>
        </w:rPr>
        <w:t xml:space="preserve">Signifies a panel contract - </w:t>
      </w:r>
      <w:r w:rsidRPr="00573CC2">
        <w:rPr>
          <w:rFonts w:cs="GillSansMT"/>
          <w:sz w:val="16"/>
          <w:szCs w:val="16"/>
        </w:rPr>
        <w:t>as individual contractor sales are not guaranteed under this arrangement, individual contract values are shown as zero</w:t>
      </w:r>
      <w:r w:rsidRPr="00573CC2">
        <w:rPr>
          <w:sz w:val="16"/>
          <w:szCs w:val="16"/>
        </w:rPr>
        <w:t>.</w:t>
      </w:r>
    </w:p>
    <w:p w:rsidR="00CB1FDB" w:rsidRPr="00573CC2" w:rsidRDefault="00CB1FDB" w:rsidP="008A3A53">
      <w:pPr>
        <w:pStyle w:val="Table-AnnualReport"/>
        <w:numPr>
          <w:ilvl w:val="0"/>
          <w:numId w:val="47"/>
        </w:numPr>
        <w:tabs>
          <w:tab w:val="clear" w:pos="567"/>
        </w:tabs>
        <w:spacing w:beforeLines="20" w:before="48" w:line="240" w:lineRule="auto"/>
        <w:ind w:left="567" w:right="-45" w:hanging="567"/>
        <w:rPr>
          <w:sz w:val="16"/>
          <w:szCs w:val="16"/>
        </w:rPr>
      </w:pPr>
      <w:r w:rsidRPr="00573CC2">
        <w:rPr>
          <w:sz w:val="16"/>
          <w:szCs w:val="16"/>
        </w:rPr>
        <w:t>Where a commencement date is prior to 1 July 2014 or from 1 July 2015 onwards, the contractual arrangements for the pro</w:t>
      </w:r>
      <w:r>
        <w:rPr>
          <w:sz w:val="16"/>
          <w:szCs w:val="16"/>
        </w:rPr>
        <w:t>curement were finalised in 2014</w:t>
      </w:r>
      <w:r>
        <w:rPr>
          <w:sz w:val="16"/>
          <w:szCs w:val="16"/>
        </w:rPr>
        <w:noBreakHyphen/>
      </w:r>
      <w:r w:rsidRPr="00573CC2">
        <w:rPr>
          <w:sz w:val="16"/>
          <w:szCs w:val="16"/>
        </w:rPr>
        <w:t>15.</w:t>
      </w:r>
    </w:p>
    <w:p w:rsidR="00CB1FDB" w:rsidRPr="00573CC2" w:rsidRDefault="00CB1FDB" w:rsidP="008A3A53">
      <w:pPr>
        <w:pStyle w:val="Table-AnnualReport"/>
        <w:numPr>
          <w:ilvl w:val="0"/>
          <w:numId w:val="47"/>
        </w:numPr>
        <w:tabs>
          <w:tab w:val="clear" w:pos="567"/>
        </w:tabs>
        <w:spacing w:beforeLines="20" w:before="48" w:line="240" w:lineRule="auto"/>
        <w:ind w:left="567" w:right="-45" w:hanging="567"/>
        <w:rPr>
          <w:sz w:val="16"/>
          <w:szCs w:val="16"/>
        </w:rPr>
      </w:pPr>
      <w:r w:rsidRPr="00573CC2">
        <w:rPr>
          <w:sz w:val="16"/>
          <w:szCs w:val="16"/>
        </w:rPr>
        <w:t>Contracts with a value of less than $50 000 reported above are those that form part of a com</w:t>
      </w:r>
      <w:r>
        <w:rPr>
          <w:sz w:val="16"/>
          <w:szCs w:val="16"/>
        </w:rPr>
        <w:t>bined procurement valued at $50 </w:t>
      </w:r>
      <w:r w:rsidRPr="00573CC2">
        <w:rPr>
          <w:sz w:val="16"/>
          <w:szCs w:val="16"/>
        </w:rPr>
        <w:t>000 or over.</w:t>
      </w:r>
    </w:p>
    <w:p w:rsidR="00973B3B" w:rsidRPr="001B05C8" w:rsidRDefault="00CB1FDB" w:rsidP="008A3A53">
      <w:pPr>
        <w:pStyle w:val="ListParagraph"/>
        <w:numPr>
          <w:ilvl w:val="0"/>
          <w:numId w:val="47"/>
        </w:numPr>
        <w:spacing w:after="60" w:line="240" w:lineRule="auto"/>
        <w:ind w:left="567" w:right="-45" w:hanging="567"/>
      </w:pPr>
      <w:r w:rsidRPr="008A3A53">
        <w:rPr>
          <w:sz w:val="16"/>
          <w:szCs w:val="16"/>
        </w:rPr>
        <w:t>In accordance with Treasurer’s Instruction 1111, the period of a contract for reporting purposes includes the value, or estimated value, of any possible option to extend.  Where applicable, the principal period of the contract is identified as well as any option to extend; this does not signify that the option has been or will be exercised by DHHS.  All values exclude GST.</w:t>
      </w:r>
    </w:p>
    <w:p w:rsidR="00973B3B" w:rsidRPr="00FB29A2" w:rsidRDefault="00973B3B" w:rsidP="00573CC2">
      <w:pPr>
        <w:pStyle w:val="Heading4"/>
        <w:rPr>
          <w:sz w:val="28"/>
          <w:szCs w:val="28"/>
        </w:rPr>
      </w:pPr>
      <w:r w:rsidRPr="00FB29A2">
        <w:rPr>
          <w:sz w:val="28"/>
          <w:szCs w:val="28"/>
        </w:rPr>
        <w:t xml:space="preserve">Direct/limited </w:t>
      </w:r>
      <w:r w:rsidR="001C4C07" w:rsidRPr="00FB29A2">
        <w:rPr>
          <w:sz w:val="28"/>
          <w:szCs w:val="28"/>
        </w:rPr>
        <w:t>S</w:t>
      </w:r>
      <w:r w:rsidRPr="00FB29A2">
        <w:rPr>
          <w:sz w:val="28"/>
          <w:szCs w:val="28"/>
        </w:rPr>
        <w:t xml:space="preserve">ubmission </w:t>
      </w:r>
      <w:r w:rsidR="001C4C07" w:rsidRPr="00FB29A2">
        <w:rPr>
          <w:sz w:val="28"/>
          <w:szCs w:val="28"/>
        </w:rPr>
        <w:t>S</w:t>
      </w:r>
      <w:r w:rsidRPr="00FB29A2">
        <w:rPr>
          <w:sz w:val="28"/>
          <w:szCs w:val="28"/>
        </w:rPr>
        <w:t xml:space="preserve">ourcing </w:t>
      </w:r>
    </w:p>
    <w:p w:rsidR="001C4C07" w:rsidRPr="001B05C8" w:rsidRDefault="001C4C07" w:rsidP="00973B3B">
      <w:pPr>
        <w:keepNext/>
        <w:keepLines/>
        <w:autoSpaceDE w:val="0"/>
        <w:autoSpaceDN w:val="0"/>
        <w:adjustRightInd w:val="0"/>
        <w:rPr>
          <w:rFonts w:cs="GillSansMT"/>
        </w:rPr>
        <w:sectPr w:rsidR="001C4C07" w:rsidRPr="001B05C8" w:rsidSect="00CB41D0">
          <w:type w:val="continuous"/>
          <w:pgSz w:w="11906" w:h="16838" w:code="9"/>
          <w:pgMar w:top="907" w:right="1134" w:bottom="720" w:left="1134" w:header="709" w:footer="709" w:gutter="0"/>
          <w:cols w:space="708"/>
          <w:docGrid w:linePitch="360"/>
        </w:sectPr>
      </w:pPr>
    </w:p>
    <w:p w:rsidR="00973B3B" w:rsidRPr="001B05C8" w:rsidRDefault="00973B3B" w:rsidP="00973B3B">
      <w:pPr>
        <w:keepNext/>
        <w:keepLines/>
        <w:autoSpaceDE w:val="0"/>
        <w:autoSpaceDN w:val="0"/>
        <w:adjustRightInd w:val="0"/>
        <w:rPr>
          <w:rFonts w:cs="GillSansMT"/>
        </w:rPr>
      </w:pPr>
      <w:r w:rsidRPr="001B05C8">
        <w:rPr>
          <w:rFonts w:cs="GillSansMT"/>
        </w:rPr>
        <w:lastRenderedPageBreak/>
        <w:t>Treasurer’s Instructions 1114 and 1217 provide heads of agencies with the discretion, where specified circumstances exist, to approve the direct sourcing or seeking of limited submissions from a supplier or suppliers without the need to seek quotations or call for tenders.</w:t>
      </w:r>
    </w:p>
    <w:p w:rsidR="00973B3B" w:rsidRPr="001B05C8" w:rsidRDefault="001C4C07" w:rsidP="00973B3B">
      <w:pPr>
        <w:keepNext/>
        <w:keepLines/>
        <w:autoSpaceDE w:val="0"/>
        <w:autoSpaceDN w:val="0"/>
        <w:adjustRightInd w:val="0"/>
        <w:spacing w:after="240"/>
        <w:rPr>
          <w:b/>
        </w:rPr>
      </w:pPr>
      <w:r w:rsidRPr="001B05C8">
        <w:rPr>
          <w:rFonts w:cs="GillSansMT"/>
        </w:rPr>
        <w:br w:type="column"/>
      </w:r>
      <w:r w:rsidR="00973B3B" w:rsidRPr="001B05C8">
        <w:rPr>
          <w:rFonts w:cs="GillSansMT"/>
        </w:rPr>
        <w:lastRenderedPageBreak/>
        <w:t xml:space="preserve">The following table provides details of contracts awarded by </w:t>
      </w:r>
      <w:r w:rsidR="00573CC2">
        <w:rPr>
          <w:rFonts w:cs="GillSansMT"/>
        </w:rPr>
        <w:t>DHHS</w:t>
      </w:r>
      <w:r w:rsidR="00973B3B" w:rsidRPr="001B05C8">
        <w:rPr>
          <w:rFonts w:cs="GillSansMT"/>
        </w:rPr>
        <w:t xml:space="preserve"> in 2014-15 as a result of a direct sourcing process approved in accordance with TI 1114.  There were no contracts awarded under TI 1217.</w:t>
      </w:r>
    </w:p>
    <w:p w:rsidR="001C4C07" w:rsidRPr="001B05C8" w:rsidRDefault="001C4C07" w:rsidP="00B504A4">
      <w:pPr>
        <w:keepNext/>
        <w:keepLines/>
        <w:spacing w:beforeLines="20" w:before="48" w:afterLines="20" w:after="48" w:line="300" w:lineRule="exact"/>
        <w:rPr>
          <w:rFonts w:cs="Arial"/>
          <w:b/>
          <w:bCs/>
        </w:rPr>
        <w:sectPr w:rsidR="001C4C07" w:rsidRPr="001B05C8" w:rsidSect="001C4C07">
          <w:type w:val="continuous"/>
          <w:pgSz w:w="11906" w:h="16838" w:code="9"/>
          <w:pgMar w:top="907" w:right="1134" w:bottom="720" w:left="1134" w:header="709" w:footer="709" w:gutter="0"/>
          <w:cols w:num="2" w:space="708"/>
          <w:docGrid w:linePitch="360"/>
        </w:sectPr>
      </w:pPr>
    </w:p>
    <w:tbl>
      <w:tblPr>
        <w:tblW w:w="9515" w:type="dxa"/>
        <w:tblInd w:w="93" w:type="dxa"/>
        <w:tblBorders>
          <w:insideH w:val="single" w:sz="4" w:space="0" w:color="808080" w:themeColor="background1" w:themeShade="80"/>
        </w:tblBorders>
        <w:tblLayout w:type="fixed"/>
        <w:tblLook w:val="04A0" w:firstRow="1" w:lastRow="0" w:firstColumn="1" w:lastColumn="0" w:noHBand="0" w:noVBand="1"/>
      </w:tblPr>
      <w:tblGrid>
        <w:gridCol w:w="1575"/>
        <w:gridCol w:w="2552"/>
        <w:gridCol w:w="3968"/>
        <w:gridCol w:w="1420"/>
      </w:tblGrid>
      <w:tr w:rsidR="00973B3B" w:rsidRPr="00FB29A2" w:rsidTr="001C4C07">
        <w:tc>
          <w:tcPr>
            <w:tcW w:w="1575" w:type="dxa"/>
            <w:shd w:val="clear" w:color="auto" w:fill="auto"/>
            <w:vAlign w:val="center"/>
          </w:tcPr>
          <w:p w:rsidR="00973B3B" w:rsidRPr="00FB29A2" w:rsidRDefault="00973B3B" w:rsidP="00B62128">
            <w:pPr>
              <w:keepNext/>
              <w:keepLines/>
              <w:spacing w:beforeLines="60" w:before="144" w:afterLines="60" w:after="144" w:line="240" w:lineRule="auto"/>
              <w:rPr>
                <w:rFonts w:cs="Arial"/>
                <w:b/>
                <w:bCs/>
                <w:sz w:val="18"/>
                <w:szCs w:val="18"/>
              </w:rPr>
            </w:pPr>
            <w:r w:rsidRPr="00FB29A2">
              <w:rPr>
                <w:rFonts w:cs="Arial"/>
                <w:b/>
                <w:bCs/>
                <w:sz w:val="18"/>
                <w:szCs w:val="18"/>
              </w:rPr>
              <w:lastRenderedPageBreak/>
              <w:t>Contractor Name</w:t>
            </w:r>
          </w:p>
        </w:tc>
        <w:tc>
          <w:tcPr>
            <w:tcW w:w="2552" w:type="dxa"/>
            <w:shd w:val="clear" w:color="auto" w:fill="auto"/>
            <w:vAlign w:val="center"/>
          </w:tcPr>
          <w:p w:rsidR="00973B3B" w:rsidRPr="00FB29A2" w:rsidRDefault="00973B3B" w:rsidP="00B62128">
            <w:pPr>
              <w:keepNext/>
              <w:keepLines/>
              <w:spacing w:beforeLines="60" w:before="144" w:afterLines="60" w:after="144" w:line="240" w:lineRule="auto"/>
              <w:ind w:right="34"/>
              <w:rPr>
                <w:rFonts w:cs="Arial"/>
                <w:b/>
                <w:bCs/>
                <w:sz w:val="18"/>
                <w:szCs w:val="18"/>
              </w:rPr>
            </w:pPr>
            <w:r w:rsidRPr="00FB29A2">
              <w:rPr>
                <w:rFonts w:cs="Arial"/>
                <w:b/>
                <w:bCs/>
                <w:sz w:val="18"/>
                <w:szCs w:val="18"/>
              </w:rPr>
              <w:t>Contract Description</w:t>
            </w:r>
          </w:p>
        </w:tc>
        <w:tc>
          <w:tcPr>
            <w:tcW w:w="3968" w:type="dxa"/>
            <w:shd w:val="clear" w:color="auto" w:fill="auto"/>
            <w:vAlign w:val="center"/>
          </w:tcPr>
          <w:p w:rsidR="00973B3B" w:rsidRPr="00FB29A2" w:rsidRDefault="00973B3B" w:rsidP="00B62128">
            <w:pPr>
              <w:keepNext/>
              <w:keepLines/>
              <w:spacing w:beforeLines="60" w:before="144" w:afterLines="60" w:after="144" w:line="240" w:lineRule="auto"/>
              <w:ind w:right="34"/>
              <w:rPr>
                <w:rFonts w:cs="Calibri"/>
                <w:color w:val="000000"/>
                <w:sz w:val="18"/>
                <w:szCs w:val="18"/>
              </w:rPr>
            </w:pPr>
            <w:r w:rsidRPr="00FB29A2">
              <w:rPr>
                <w:rFonts w:cs="Arial"/>
                <w:b/>
                <w:bCs/>
                <w:sz w:val="18"/>
                <w:szCs w:val="18"/>
              </w:rPr>
              <w:t>Reasons for Approval</w:t>
            </w:r>
          </w:p>
        </w:tc>
        <w:tc>
          <w:tcPr>
            <w:tcW w:w="1420" w:type="dxa"/>
            <w:shd w:val="clear" w:color="auto" w:fill="auto"/>
            <w:vAlign w:val="center"/>
          </w:tcPr>
          <w:p w:rsidR="00973B3B" w:rsidRPr="00FB29A2" w:rsidRDefault="00973B3B" w:rsidP="00B62128">
            <w:pPr>
              <w:keepNext/>
              <w:keepLines/>
              <w:spacing w:beforeLines="60" w:before="144" w:afterLines="60" w:after="144" w:line="240" w:lineRule="auto"/>
              <w:jc w:val="right"/>
              <w:rPr>
                <w:rFonts w:cs="Calibri"/>
                <w:color w:val="000000"/>
                <w:sz w:val="18"/>
                <w:szCs w:val="18"/>
              </w:rPr>
            </w:pPr>
            <w:r w:rsidRPr="00FB29A2">
              <w:rPr>
                <w:rFonts w:cs="Arial"/>
                <w:b/>
                <w:bCs/>
                <w:sz w:val="18"/>
                <w:szCs w:val="18"/>
              </w:rPr>
              <w:t>Total Value $</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Baxter Healthcare Pty Ltd</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Volumetric Infusion Pumps and Consumables - Contract Extension</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Purchases made under exceptionally advantageous conditions that only arise in the very short term, such as from unusual disposals, unsolicited innovative proposals, liquidation, bankruptcy or receivership and not for routine purchases from regular suppliers.</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5 500 000</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ERM Power Retail Pty Ltd</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Supply of Retail Electricity Services</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 xml:space="preserve">In so far as is strictly necessary where, for reasons of extreme urgency brought about by events unforeseen by the agency, the goods or services could not be obtained in time using an open or selective tender. </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2 700 000</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ERM Power Retail Pty Ltd</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Supply of Retail Electricity Services</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 xml:space="preserve">In so far as is strictly necessary where, for reasons of extreme urgency brought about by events unforeseen by the agency, the goods or services could not be obtained in time using an open or selective tender. </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1 800 000</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Health Recruitment Specialists Pty Ltd</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Tasmanian Health Organisation South - Implementation Assistance Financial Recovery Plan Project</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The procurement is not impacted by a free trade agreement as set out in Instruction 1102 and the cost to the agency and to suppliers of seeking quotations or calling public tenders would outweigh the value for money benefits of seeking quotations or calling public tenders.</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 xml:space="preserve"> 79 200</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Melbourne Health</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Support and Maintenance for Guidance MS Software</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Additional deliveries of goods or services by the original supplier or authorised representative that are intended either as replacement parts, extensions or continuing services for existing equipment, software, services or installations, where a change of supplier would compel the agency to procure goods or services that do not meet requirements of interchangeability with existing equipment.</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 xml:space="preserve"> 156 687</w:t>
            </w:r>
          </w:p>
        </w:tc>
      </w:tr>
      <w:tr w:rsidR="00973B3B" w:rsidRPr="001B05C8" w:rsidTr="001C4C07">
        <w:tc>
          <w:tcPr>
            <w:tcW w:w="1575"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Staples Australia Pty Ltd</w:t>
            </w:r>
          </w:p>
        </w:tc>
        <w:tc>
          <w:tcPr>
            <w:tcW w:w="2552"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Multi-Function Device Service - Extension to Contract</w:t>
            </w:r>
          </w:p>
        </w:tc>
        <w:tc>
          <w:tcPr>
            <w:tcW w:w="3968" w:type="dxa"/>
            <w:shd w:val="clear" w:color="auto" w:fill="auto"/>
            <w:vAlign w:val="center"/>
            <w:hideMark/>
          </w:tcPr>
          <w:p w:rsidR="00973B3B" w:rsidRPr="001B05C8" w:rsidRDefault="00973B3B" w:rsidP="00B62128">
            <w:pPr>
              <w:spacing w:beforeLines="60" w:before="144" w:afterLines="60" w:after="144" w:line="240" w:lineRule="auto"/>
              <w:rPr>
                <w:rFonts w:cs="Calibri"/>
                <w:color w:val="000000"/>
                <w:sz w:val="17"/>
                <w:szCs w:val="17"/>
              </w:rPr>
            </w:pPr>
            <w:r w:rsidRPr="001B05C8">
              <w:rPr>
                <w:rFonts w:cs="Calibri"/>
                <w:color w:val="000000"/>
                <w:sz w:val="17"/>
                <w:szCs w:val="17"/>
              </w:rPr>
              <w:t>Purchases made under exceptionally advantageous conditions that only arise in the very short term, such as from unusual disposals, unsolicited innovative proposals, liquidation, bankruptcy or receivership and not for routine purchases from regular suppliers.</w:t>
            </w:r>
          </w:p>
        </w:tc>
        <w:tc>
          <w:tcPr>
            <w:tcW w:w="1420" w:type="dxa"/>
            <w:shd w:val="clear" w:color="auto" w:fill="auto"/>
            <w:vAlign w:val="center"/>
            <w:hideMark/>
          </w:tcPr>
          <w:p w:rsidR="00973B3B" w:rsidRPr="001B05C8" w:rsidRDefault="00973B3B" w:rsidP="00B62128">
            <w:pPr>
              <w:spacing w:beforeLines="60" w:before="144" w:afterLines="60" w:after="144" w:line="240" w:lineRule="auto"/>
              <w:jc w:val="right"/>
              <w:rPr>
                <w:rFonts w:cs="Calibri"/>
                <w:color w:val="000000"/>
                <w:sz w:val="17"/>
                <w:szCs w:val="17"/>
              </w:rPr>
            </w:pPr>
            <w:r w:rsidRPr="001B05C8">
              <w:rPr>
                <w:rFonts w:cs="Calibri"/>
                <w:color w:val="000000"/>
                <w:sz w:val="17"/>
                <w:szCs w:val="17"/>
              </w:rPr>
              <w:t>3 000 000</w:t>
            </w:r>
          </w:p>
        </w:tc>
      </w:tr>
      <w:tr w:rsidR="00973B3B" w:rsidRPr="00573CC2" w:rsidTr="001C4C07">
        <w:trPr>
          <w:cantSplit/>
        </w:trPr>
        <w:tc>
          <w:tcPr>
            <w:tcW w:w="9515" w:type="dxa"/>
            <w:gridSpan w:val="4"/>
            <w:shd w:val="clear" w:color="auto" w:fill="auto"/>
            <w:vAlign w:val="center"/>
          </w:tcPr>
          <w:p w:rsidR="00973B3B" w:rsidRPr="00573CC2" w:rsidRDefault="00CB1FDB" w:rsidP="00B62128">
            <w:pPr>
              <w:tabs>
                <w:tab w:val="left" w:pos="447"/>
              </w:tabs>
              <w:spacing w:beforeLines="60" w:before="144" w:afterLines="60" w:after="144" w:line="240" w:lineRule="auto"/>
              <w:ind w:left="474" w:right="33" w:hanging="474"/>
              <w:outlineLvl w:val="1"/>
              <w:rPr>
                <w:sz w:val="16"/>
                <w:szCs w:val="16"/>
              </w:rPr>
            </w:pPr>
            <w:r>
              <w:rPr>
                <w:rFonts w:cs="Arial"/>
                <w:color w:val="000000"/>
                <w:sz w:val="16"/>
                <w:szCs w:val="16"/>
              </w:rPr>
              <w:t>Note</w:t>
            </w:r>
            <w:r w:rsidR="00FB6579">
              <w:rPr>
                <w:rFonts w:cs="Arial"/>
                <w:color w:val="000000"/>
                <w:sz w:val="16"/>
                <w:szCs w:val="16"/>
              </w:rPr>
              <w:t>:</w:t>
            </w:r>
            <w:r>
              <w:rPr>
                <w:rFonts w:cs="Arial"/>
                <w:color w:val="000000"/>
                <w:sz w:val="16"/>
                <w:szCs w:val="16"/>
              </w:rPr>
              <w:t xml:space="preserve"> t</w:t>
            </w:r>
            <w:r w:rsidR="00973B3B" w:rsidRPr="00573CC2">
              <w:rPr>
                <w:sz w:val="16"/>
                <w:szCs w:val="16"/>
              </w:rPr>
              <w:t>he values in this table include the value, or estimated value, of any possible option to extend.  All values exclude GST.</w:t>
            </w:r>
          </w:p>
        </w:tc>
      </w:tr>
    </w:tbl>
    <w:p w:rsidR="00973B3B" w:rsidRPr="001B05C8" w:rsidRDefault="00973B3B" w:rsidP="00973B3B">
      <w:pPr>
        <w:spacing w:after="85" w:line="300" w:lineRule="exact"/>
        <w:ind w:right="-907"/>
      </w:pPr>
    </w:p>
    <w:p w:rsidR="001C4C07" w:rsidRPr="001B05C8" w:rsidRDefault="001C4C07">
      <w:pPr>
        <w:tabs>
          <w:tab w:val="clear" w:pos="567"/>
        </w:tabs>
        <w:spacing w:after="200" w:line="276" w:lineRule="auto"/>
        <w:rPr>
          <w:b/>
          <w:bCs/>
          <w:sz w:val="24"/>
        </w:rPr>
      </w:pPr>
      <w:r w:rsidRPr="001B05C8">
        <w:br w:type="page"/>
      </w:r>
    </w:p>
    <w:p w:rsidR="00973B3B" w:rsidRPr="00573CC2" w:rsidRDefault="00973B3B" w:rsidP="00573CC2">
      <w:pPr>
        <w:pStyle w:val="Heading4"/>
      </w:pPr>
      <w:r w:rsidRPr="00573CC2">
        <w:lastRenderedPageBreak/>
        <w:t>Disaggregation Exemptions</w:t>
      </w:r>
    </w:p>
    <w:p w:rsidR="001C4C07" w:rsidRPr="001B05C8" w:rsidRDefault="001C4C07" w:rsidP="00973B3B">
      <w:pPr>
        <w:keepNext/>
        <w:keepLines/>
        <w:autoSpaceDE w:val="0"/>
        <w:autoSpaceDN w:val="0"/>
        <w:adjustRightInd w:val="0"/>
        <w:rPr>
          <w:rFonts w:cs="GillSansMT"/>
        </w:rPr>
        <w:sectPr w:rsidR="001C4C07" w:rsidRPr="001B05C8" w:rsidSect="00CB41D0">
          <w:type w:val="continuous"/>
          <w:pgSz w:w="11906" w:h="16838" w:code="9"/>
          <w:pgMar w:top="907" w:right="1134" w:bottom="720" w:left="1134" w:header="709" w:footer="709" w:gutter="0"/>
          <w:cols w:space="708"/>
          <w:docGrid w:linePitch="360"/>
        </w:sectPr>
      </w:pPr>
    </w:p>
    <w:p w:rsidR="00973B3B" w:rsidRPr="001B05C8" w:rsidRDefault="00973B3B" w:rsidP="00973B3B">
      <w:pPr>
        <w:keepNext/>
        <w:keepLines/>
        <w:autoSpaceDE w:val="0"/>
        <w:autoSpaceDN w:val="0"/>
        <w:adjustRightInd w:val="0"/>
        <w:rPr>
          <w:rFonts w:cs="GillSansMT"/>
        </w:rPr>
      </w:pPr>
      <w:r w:rsidRPr="00573CC2">
        <w:lastRenderedPageBreak/>
        <w:t xml:space="preserve">Under Treasurer’s Instructions 1119(5) and 1225(5), a Head of Agency may approve an exemption from the requirement to disaggregate substantial contracts where the benefits of aggregation clearly outweigh the potential negative impact on local </w:t>
      </w:r>
      <w:r w:rsidR="00B62128">
        <w:t xml:space="preserve">small and medium sized enterprises </w:t>
      </w:r>
      <w:r w:rsidRPr="00573CC2">
        <w:t>suppliers/the local economy.</w:t>
      </w:r>
      <w:r w:rsidR="001C4C07" w:rsidRPr="001B05C8">
        <w:rPr>
          <w:rFonts w:cs="GillSansMT"/>
        </w:rPr>
        <w:br w:type="column"/>
      </w:r>
      <w:r w:rsidRPr="001B05C8">
        <w:rPr>
          <w:rFonts w:cs="GillSansMT"/>
        </w:rPr>
        <w:lastRenderedPageBreak/>
        <w:t xml:space="preserve">The following table provides details of contracts awarded by </w:t>
      </w:r>
      <w:r w:rsidR="00573CC2">
        <w:rPr>
          <w:rFonts w:cs="GillSansMT"/>
        </w:rPr>
        <w:t>DHHS</w:t>
      </w:r>
      <w:r w:rsidRPr="001B05C8">
        <w:rPr>
          <w:rFonts w:cs="GillSansMT"/>
        </w:rPr>
        <w:t xml:space="preserve"> in 2014-15 as a result of such an approval.</w:t>
      </w:r>
    </w:p>
    <w:p w:rsidR="001C4C07" w:rsidRPr="001B05C8" w:rsidRDefault="001C4C07" w:rsidP="00691BE5">
      <w:pPr>
        <w:spacing w:before="60" w:after="60"/>
        <w:ind w:right="34"/>
        <w:rPr>
          <w:rFonts w:cs="Arial"/>
          <w:b/>
          <w:bCs/>
          <w:sz w:val="17"/>
          <w:szCs w:val="17"/>
        </w:rPr>
        <w:sectPr w:rsidR="001C4C07" w:rsidRPr="001B05C8" w:rsidSect="001C4C07">
          <w:type w:val="continuous"/>
          <w:pgSz w:w="11906" w:h="16838" w:code="9"/>
          <w:pgMar w:top="907" w:right="1134" w:bottom="720" w:left="1134" w:header="709" w:footer="709" w:gutter="0"/>
          <w:cols w:num="2" w:space="708"/>
          <w:docGrid w:linePitch="360"/>
        </w:sectPr>
      </w:pPr>
    </w:p>
    <w:tbl>
      <w:tblPr>
        <w:tblW w:w="9232" w:type="dxa"/>
        <w:tblInd w:w="93" w:type="dxa"/>
        <w:tblBorders>
          <w:insideH w:val="single" w:sz="4" w:space="0" w:color="808080" w:themeColor="background1" w:themeShade="80"/>
        </w:tblBorders>
        <w:tblLayout w:type="fixed"/>
        <w:tblLook w:val="04A0" w:firstRow="1" w:lastRow="0" w:firstColumn="1" w:lastColumn="0" w:noHBand="0" w:noVBand="1"/>
      </w:tblPr>
      <w:tblGrid>
        <w:gridCol w:w="5969"/>
        <w:gridCol w:w="1417"/>
        <w:gridCol w:w="1846"/>
      </w:tblGrid>
      <w:tr w:rsidR="00FB29A2" w:rsidRPr="007436B7" w:rsidTr="00937E18">
        <w:trPr>
          <w:cantSplit/>
        </w:trPr>
        <w:tc>
          <w:tcPr>
            <w:tcW w:w="7386" w:type="dxa"/>
            <w:gridSpan w:val="2"/>
            <w:shd w:val="clear" w:color="auto" w:fill="auto"/>
            <w:vAlign w:val="center"/>
          </w:tcPr>
          <w:p w:rsidR="00FB29A2" w:rsidRPr="007436B7" w:rsidRDefault="00FB29A2" w:rsidP="00937E18">
            <w:pPr>
              <w:spacing w:before="60" w:after="60"/>
              <w:ind w:right="34"/>
              <w:rPr>
                <w:rFonts w:cs="Arial"/>
                <w:b/>
                <w:bCs/>
                <w:sz w:val="18"/>
                <w:szCs w:val="18"/>
              </w:rPr>
            </w:pPr>
          </w:p>
          <w:p w:rsidR="00FB29A2" w:rsidRPr="007436B7" w:rsidRDefault="00FB29A2" w:rsidP="00937E18">
            <w:pPr>
              <w:spacing w:before="60" w:after="60"/>
              <w:ind w:right="34"/>
              <w:rPr>
                <w:rFonts w:cs="Arial"/>
                <w:b/>
                <w:bCs/>
                <w:sz w:val="18"/>
                <w:szCs w:val="18"/>
                <w:vertAlign w:val="superscript"/>
              </w:rPr>
            </w:pPr>
            <w:r w:rsidRPr="007436B7">
              <w:rPr>
                <w:rFonts w:cs="Arial"/>
                <w:b/>
                <w:bCs/>
                <w:sz w:val="18"/>
                <w:szCs w:val="18"/>
              </w:rPr>
              <w:t>Contract Description</w:t>
            </w:r>
            <w:r w:rsidRPr="007436B7">
              <w:rPr>
                <w:rFonts w:cs="Arial"/>
                <w:b/>
                <w:bCs/>
                <w:sz w:val="18"/>
                <w:szCs w:val="18"/>
                <w:vertAlign w:val="superscript"/>
              </w:rPr>
              <w:t>1</w:t>
            </w:r>
          </w:p>
        </w:tc>
        <w:tc>
          <w:tcPr>
            <w:tcW w:w="1846" w:type="dxa"/>
            <w:shd w:val="clear" w:color="auto" w:fill="auto"/>
            <w:vAlign w:val="center"/>
          </w:tcPr>
          <w:p w:rsidR="00FB29A2" w:rsidRPr="007436B7" w:rsidRDefault="00FB29A2" w:rsidP="00937E18">
            <w:pPr>
              <w:spacing w:before="60" w:after="60"/>
              <w:ind w:right="34"/>
              <w:jc w:val="right"/>
              <w:rPr>
                <w:rFonts w:cs="Arial"/>
                <w:b/>
                <w:bCs/>
                <w:sz w:val="18"/>
                <w:szCs w:val="18"/>
              </w:rPr>
            </w:pPr>
          </w:p>
          <w:p w:rsidR="00FB29A2" w:rsidRPr="007436B7" w:rsidRDefault="00FB29A2" w:rsidP="00937E18">
            <w:pPr>
              <w:spacing w:before="60" w:after="60"/>
              <w:ind w:right="34"/>
              <w:jc w:val="right"/>
              <w:rPr>
                <w:rFonts w:cs="Arial"/>
                <w:b/>
                <w:bCs/>
                <w:sz w:val="18"/>
                <w:szCs w:val="18"/>
              </w:rPr>
            </w:pPr>
            <w:r w:rsidRPr="007436B7">
              <w:rPr>
                <w:rFonts w:cs="Arial"/>
                <w:b/>
                <w:bCs/>
                <w:sz w:val="18"/>
                <w:szCs w:val="18"/>
              </w:rPr>
              <w:t>Total Value $</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Supply of Medical Sutures and Associated Stapling Devices</w:t>
            </w:r>
          </w:p>
        </w:tc>
        <w:tc>
          <w:tcPr>
            <w:tcW w:w="3263" w:type="dxa"/>
            <w:gridSpan w:val="2"/>
            <w:shd w:val="clear" w:color="auto" w:fill="auto"/>
            <w:vAlign w:val="bottom"/>
            <w:hideMark/>
          </w:tcPr>
          <w:p w:rsidR="00FB29A2" w:rsidRPr="001B05C8" w:rsidRDefault="00FB29A2" w:rsidP="00937E18">
            <w:pPr>
              <w:pStyle w:val="Table-AnnualReport"/>
              <w:jc w:val="right"/>
            </w:pPr>
            <w:r w:rsidRPr="001B05C8">
              <w:t>15 690 000</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Provision of Peritoneal Dialysis and Haemodialysis Services</w:t>
            </w:r>
          </w:p>
        </w:tc>
        <w:tc>
          <w:tcPr>
            <w:tcW w:w="3263" w:type="dxa"/>
            <w:gridSpan w:val="2"/>
            <w:shd w:val="clear" w:color="auto" w:fill="auto"/>
            <w:vAlign w:val="bottom"/>
            <w:hideMark/>
          </w:tcPr>
          <w:p w:rsidR="00FB29A2" w:rsidRPr="001B05C8" w:rsidRDefault="00FB29A2" w:rsidP="00937E18">
            <w:pPr>
              <w:pStyle w:val="Table-AnnualReport"/>
              <w:jc w:val="right"/>
            </w:pPr>
            <w:r w:rsidRPr="001B05C8">
              <w:t>29 032 233</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6 Shore Street, Rose Bay – 2 Unit Development</w:t>
            </w:r>
          </w:p>
        </w:tc>
        <w:tc>
          <w:tcPr>
            <w:tcW w:w="3263" w:type="dxa"/>
            <w:gridSpan w:val="2"/>
            <w:shd w:val="clear" w:color="auto" w:fill="auto"/>
            <w:vAlign w:val="bottom"/>
            <w:hideMark/>
          </w:tcPr>
          <w:p w:rsidR="00FB29A2" w:rsidRPr="001B05C8" w:rsidRDefault="00FB29A2" w:rsidP="00937E18">
            <w:pPr>
              <w:pStyle w:val="Table-AnnualReport"/>
              <w:jc w:val="right"/>
            </w:pPr>
            <w:r w:rsidRPr="001B05C8">
              <w:t xml:space="preserve"> </w:t>
            </w:r>
            <w:r w:rsidRPr="001B05C8">
              <w:rPr>
                <w:rFonts w:cs="Arial"/>
              </w:rPr>
              <w:t>448 789</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Mobile Screening Unit – BreastScreen Tasmania</w:t>
            </w:r>
          </w:p>
        </w:tc>
        <w:tc>
          <w:tcPr>
            <w:tcW w:w="3263" w:type="dxa"/>
            <w:gridSpan w:val="2"/>
            <w:shd w:val="clear" w:color="auto" w:fill="auto"/>
            <w:vAlign w:val="bottom"/>
            <w:hideMark/>
          </w:tcPr>
          <w:p w:rsidR="00FB29A2" w:rsidRPr="001B05C8" w:rsidRDefault="00FB29A2" w:rsidP="00937E18">
            <w:pPr>
              <w:pStyle w:val="Table-AnnualReport"/>
              <w:jc w:val="right"/>
            </w:pPr>
            <w:r w:rsidRPr="001B05C8">
              <w:t xml:space="preserve"> </w:t>
            </w:r>
            <w:r w:rsidRPr="001B05C8">
              <w:rPr>
                <w:rFonts w:cs="Arial"/>
              </w:rPr>
              <w:t>633 486</w:t>
            </w:r>
          </w:p>
        </w:tc>
      </w:tr>
      <w:tr w:rsidR="00FB29A2" w:rsidRPr="001B05C8" w:rsidTr="00937E18">
        <w:trPr>
          <w:cantSplit/>
        </w:trPr>
        <w:tc>
          <w:tcPr>
            <w:tcW w:w="5969" w:type="dxa"/>
            <w:shd w:val="clear" w:color="auto" w:fill="auto"/>
            <w:vAlign w:val="bottom"/>
            <w:hideMark/>
          </w:tcPr>
          <w:p w:rsidR="00FB29A2" w:rsidRPr="00ED185C" w:rsidRDefault="00FB29A2" w:rsidP="00937E18">
            <w:pPr>
              <w:pStyle w:val="Table-AnnualReport"/>
              <w:rPr>
                <w:vertAlign w:val="superscript"/>
              </w:rPr>
            </w:pPr>
            <w:r w:rsidRPr="001B05C8">
              <w:t>Mersey Community Hospital – Fire Protection Upgrade</w:t>
            </w:r>
            <w:r>
              <w:rPr>
                <w:vertAlign w:val="superscript"/>
              </w:rPr>
              <w:t>2</w:t>
            </w:r>
          </w:p>
        </w:tc>
        <w:tc>
          <w:tcPr>
            <w:tcW w:w="3263" w:type="dxa"/>
            <w:gridSpan w:val="2"/>
            <w:shd w:val="clear" w:color="auto" w:fill="auto"/>
            <w:vAlign w:val="bottom"/>
            <w:hideMark/>
          </w:tcPr>
          <w:p w:rsidR="00FB29A2" w:rsidRPr="001B05C8" w:rsidRDefault="00FB29A2" w:rsidP="00937E18">
            <w:pPr>
              <w:pStyle w:val="Table-AnnualReport"/>
              <w:jc w:val="right"/>
            </w:pPr>
            <w:r w:rsidRPr="001B05C8">
              <w:rPr>
                <w:rFonts w:cs="Arial"/>
              </w:rPr>
              <w:t>2 164 833</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Ravenswood Community Health Centre – Redevelopment</w:t>
            </w:r>
          </w:p>
        </w:tc>
        <w:tc>
          <w:tcPr>
            <w:tcW w:w="3263" w:type="dxa"/>
            <w:gridSpan w:val="2"/>
            <w:shd w:val="clear" w:color="auto" w:fill="auto"/>
            <w:vAlign w:val="bottom"/>
            <w:hideMark/>
          </w:tcPr>
          <w:p w:rsidR="00FB29A2" w:rsidRPr="001B05C8" w:rsidRDefault="00FB29A2" w:rsidP="00937E18">
            <w:pPr>
              <w:pStyle w:val="Table-AnnualReport"/>
              <w:jc w:val="right"/>
            </w:pPr>
            <w:r w:rsidRPr="001B05C8">
              <w:rPr>
                <w:rFonts w:cs="Arial"/>
              </w:rPr>
              <w:t>1 798 926</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Demolition and Construction/Renovation of Annie Kenney House</w:t>
            </w:r>
          </w:p>
        </w:tc>
        <w:tc>
          <w:tcPr>
            <w:tcW w:w="3263" w:type="dxa"/>
            <w:gridSpan w:val="2"/>
            <w:shd w:val="clear" w:color="auto" w:fill="auto"/>
            <w:vAlign w:val="bottom"/>
            <w:hideMark/>
          </w:tcPr>
          <w:p w:rsidR="00FB29A2" w:rsidRPr="001B05C8" w:rsidRDefault="00FB29A2" w:rsidP="00937E18">
            <w:pPr>
              <w:pStyle w:val="Table-AnnualReport"/>
              <w:jc w:val="right"/>
            </w:pPr>
            <w:r w:rsidRPr="001B05C8">
              <w:rPr>
                <w:rFonts w:cs="Arial"/>
              </w:rPr>
              <w:t>1 278 752</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LGH – Redevelopment of Specialist Clinic</w:t>
            </w:r>
          </w:p>
        </w:tc>
        <w:tc>
          <w:tcPr>
            <w:tcW w:w="3263" w:type="dxa"/>
            <w:gridSpan w:val="2"/>
            <w:shd w:val="clear" w:color="auto" w:fill="auto"/>
            <w:vAlign w:val="bottom"/>
            <w:hideMark/>
          </w:tcPr>
          <w:p w:rsidR="00FB29A2" w:rsidRPr="001B05C8" w:rsidRDefault="00FB29A2" w:rsidP="00937E18">
            <w:pPr>
              <w:pStyle w:val="Table-AnnualReport"/>
              <w:jc w:val="right"/>
            </w:pPr>
            <w:r w:rsidRPr="001B05C8">
              <w:rPr>
                <w:rFonts w:cs="Arial"/>
              </w:rPr>
              <w:t>3 665 277</w:t>
            </w:r>
          </w:p>
        </w:tc>
      </w:tr>
      <w:tr w:rsidR="00FB29A2" w:rsidRPr="001B05C8" w:rsidTr="00937E18">
        <w:trPr>
          <w:cantSplit/>
        </w:trPr>
        <w:tc>
          <w:tcPr>
            <w:tcW w:w="5969" w:type="dxa"/>
            <w:shd w:val="clear" w:color="auto" w:fill="auto"/>
            <w:vAlign w:val="bottom"/>
            <w:hideMark/>
          </w:tcPr>
          <w:p w:rsidR="00FB29A2" w:rsidRPr="001B05C8" w:rsidRDefault="00FB29A2" w:rsidP="00937E18">
            <w:pPr>
              <w:pStyle w:val="Table-AnnualReport"/>
            </w:pPr>
            <w:r w:rsidRPr="001B05C8">
              <w:t>Ambulance Tasmania Replacement Generator and Main Switchboard</w:t>
            </w:r>
          </w:p>
        </w:tc>
        <w:tc>
          <w:tcPr>
            <w:tcW w:w="3263" w:type="dxa"/>
            <w:gridSpan w:val="2"/>
            <w:shd w:val="clear" w:color="auto" w:fill="auto"/>
            <w:vAlign w:val="bottom"/>
            <w:hideMark/>
          </w:tcPr>
          <w:p w:rsidR="00FB29A2" w:rsidRPr="001B05C8" w:rsidRDefault="00FB29A2" w:rsidP="00937E18">
            <w:pPr>
              <w:pStyle w:val="Table-AnnualReport"/>
              <w:jc w:val="right"/>
            </w:pPr>
            <w:r w:rsidRPr="001B05C8">
              <w:rPr>
                <w:rFonts w:cs="Arial"/>
              </w:rPr>
              <w:t>216 900</w:t>
            </w:r>
          </w:p>
        </w:tc>
      </w:tr>
      <w:tr w:rsidR="00FB29A2" w:rsidRPr="001B05C8" w:rsidTr="00937E18">
        <w:trPr>
          <w:cantSplit/>
        </w:trPr>
        <w:tc>
          <w:tcPr>
            <w:tcW w:w="5969" w:type="dxa"/>
            <w:shd w:val="clear" w:color="auto" w:fill="auto"/>
            <w:vAlign w:val="bottom"/>
            <w:hideMark/>
          </w:tcPr>
          <w:p w:rsidR="00FB29A2" w:rsidRPr="00ED185C" w:rsidRDefault="00FB29A2" w:rsidP="00937E18">
            <w:pPr>
              <w:pStyle w:val="Table-AnnualReport"/>
              <w:rPr>
                <w:vertAlign w:val="superscript"/>
              </w:rPr>
            </w:pPr>
            <w:r w:rsidRPr="001B05C8">
              <w:t>Mersey Community Hospital Pharmacy Refurbishment</w:t>
            </w:r>
            <w:r>
              <w:rPr>
                <w:vertAlign w:val="superscript"/>
              </w:rPr>
              <w:t>2</w:t>
            </w:r>
          </w:p>
        </w:tc>
        <w:tc>
          <w:tcPr>
            <w:tcW w:w="3263" w:type="dxa"/>
            <w:gridSpan w:val="2"/>
            <w:shd w:val="clear" w:color="auto" w:fill="auto"/>
            <w:vAlign w:val="bottom"/>
            <w:hideMark/>
          </w:tcPr>
          <w:p w:rsidR="00FB29A2" w:rsidRPr="001B05C8" w:rsidRDefault="00FB29A2" w:rsidP="00937E18">
            <w:pPr>
              <w:pStyle w:val="Table-AnnualReport"/>
              <w:jc w:val="right"/>
            </w:pPr>
            <w:r w:rsidRPr="001B05C8">
              <w:t xml:space="preserve"> </w:t>
            </w:r>
            <w:r w:rsidRPr="001B05C8">
              <w:rPr>
                <w:rFonts w:cs="Arial"/>
              </w:rPr>
              <w:t>729 785</w:t>
            </w:r>
          </w:p>
        </w:tc>
      </w:tr>
      <w:tr w:rsidR="00FB29A2" w:rsidRPr="001B05C8" w:rsidTr="00937E18">
        <w:trPr>
          <w:cantSplit/>
        </w:trPr>
        <w:tc>
          <w:tcPr>
            <w:tcW w:w="5969" w:type="dxa"/>
            <w:tcBorders>
              <w:bottom w:val="single" w:sz="4" w:space="0" w:color="808080" w:themeColor="background1" w:themeShade="80"/>
            </w:tcBorders>
            <w:shd w:val="clear" w:color="auto" w:fill="auto"/>
            <w:vAlign w:val="bottom"/>
            <w:hideMark/>
          </w:tcPr>
          <w:p w:rsidR="00FB29A2" w:rsidRPr="001B05C8" w:rsidRDefault="00FB29A2" w:rsidP="00937E18">
            <w:pPr>
              <w:pStyle w:val="Table-AnnualReport"/>
            </w:pPr>
            <w:r w:rsidRPr="001B05C8">
              <w:t>Supply of Assisted Ventilation Equipment and Associated Services</w:t>
            </w:r>
          </w:p>
        </w:tc>
        <w:tc>
          <w:tcPr>
            <w:tcW w:w="3263" w:type="dxa"/>
            <w:gridSpan w:val="2"/>
            <w:tcBorders>
              <w:bottom w:val="single" w:sz="4" w:space="0" w:color="808080" w:themeColor="background1" w:themeShade="80"/>
            </w:tcBorders>
            <w:shd w:val="clear" w:color="auto" w:fill="auto"/>
            <w:vAlign w:val="bottom"/>
            <w:hideMark/>
          </w:tcPr>
          <w:p w:rsidR="00FB29A2" w:rsidRPr="001B05C8" w:rsidRDefault="00FB29A2" w:rsidP="00937E18">
            <w:pPr>
              <w:pStyle w:val="Table-AnnualReport"/>
              <w:jc w:val="right"/>
            </w:pPr>
            <w:r w:rsidRPr="001B05C8">
              <w:t>2 605 945</w:t>
            </w:r>
          </w:p>
        </w:tc>
      </w:tr>
      <w:tr w:rsidR="00FB29A2" w:rsidRPr="001B05C8" w:rsidTr="00937E18">
        <w:trPr>
          <w:cantSplit/>
        </w:trPr>
        <w:tc>
          <w:tcPr>
            <w:tcW w:w="9232" w:type="dxa"/>
            <w:gridSpan w:val="3"/>
            <w:tcBorders>
              <w:top w:val="single" w:sz="4" w:space="0" w:color="808080" w:themeColor="background1" w:themeShade="80"/>
              <w:bottom w:val="single" w:sz="2" w:space="0" w:color="808080" w:themeColor="background1" w:themeShade="80"/>
            </w:tcBorders>
            <w:shd w:val="clear" w:color="auto" w:fill="auto"/>
            <w:vAlign w:val="bottom"/>
            <w:hideMark/>
          </w:tcPr>
          <w:p w:rsidR="00FB29A2" w:rsidRPr="001B05C8" w:rsidRDefault="00FB29A2" w:rsidP="00937E18">
            <w:pPr>
              <w:pStyle w:val="Table-AnnualReport"/>
            </w:pPr>
            <w:r w:rsidRPr="001B05C8">
              <w:t>Extension and Renovation of Neighbourhood Houses - Bridgewater, Risdon Vale and West Moonah</w:t>
            </w:r>
            <w:r>
              <w:t xml:space="preserve">                          </w:t>
            </w:r>
            <w:r w:rsidRPr="001B05C8">
              <w:t xml:space="preserve"> </w:t>
            </w:r>
            <w:r w:rsidRPr="001B05C8">
              <w:rPr>
                <w:rFonts w:cs="Arial"/>
              </w:rPr>
              <w:t>811 905</w:t>
            </w:r>
          </w:p>
        </w:tc>
      </w:tr>
    </w:tbl>
    <w:p w:rsidR="00FB29A2" w:rsidRDefault="00FB29A2" w:rsidP="00FB29A2">
      <w:pPr>
        <w:pStyle w:val="Table-AnnualReport"/>
      </w:pPr>
      <w:r>
        <w:t>Notes:</w:t>
      </w:r>
    </w:p>
    <w:p w:rsidR="00FB29A2" w:rsidRDefault="00FB29A2" w:rsidP="00FB29A2">
      <w:pPr>
        <w:pStyle w:val="Table-AnnualReport"/>
        <w:numPr>
          <w:ilvl w:val="0"/>
          <w:numId w:val="52"/>
        </w:numPr>
        <w:tabs>
          <w:tab w:val="clear" w:pos="567"/>
        </w:tabs>
        <w:ind w:left="567" w:hanging="567"/>
      </w:pPr>
      <w:r>
        <w:t>T</w:t>
      </w:r>
      <w:r w:rsidRPr="00573CC2">
        <w:t>he values in this table include the aggregated value and the value, or estimated value, of any possibl</w:t>
      </w:r>
      <w:r>
        <w:t xml:space="preserve">e options to extend. All values </w:t>
      </w:r>
      <w:r w:rsidRPr="00573CC2">
        <w:t>exclude GST.</w:t>
      </w:r>
    </w:p>
    <w:p w:rsidR="00FB29A2" w:rsidRPr="001B05C8" w:rsidRDefault="00FB29A2" w:rsidP="00FB29A2">
      <w:pPr>
        <w:pStyle w:val="Table-AnnualReport"/>
        <w:numPr>
          <w:ilvl w:val="0"/>
          <w:numId w:val="52"/>
        </w:numPr>
        <w:tabs>
          <w:tab w:val="clear" w:pos="567"/>
        </w:tabs>
        <w:ind w:left="567" w:hanging="567"/>
      </w:pPr>
      <w:r>
        <w:t>Funded by the Australian Government.</w:t>
      </w:r>
    </w:p>
    <w:p w:rsidR="004F2202" w:rsidRPr="001B05C8" w:rsidRDefault="004F2202" w:rsidP="00691BE5">
      <w:pPr>
        <w:pStyle w:val="Heading1"/>
      </w:pPr>
    </w:p>
    <w:p w:rsidR="004F2202" w:rsidRPr="001B05C8" w:rsidRDefault="004F2202" w:rsidP="004F2202">
      <w:pPr>
        <w:rPr>
          <w:rFonts w:eastAsiaTheme="majorEastAsia" w:cstheme="majorBidi"/>
          <w:sz w:val="40"/>
          <w:szCs w:val="28"/>
        </w:rPr>
      </w:pPr>
      <w:r w:rsidRPr="001B05C8">
        <w:br w:type="page"/>
      </w:r>
    </w:p>
    <w:p w:rsidR="00691BE5" w:rsidRPr="00573CC2" w:rsidRDefault="00691BE5" w:rsidP="00573CC2">
      <w:pPr>
        <w:pStyle w:val="Heading1"/>
      </w:pPr>
      <w:bookmarkStart w:id="14" w:name="_Toc430351451"/>
      <w:r w:rsidRPr="00573CC2">
        <w:lastRenderedPageBreak/>
        <w:t>Community Sector Organisations Funded by the Department</w:t>
      </w:r>
      <w:bookmarkEnd w:id="14"/>
      <w:r w:rsidRPr="00573CC2">
        <w:t xml:space="preserve"> </w:t>
      </w:r>
    </w:p>
    <w:p w:rsidR="00691BE5" w:rsidRPr="001B05C8" w:rsidRDefault="00691BE5" w:rsidP="00691BE5">
      <w:pPr>
        <w:sectPr w:rsidR="00691BE5" w:rsidRPr="001B05C8" w:rsidSect="00CB41D0">
          <w:type w:val="continuous"/>
          <w:pgSz w:w="11906" w:h="16838" w:code="9"/>
          <w:pgMar w:top="907" w:right="1134" w:bottom="720" w:left="1134" w:header="709" w:footer="709" w:gutter="0"/>
          <w:cols w:space="708"/>
          <w:docGrid w:linePitch="360"/>
        </w:sectPr>
      </w:pPr>
    </w:p>
    <w:p w:rsidR="00691BE5" w:rsidRPr="001B05C8" w:rsidRDefault="00691BE5" w:rsidP="00691BE5">
      <w:r w:rsidRPr="001B05C8">
        <w:lastRenderedPageBreak/>
        <w:t>The Government recognises that the non</w:t>
      </w:r>
      <w:r w:rsidRPr="001B05C8">
        <w:noBreakHyphen/>
        <w:t xml:space="preserve">government organisations making up the community sector </w:t>
      </w:r>
      <w:r w:rsidR="00B550CC" w:rsidRPr="001B05C8">
        <w:t xml:space="preserve">fulfil </w:t>
      </w:r>
      <w:r w:rsidRPr="001B05C8">
        <w:t xml:space="preserve">a </w:t>
      </w:r>
      <w:r w:rsidR="00573CC2">
        <w:t>vital role in delivering community-</w:t>
      </w:r>
      <w:r w:rsidRPr="001B05C8">
        <w:t>based health and human services to Tasmanians</w:t>
      </w:r>
      <w:r w:rsidR="00B550CC" w:rsidRPr="001B05C8">
        <w:t>,</w:t>
      </w:r>
      <w:r w:rsidRPr="001B05C8">
        <w:t xml:space="preserve"> particularly the most disadvantaged and vulnerable.</w:t>
      </w:r>
    </w:p>
    <w:p w:rsidR="00691BE5" w:rsidRPr="001B05C8" w:rsidRDefault="00691BE5" w:rsidP="00691BE5">
      <w:r w:rsidRPr="001B05C8">
        <w:t xml:space="preserve">During 2014-15, </w:t>
      </w:r>
      <w:r w:rsidR="00573CC2">
        <w:t>DHHS</w:t>
      </w:r>
      <w:r w:rsidR="00B550CC" w:rsidRPr="001B05C8">
        <w:t xml:space="preserve"> provided a total of $245 </w:t>
      </w:r>
      <w:r w:rsidRPr="001B05C8">
        <w:t xml:space="preserve">million under its Central Grants Program to some 230 organisations to assist them to deliver in excess of 440 services. This highlights the value the Department places on services provided by the community sector.  </w:t>
      </w:r>
    </w:p>
    <w:p w:rsidR="00691BE5" w:rsidRPr="001B05C8" w:rsidRDefault="00691BE5" w:rsidP="00691BE5">
      <w:r w:rsidRPr="001B05C8">
        <w:t>Of this amount an extra 2.25 per cent or $4.7 million was provided in 2014-15 by way of indexation, to help organisations meet the increasing costs of de</w:t>
      </w:r>
      <w:r w:rsidR="00573CC2">
        <w:t>livering services.</w:t>
      </w:r>
      <w:r w:rsidR="00485E16" w:rsidRPr="00485E16">
        <w:t xml:space="preserve"> </w:t>
      </w:r>
      <w:r w:rsidR="00485E16">
        <w:br w:type="column"/>
      </w:r>
      <w:r w:rsidR="00573CC2">
        <w:lastRenderedPageBreak/>
        <w:t>A further $2 </w:t>
      </w:r>
      <w:r w:rsidRPr="001B05C8">
        <w:t xml:space="preserve">million was also provided to community sector organisations as part of the Government’s election commitment to support sector capacity building and to meet increasing costs. </w:t>
      </w:r>
    </w:p>
    <w:p w:rsidR="00691BE5" w:rsidRPr="001B05C8" w:rsidRDefault="00691BE5" w:rsidP="00691BE5">
      <w:r w:rsidRPr="001B05C8">
        <w:t>The following table list</w:t>
      </w:r>
      <w:r w:rsidR="00433A3C">
        <w:t>s grant funding totalling $262.6</w:t>
      </w:r>
      <w:r w:rsidRPr="001B05C8">
        <w:t xml:space="preserve"> million</w:t>
      </w:r>
      <w:r w:rsidRPr="001B05C8">
        <w:rPr>
          <w:rFonts w:cs="Arial"/>
          <w:bCs/>
        </w:rPr>
        <w:t xml:space="preserve"> provided by</w:t>
      </w:r>
      <w:r w:rsidR="00573CC2">
        <w:t xml:space="preserve"> DHHS </w:t>
      </w:r>
      <w:r w:rsidRPr="001B05C8">
        <w:t>to the community sector in 2014-15. It includes the Central Grants Program payments of $245 million as well as grant funding administered by other areas within the Department.</w:t>
      </w:r>
    </w:p>
    <w:p w:rsidR="00691BE5" w:rsidRPr="001B05C8" w:rsidRDefault="00691BE5" w:rsidP="00691BE5">
      <w:r w:rsidRPr="001B05C8">
        <w:t>Any individual reported here received the listed amount in order to provide dedicated care and support to a person with disability.</w:t>
      </w:r>
    </w:p>
    <w:p w:rsidR="00691BE5" w:rsidRPr="001B05C8" w:rsidRDefault="00691BE5" w:rsidP="00691BE5">
      <w:pPr>
        <w:sectPr w:rsidR="00691BE5" w:rsidRPr="001B05C8" w:rsidSect="00CB41D0">
          <w:type w:val="continuous"/>
          <w:pgSz w:w="11906" w:h="16838" w:code="9"/>
          <w:pgMar w:top="907" w:right="1134" w:bottom="720" w:left="1134" w:header="709" w:footer="709" w:gutter="0"/>
          <w:cols w:num="2" w:space="708"/>
          <w:docGrid w:linePitch="360"/>
        </w:sectPr>
      </w:pPr>
    </w:p>
    <w:tbl>
      <w:tblPr>
        <w:tblW w:w="9654" w:type="dxa"/>
        <w:tblInd w:w="93" w:type="dxa"/>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4810"/>
        <w:gridCol w:w="2827"/>
        <w:gridCol w:w="1984"/>
        <w:gridCol w:w="33"/>
      </w:tblGrid>
      <w:tr w:rsidR="00DA6A19" w:rsidRPr="00DA6A19" w:rsidTr="00937E18">
        <w:trPr>
          <w:gridAfter w:val="1"/>
          <w:wAfter w:w="33" w:type="dxa"/>
          <w:trHeight w:val="315"/>
          <w:tblHeader/>
        </w:trPr>
        <w:tc>
          <w:tcPr>
            <w:tcW w:w="4810" w:type="dxa"/>
            <w:tcBorders>
              <w:top w:val="nil"/>
              <w:bottom w:val="single" w:sz="2" w:space="0" w:color="808080" w:themeColor="background1" w:themeShade="80"/>
            </w:tcBorders>
            <w:shd w:val="clear" w:color="auto" w:fill="auto"/>
            <w:vAlign w:val="center"/>
          </w:tcPr>
          <w:p w:rsidR="00DA6A19" w:rsidRPr="00DA6A19" w:rsidRDefault="00DA6A19" w:rsidP="00DA6A19">
            <w:pPr>
              <w:pStyle w:val="Heading4"/>
              <w:spacing w:before="10" w:after="10" w:line="260" w:lineRule="atLeast"/>
              <w:rPr>
                <w:sz w:val="18"/>
                <w:szCs w:val="18"/>
              </w:rPr>
            </w:pPr>
            <w:r w:rsidRPr="00DA6A19">
              <w:rPr>
                <w:sz w:val="18"/>
                <w:szCs w:val="18"/>
              </w:rPr>
              <w:lastRenderedPageBreak/>
              <w:t>Program and Organisations</w:t>
            </w:r>
          </w:p>
        </w:tc>
        <w:tc>
          <w:tcPr>
            <w:tcW w:w="4811" w:type="dxa"/>
            <w:gridSpan w:val="2"/>
            <w:tcBorders>
              <w:top w:val="nil"/>
              <w:bottom w:val="single" w:sz="2" w:space="0" w:color="808080" w:themeColor="background1" w:themeShade="80"/>
            </w:tcBorders>
            <w:shd w:val="clear" w:color="auto" w:fill="auto"/>
            <w:vAlign w:val="bottom"/>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 xml:space="preserve">Total $ </w:t>
            </w:r>
          </w:p>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(GST Exclusive)</w:t>
            </w:r>
          </w:p>
        </w:tc>
      </w:tr>
      <w:tr w:rsidR="00DA6A19" w:rsidRPr="00DA6A19" w:rsidTr="00937E18">
        <w:trPr>
          <w:gridAfter w:val="1"/>
          <w:wAfter w:w="33" w:type="dxa"/>
          <w:trHeight w:val="315"/>
        </w:trPr>
        <w:tc>
          <w:tcPr>
            <w:tcW w:w="9621" w:type="dxa"/>
            <w:gridSpan w:val="3"/>
            <w:tcBorders>
              <w:top w:val="single" w:sz="2" w:space="0" w:color="808080" w:themeColor="background1" w:themeShade="80"/>
              <w:bottom w:val="single" w:sz="6" w:space="0" w:color="808080" w:themeColor="background1" w:themeShade="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Alcohol and Drug Services – services provided under the Illicit Drug Diversion Initiative and the National Drug Strategy</w:t>
            </w:r>
          </w:p>
        </w:tc>
      </w:tr>
      <w:tr w:rsidR="00DA6A19" w:rsidRPr="00DA6A19" w:rsidTr="00937E18">
        <w:trPr>
          <w:gridAfter w:val="1"/>
          <w:wAfter w:w="33" w:type="dxa"/>
          <w:trHeight w:val="315"/>
        </w:trPr>
        <w:tc>
          <w:tcPr>
            <w:tcW w:w="7637" w:type="dxa"/>
            <w:gridSpan w:val="2"/>
            <w:tcBorders>
              <w:top w:val="single" w:sz="6" w:space="0" w:color="808080" w:themeColor="background1" w:themeShade="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Advocacy Tasmania Inc.</w:t>
            </w:r>
          </w:p>
        </w:tc>
        <w:tc>
          <w:tcPr>
            <w:tcW w:w="1984" w:type="dxa"/>
            <w:tcBorders>
              <w:top w:val="single" w:sz="6" w:space="0" w:color="808080" w:themeColor="background1" w:themeShade="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314 535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709 303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Drug Foundation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130 689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Circular Head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34 178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Drug Education Network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681 624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Eastern Health</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 xml:space="preserve"> 61 960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Holyoake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228 158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Launceston City Mission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613 452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Pathways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81 732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Alcohol, Tobacco and other Drugs Council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458 416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Link Youth Health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531 459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Salvation Army (Tasmania) Property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810 049</w:t>
            </w:r>
          </w:p>
        </w:tc>
      </w:tr>
      <w:tr w:rsidR="00DA6A19" w:rsidRPr="00DA6A19" w:rsidTr="00937E18">
        <w:trPr>
          <w:gridAfter w:val="1"/>
          <w:wAfter w:w="33" w:type="dxa"/>
          <w:trHeight w:val="315"/>
        </w:trPr>
        <w:tc>
          <w:tcPr>
            <w:tcW w:w="7637" w:type="dxa"/>
            <w:gridSpan w:val="2"/>
            <w:tcBorders>
              <w:top w:val="single" w:sz="4" w:space="0" w:color="808080"/>
              <w:bottom w:val="nil"/>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Youth, Family and Community Connections Inc.</w:t>
            </w:r>
          </w:p>
        </w:tc>
        <w:tc>
          <w:tcPr>
            <w:tcW w:w="1984" w:type="dxa"/>
            <w:tcBorders>
              <w:top w:val="single" w:sz="4" w:space="0" w:color="808080"/>
              <w:left w:val="nil"/>
              <w:bottom w:val="nil"/>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600 005</w:t>
            </w:r>
          </w:p>
        </w:tc>
      </w:tr>
      <w:tr w:rsidR="00DA6A19" w:rsidRPr="00DA6A19" w:rsidTr="00937E18">
        <w:trPr>
          <w:gridAfter w:val="1"/>
          <w:wAfter w:w="33" w:type="dxa"/>
          <w:trHeight w:val="315"/>
        </w:trPr>
        <w:tc>
          <w:tcPr>
            <w:tcW w:w="7637" w:type="dxa"/>
            <w:gridSpan w:val="2"/>
            <w:tcBorders>
              <w:top w:val="nil"/>
              <w:bottom w:val="single" w:sz="4" w:space="0" w:color="808080"/>
            </w:tcBorders>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top w:val="nil"/>
              <w:bottom w:val="single" w:sz="4" w:space="0" w:color="808080"/>
            </w:tcBorders>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5 255 560</w:t>
            </w:r>
          </w:p>
        </w:tc>
      </w:tr>
      <w:tr w:rsidR="00DA6A19" w:rsidRPr="00DA6A19" w:rsidTr="00937E18">
        <w:trPr>
          <w:gridAfter w:val="1"/>
          <w:wAfter w:w="33" w:type="dxa"/>
          <w:trHeight w:val="315"/>
        </w:trPr>
        <w:tc>
          <w:tcPr>
            <w:tcW w:w="9621" w:type="dxa"/>
            <w:gridSpan w:val="3"/>
            <w:tcBorders>
              <w:bottom w:val="single" w:sz="4" w:space="0" w:color="8080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Children and Youth Services – adoptions, advocacy services, child protection services, out of home care, family violence counselling and support and youth support services</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4 400 531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Childhood Foundation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834 436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Red Cross Society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150 000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CatholicCare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559 326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CREATE Foundation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361 021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Geeveston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157 051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Glenhaven Family Care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536 281</w:t>
            </w:r>
          </w:p>
        </w:tc>
      </w:tr>
      <w:tr w:rsidR="00DA6A19" w:rsidRPr="00DA6A19" w:rsidTr="00937E18">
        <w:trPr>
          <w:gridAfter w:val="1"/>
          <w:wAfter w:w="33" w:type="dxa"/>
          <w:trHeight w:val="315"/>
        </w:trPr>
        <w:tc>
          <w:tcPr>
            <w:tcW w:w="7637" w:type="dxa"/>
            <w:gridSpan w:val="2"/>
            <w:tcBorders>
              <w:top w:val="single" w:sz="4" w:space="0" w:color="808080"/>
              <w:bottom w:val="single" w:sz="4" w:space="0" w:color="BFBFBF" w:themeColor="background1" w:themeShade="BF"/>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lastRenderedPageBreak/>
              <w:t>Kennerley</w:t>
            </w:r>
            <w:proofErr w:type="spellEnd"/>
            <w:r w:rsidRPr="00DA6A19">
              <w:rPr>
                <w:rFonts w:cs="Arial"/>
                <w:color w:val="000000"/>
                <w:sz w:val="18"/>
                <w:szCs w:val="18"/>
                <w:lang w:eastAsia="en-AU"/>
              </w:rPr>
              <w:t xml:space="preserve"> </w:t>
            </w:r>
            <w:proofErr w:type="spellStart"/>
            <w:r w:rsidRPr="00DA6A19">
              <w:rPr>
                <w:rFonts w:cs="Arial"/>
                <w:color w:val="000000"/>
                <w:sz w:val="18"/>
                <w:szCs w:val="18"/>
                <w:lang w:eastAsia="en-AU"/>
              </w:rPr>
              <w:t>Childrens</w:t>
            </w:r>
            <w:proofErr w:type="spellEnd"/>
            <w:r w:rsidRPr="00DA6A19">
              <w:rPr>
                <w:rFonts w:cs="Arial"/>
                <w:color w:val="000000"/>
                <w:sz w:val="18"/>
                <w:szCs w:val="18"/>
                <w:lang w:eastAsia="en-AU"/>
              </w:rPr>
              <w:t xml:space="preserve"> Home Inc.</w:t>
            </w:r>
          </w:p>
        </w:tc>
        <w:tc>
          <w:tcPr>
            <w:tcW w:w="1984" w:type="dxa"/>
            <w:tcBorders>
              <w:top w:val="single" w:sz="4" w:space="0" w:color="808080"/>
              <w:left w:val="nil"/>
              <w:bottom w:val="single" w:sz="4" w:space="0" w:color="BFBFBF" w:themeColor="background1" w:themeShade="BF"/>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1 712 206</w:t>
            </w:r>
          </w:p>
        </w:tc>
      </w:tr>
      <w:tr w:rsidR="00DA6A19" w:rsidRPr="00DA6A19" w:rsidTr="00937E18">
        <w:trPr>
          <w:gridAfter w:val="1"/>
          <w:wAfter w:w="33" w:type="dxa"/>
          <w:trHeight w:val="315"/>
        </w:trPr>
        <w:tc>
          <w:tcPr>
            <w:tcW w:w="7637" w:type="dxa"/>
            <w:gridSpan w:val="2"/>
            <w:tcBorders>
              <w:top w:val="single" w:sz="4" w:space="0" w:color="BFBFBF" w:themeColor="background1" w:themeShade="BF"/>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Mission Australia</w:t>
            </w:r>
          </w:p>
        </w:tc>
        <w:tc>
          <w:tcPr>
            <w:tcW w:w="1984" w:type="dxa"/>
            <w:tcBorders>
              <w:top w:val="single" w:sz="4" w:space="0" w:color="BFBFBF" w:themeColor="background1" w:themeShade="BF"/>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803 595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Save the Children Australia as Trustee for Save the Children Australia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421 000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St Michaels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136 237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Aboriginal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165 101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Foster Carers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144 433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Salvation Army (Tasmania) Property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3 420 667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UnitingCare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192 301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Whitelion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84 844</w:t>
            </w:r>
          </w:p>
        </w:tc>
      </w:tr>
      <w:tr w:rsidR="00DA6A19" w:rsidRPr="00DA6A19" w:rsidTr="00937E18">
        <w:trPr>
          <w:gridAfter w:val="1"/>
          <w:wAfter w:w="33" w:type="dxa"/>
          <w:trHeight w:val="315"/>
        </w:trPr>
        <w:tc>
          <w:tcPr>
            <w:tcW w:w="7637" w:type="dxa"/>
            <w:gridSpan w:val="2"/>
            <w:tcBorders>
              <w:top w:val="single" w:sz="4" w:space="0" w:color="808080"/>
            </w:tcBorders>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top w:val="single" w:sz="4" w:space="0" w:color="808080"/>
            </w:tcBorders>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14 079 030</w:t>
            </w:r>
          </w:p>
        </w:tc>
      </w:tr>
      <w:tr w:rsidR="00DA6A19" w:rsidRPr="00DA6A19" w:rsidTr="00937E18">
        <w:trPr>
          <w:gridAfter w:val="1"/>
          <w:wAfter w:w="33" w:type="dxa"/>
          <w:trHeight w:val="315"/>
        </w:trPr>
        <w:tc>
          <w:tcPr>
            <w:tcW w:w="9621" w:type="dxa"/>
            <w:gridSpan w:val="3"/>
            <w:tcBorders>
              <w:bottom w:val="single" w:sz="4" w:space="0" w:color="8080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Community Services – domestic violence, parenting education and support, financial counselling, personal and family counselling, neighbourhood houses and community sector peak activities</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Advocacy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154 038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972 127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Baptcare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4 135 167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Beaconsfield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Bucaan</w:t>
            </w:r>
            <w:proofErr w:type="spellEnd"/>
            <w:r w:rsidRPr="00DA6A19">
              <w:rPr>
                <w:rFonts w:cs="Arial"/>
                <w:color w:val="000000"/>
                <w:sz w:val="18"/>
                <w:szCs w:val="18"/>
                <w:lang w:eastAsia="en-AU"/>
              </w:rPr>
              <w:t xml:space="preserve">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Burnie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CatholicCare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209 883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Child Health Association Tasmania Inc. (CHAT)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97 596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Clarendon Vale Neighbourhood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Council on the Ageing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100 000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Deloraine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Derwent Valley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Devonport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Dorset Community Association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Dunalley Tasman Neighbourhood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Early Support for Parents</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61 041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Eastern Shore Community Connections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Fingal Valley Neighbourhood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Geeveston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George Town Neighbourhood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Glenhaven Family Care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62 500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Goodwood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Hobart City Mission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100 044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Jordan River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346 737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Karadi</w:t>
            </w:r>
            <w:proofErr w:type="spellEnd"/>
            <w:r w:rsidRPr="00DA6A19">
              <w:rPr>
                <w:rFonts w:cs="Arial"/>
                <w:color w:val="000000"/>
                <w:sz w:val="18"/>
                <w:szCs w:val="18"/>
                <w:lang w:eastAsia="en-AU"/>
              </w:rPr>
              <w:t xml:space="preserve">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Lady Gowrie Tasmania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126 920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Lifeline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292 405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Lifelink</w:t>
            </w:r>
            <w:proofErr w:type="spellEnd"/>
            <w:r w:rsidRPr="00DA6A19">
              <w:rPr>
                <w:rFonts w:cs="Arial"/>
                <w:color w:val="000000"/>
                <w:sz w:val="18"/>
                <w:szCs w:val="18"/>
                <w:lang w:eastAsia="en-AU"/>
              </w:rPr>
              <w:t xml:space="preserve"> Samaritans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12 655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Maranoa Heights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Midway Point Neighbourhood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Mission Australia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3 915 939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Neighbourhood Houses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246 888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lastRenderedPageBreak/>
              <w:t>NILS Network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160 120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North &amp; North West Tasmania Sexual Assault Support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1 232 486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Northern Suburbs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440 074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Okines Community House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Phoenix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139 675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Pregnancy Counselling and Support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27 297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Ravenswood Neighbourhood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Risdon Vale Neighbourhood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Rokeby Neighbourhood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Rosebery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Sexual Assault Support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1 295 296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St Helens Neighbourhood House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Support Help and Empowerment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218 204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Aboriginal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219 785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Council of Social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823 529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Tresca</w:t>
            </w:r>
            <w:proofErr w:type="spellEnd"/>
            <w:r w:rsidRPr="00DA6A19">
              <w:rPr>
                <w:rFonts w:cs="Arial"/>
                <w:color w:val="000000"/>
                <w:sz w:val="18"/>
                <w:szCs w:val="18"/>
                <w:lang w:eastAsia="en-AU"/>
              </w:rPr>
              <w:t xml:space="preserve"> Community Centre Committee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Ulverstone Neighbourhood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UnitingCare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1 128 790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Warrane Mornington Neighbourhood Centre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West Moonah Community Action Group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173 369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West Winds Community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Wyndarra</w:t>
            </w:r>
            <w:proofErr w:type="spellEnd"/>
            <w:r w:rsidRPr="00DA6A19">
              <w:rPr>
                <w:rFonts w:cs="Arial"/>
                <w:color w:val="000000"/>
                <w:sz w:val="18"/>
                <w:szCs w:val="18"/>
                <w:lang w:eastAsia="en-AU"/>
              </w:rPr>
              <w:t xml:space="preserve">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112 001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Yemaya</w:t>
            </w:r>
            <w:proofErr w:type="spellEnd"/>
            <w:r w:rsidRPr="00DA6A19">
              <w:rPr>
                <w:rFonts w:cs="Arial"/>
                <w:color w:val="000000"/>
                <w:sz w:val="18"/>
                <w:szCs w:val="18"/>
                <w:lang w:eastAsia="en-AU"/>
              </w:rPr>
              <w:t xml:space="preserve"> Women's Support Service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151 286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Zeehan Neighbourhood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160 365</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21 628 128</w:t>
            </w:r>
          </w:p>
        </w:tc>
      </w:tr>
      <w:tr w:rsidR="00DA6A19" w:rsidRPr="00DA6A19" w:rsidTr="00937E18">
        <w:trPr>
          <w:gridAfter w:val="1"/>
          <w:wAfter w:w="33" w:type="dxa"/>
          <w:trHeight w:val="253"/>
        </w:trPr>
        <w:tc>
          <w:tcPr>
            <w:tcW w:w="9621" w:type="dxa"/>
            <w:gridSpan w:val="3"/>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Community Services - Community Support Levy, Charitable Organisations Grants and Program Grants</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Alcohol, Tobacco and Other Drugs Council (Tas.) Inc. (sponsoring Tasmanian Users Health and Support League)</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15 000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Bucaan</w:t>
            </w:r>
            <w:proofErr w:type="spellEnd"/>
            <w:r w:rsidRPr="00DA6A19">
              <w:rPr>
                <w:rFonts w:cs="Arial"/>
                <w:color w:val="000000"/>
                <w:sz w:val="18"/>
                <w:szCs w:val="18"/>
                <w:lang w:eastAsia="en-AU"/>
              </w:rPr>
              <w:t xml:space="preserve"> Community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13 738</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Colony 47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9 627</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Housing Choices Tasmania Limited</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6 105</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Workskills</w:t>
            </w:r>
            <w:proofErr w:type="spellEnd"/>
            <w:r w:rsidRPr="00DA6A19">
              <w:rPr>
                <w:rFonts w:cs="Arial"/>
                <w:color w:val="000000"/>
                <w:sz w:val="18"/>
                <w:szCs w:val="18"/>
                <w:lang w:eastAsia="en-AU"/>
              </w:rPr>
              <w:t xml:space="preserve"> Incorporated</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13 980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Jireh House Association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1 909</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Jordan River Service Inc. (sponsoring Pete's Community Woodshed)</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1 424</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Launceston City Mission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11 510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Lifeline Tasmania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7 600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Maranoa Heights Community Centre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2 880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Migrant Resource Centre (Southern Tas)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13 409</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Oatlands District High School Association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9 500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Pathways Tasmania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14 500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Clarence Police - Citizens Youth Club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10 700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Rosebery Community House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5 400</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sz w:val="18"/>
                <w:szCs w:val="18"/>
                <w:lang w:eastAsia="en-AU"/>
              </w:rPr>
            </w:pPr>
            <w:r w:rsidRPr="00DA6A19">
              <w:rPr>
                <w:rFonts w:cs="Arial"/>
                <w:color w:val="000000"/>
                <w:sz w:val="18"/>
                <w:szCs w:val="18"/>
                <w:lang w:eastAsia="en-AU"/>
              </w:rPr>
              <w:t>Supported Tenancy Accommodation and Respite Tasmania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5 584</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Association Police and Citizens Youth Club Inc.</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12 955</w:t>
            </w:r>
          </w:p>
        </w:tc>
      </w:tr>
      <w:tr w:rsidR="00DA6A19" w:rsidRPr="00DA6A19" w:rsidTr="00937E18">
        <w:trPr>
          <w:gridAfter w:val="1"/>
          <w:wAfter w:w="33" w:type="dxa"/>
          <w:trHeight w:val="315"/>
        </w:trPr>
        <w:tc>
          <w:tcPr>
            <w:tcW w:w="7637" w:type="dxa"/>
            <w:gridSpan w:val="2"/>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lastRenderedPageBreak/>
              <w:t>Youth Futures Incorporated</w:t>
            </w:r>
          </w:p>
        </w:tc>
        <w:tc>
          <w:tcPr>
            <w:tcW w:w="1984" w:type="dxa"/>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5 182</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highlight w:val="yellow"/>
                <w:lang w:eastAsia="en-AU"/>
              </w:rPr>
            </w:pPr>
            <w:r w:rsidRPr="00DA6A19">
              <w:rPr>
                <w:rFonts w:cs="Arial"/>
                <w:b/>
                <w:bCs/>
                <w:color w:val="000000"/>
                <w:sz w:val="18"/>
                <w:szCs w:val="18"/>
                <w:lang w:eastAsia="en-AU"/>
              </w:rPr>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highlight w:val="yellow"/>
                <w:lang w:eastAsia="en-AU"/>
              </w:rPr>
            </w:pPr>
            <w:r w:rsidRPr="00DA6A19">
              <w:rPr>
                <w:rFonts w:cs="Arial"/>
                <w:b/>
                <w:bCs/>
                <w:color w:val="000000"/>
                <w:sz w:val="18"/>
                <w:szCs w:val="18"/>
                <w:lang w:eastAsia="en-AU"/>
              </w:rPr>
              <w:t>161 003</w:t>
            </w:r>
          </w:p>
        </w:tc>
      </w:tr>
      <w:tr w:rsidR="00DA6A19" w:rsidRPr="00DA6A19" w:rsidTr="00937E18">
        <w:trPr>
          <w:gridAfter w:val="1"/>
          <w:wAfter w:w="33" w:type="dxa"/>
          <w:trHeight w:val="315"/>
        </w:trPr>
        <w:tc>
          <w:tcPr>
            <w:tcW w:w="7637" w:type="dxa"/>
            <w:gridSpan w:val="2"/>
            <w:shd w:val="clear" w:color="auto" w:fill="auto"/>
            <w:noWrap/>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Community Services - Community Support Levy 201-11 Third Place Grants</w:t>
            </w:r>
          </w:p>
        </w:tc>
        <w:tc>
          <w:tcPr>
            <w:tcW w:w="1984" w:type="dxa"/>
            <w:shd w:val="clear" w:color="auto" w:fill="auto"/>
            <w:noWrap/>
            <w:vAlign w:val="center"/>
            <w:hideMark/>
          </w:tcPr>
          <w:p w:rsidR="00DA6A19" w:rsidRPr="00DA6A19" w:rsidRDefault="00DA6A19" w:rsidP="00DA6A19">
            <w:pPr>
              <w:spacing w:before="10" w:after="10" w:line="260" w:lineRule="atLeast"/>
              <w:rPr>
                <w:rFonts w:cs="Arial"/>
                <w:b/>
                <w:bCs/>
                <w:color w:val="000000"/>
                <w:sz w:val="18"/>
                <w:szCs w:val="18"/>
                <w:lang w:eastAsia="en-AU"/>
              </w:rPr>
            </w:pP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Derwent Valley Community House Inc.</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72 059</w:t>
            </w:r>
          </w:p>
        </w:tc>
      </w:tr>
      <w:tr w:rsidR="00DA6A19" w:rsidRPr="00DA6A19" w:rsidTr="00937E18">
        <w:trPr>
          <w:gridAfter w:val="1"/>
          <w:wAfter w:w="33" w:type="dxa"/>
          <w:trHeight w:val="315"/>
        </w:trPr>
        <w:tc>
          <w:tcPr>
            <w:tcW w:w="7637" w:type="dxa"/>
            <w:gridSpan w:val="2"/>
            <w:shd w:val="clear" w:color="auto" w:fill="auto"/>
            <w:noWrap/>
            <w:hideMark/>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Queenstown Police and Citizens Youth Club</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127 548</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199 607</w:t>
            </w:r>
          </w:p>
        </w:tc>
      </w:tr>
      <w:tr w:rsidR="00DA6A19" w:rsidRPr="00DA6A19" w:rsidTr="00937E18">
        <w:trPr>
          <w:gridAfter w:val="1"/>
          <w:wAfter w:w="33" w:type="dxa"/>
          <w:trHeight w:val="948"/>
        </w:trPr>
        <w:tc>
          <w:tcPr>
            <w:tcW w:w="9621" w:type="dxa"/>
            <w:gridSpan w:val="3"/>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Community Services - Gamblers Help: face-to-face individual and group counselling  community education and development services 24/7 gambling information and counselling phone service (Gambling Helpline Tasmania) 24/7 gambling information and counselling online services (Gambling Help Online)</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525 840</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Eastern Health</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140 760</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 xml:space="preserve">Department of Justice - Victoria (Gambling Help Online) </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13 924</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680 524</w:t>
            </w:r>
          </w:p>
        </w:tc>
      </w:tr>
      <w:tr w:rsidR="00DA6A19" w:rsidRPr="00DA6A19" w:rsidTr="00937E18">
        <w:trPr>
          <w:gridAfter w:val="1"/>
          <w:wAfter w:w="33" w:type="dxa"/>
          <w:trHeight w:val="315"/>
        </w:trPr>
        <w:tc>
          <w:tcPr>
            <w:tcW w:w="9621" w:type="dxa"/>
            <w:gridSpan w:val="3"/>
            <w:tcBorders>
              <w:bottom w:val="single" w:sz="4" w:space="0" w:color="8080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Disability – Disability carer support, respite, accommodation support, information  advocacy, education, day support, specialist equipment, personal care and other individual support services</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A.Q.A Victoria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17 221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Ability Tasmania Group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736 992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Able Australia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12 886 868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Advocacy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272 260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8 176 429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Association for Children with Disability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290 915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Autism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225 213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Baptcare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2 999 419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Better Hearing Australia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5 443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Brain Injury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80 056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Coastal Residential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2 324 325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Connors, Rosemary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25 793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D.G. Lewis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288 015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Devonfield</w:t>
            </w:r>
            <w:proofErr w:type="spellEnd"/>
            <w:r w:rsidRPr="00DA6A19">
              <w:rPr>
                <w:rFonts w:cs="Arial"/>
                <w:color w:val="000000"/>
                <w:sz w:val="18"/>
                <w:szCs w:val="18"/>
                <w:lang w:eastAsia="en-AU"/>
              </w:rPr>
              <w:t xml:space="preserve"> Enterprises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5 118 405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Epilepsy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168 729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Eskleigh</w:t>
            </w:r>
            <w:proofErr w:type="spellEnd"/>
            <w:r w:rsidRPr="00DA6A19">
              <w:rPr>
                <w:rFonts w:cs="Arial"/>
                <w:color w:val="000000"/>
                <w:sz w:val="18"/>
                <w:szCs w:val="18"/>
                <w:lang w:eastAsia="en-AU"/>
              </w:rPr>
              <w:t xml:space="preserve"> Foundation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5 664 670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GC Services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356 637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Giant Steps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66 228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Gog Range Retreat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261 308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Headway North West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101 404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Headway Support Services</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777 443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Hobart City Mission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2 066 260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HOPES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103 721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Independent Living Centre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453 099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integratedliving</w:t>
            </w:r>
            <w:proofErr w:type="spellEnd"/>
            <w:r w:rsidRPr="00DA6A19">
              <w:rPr>
                <w:rFonts w:cs="Arial"/>
                <w:color w:val="000000"/>
                <w:sz w:val="18"/>
                <w:szCs w:val="18"/>
                <w:lang w:eastAsia="en-AU"/>
              </w:rPr>
              <w:t xml:space="preserve"> Australia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278 914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Jamieson, Barbara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13 003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Langford Support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3 086 442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L'Arche</w:t>
            </w:r>
            <w:proofErr w:type="spellEnd"/>
            <w:r w:rsidRPr="00DA6A19">
              <w:rPr>
                <w:rFonts w:cs="Arial"/>
                <w:color w:val="000000"/>
                <w:sz w:val="18"/>
                <w:szCs w:val="18"/>
                <w:lang w:eastAsia="en-AU"/>
              </w:rPr>
              <w:t xml:space="preserve"> Beni-Abbes Community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1 179 273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Launceston Student Workshop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102 024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lastRenderedPageBreak/>
              <w:t>Life Without Barriers</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4 199 997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Lifestyle Solutions (</w:t>
            </w:r>
            <w:proofErr w:type="spellStart"/>
            <w:r w:rsidRPr="00DA6A19">
              <w:rPr>
                <w:rFonts w:cs="Arial"/>
                <w:color w:val="000000"/>
                <w:sz w:val="18"/>
                <w:szCs w:val="18"/>
                <w:lang w:eastAsia="en-AU"/>
              </w:rPr>
              <w:t>Aust</w:t>
            </w:r>
            <w:proofErr w:type="spellEnd"/>
            <w:r w:rsidRPr="00DA6A19">
              <w:rPr>
                <w:rFonts w:cs="Arial"/>
                <w:color w:val="000000"/>
                <w:sz w:val="18"/>
                <w:szCs w:val="18"/>
                <w:lang w:eastAsia="en-AU"/>
              </w:rPr>
              <w:t>)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622 738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Liviende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4 720 440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McMillan (Tas)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246 657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Mission Australia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2 675 953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Montagu Community Living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2 122 606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Multicap</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5 999 173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National Disability Services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50 321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New Horizons Club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102 148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Nexus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5 634 049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North West Residential Support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6 534 870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NOSS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1 038 835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Oak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2 504 709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Optia</w:t>
            </w:r>
            <w:proofErr w:type="spellEnd"/>
            <w:r w:rsidRPr="00DA6A19">
              <w:rPr>
                <w:rFonts w:cs="Arial"/>
                <w:color w:val="000000"/>
                <w:sz w:val="18"/>
                <w:szCs w:val="18"/>
                <w:lang w:eastAsia="en-AU"/>
              </w:rPr>
              <w:t xml:space="preserve">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12 311 187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Paraquad</w:t>
            </w:r>
            <w:proofErr w:type="spellEnd"/>
            <w:r w:rsidRPr="00DA6A19">
              <w:rPr>
                <w:rFonts w:cs="Arial"/>
                <w:color w:val="000000"/>
                <w:sz w:val="18"/>
                <w:szCs w:val="18"/>
                <w:lang w:eastAsia="en-AU"/>
              </w:rPr>
              <w:t xml:space="preserve">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26 156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Plane Tree Studio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66 068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Riding for the Disabled Association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5 168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Royal Guide Dogs for the Blind Association of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410 174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RPH Print Radio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75 901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Speak Out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260 516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Spina Bifida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1 458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St Giles Society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10 051 532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St Michaels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2 407 616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St Vincent De Paul Society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77 178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Supported Tenancy Accommodation and Respite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11 573 934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 xml:space="preserve">Susan </w:t>
            </w:r>
            <w:proofErr w:type="spellStart"/>
            <w:r w:rsidRPr="00DA6A19">
              <w:rPr>
                <w:rFonts w:cs="Arial"/>
                <w:color w:val="000000"/>
                <w:sz w:val="18"/>
                <w:szCs w:val="18"/>
                <w:lang w:eastAsia="en-AU"/>
              </w:rPr>
              <w:t>Kitchenham</w:t>
            </w:r>
            <w:proofErr w:type="spellEnd"/>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25 793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TADTAS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38 061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 Independent Nursing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247 644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Acquired Brain Injury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263 850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Amputee Society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3 679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Association of People with Disabilities and Their Advocates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727 487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Deaf Society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381 782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Tasmanians with Disabilities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56 814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Multiple Sclerosis Society of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478 201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Parkside Foundation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2 080 594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 xml:space="preserve">The </w:t>
            </w:r>
            <w:proofErr w:type="spellStart"/>
            <w:r w:rsidRPr="00DA6A19">
              <w:rPr>
                <w:rFonts w:cs="Arial"/>
                <w:color w:val="000000"/>
                <w:sz w:val="18"/>
                <w:szCs w:val="18"/>
                <w:lang w:eastAsia="en-AU"/>
              </w:rPr>
              <w:t>Sunlea</w:t>
            </w:r>
            <w:proofErr w:type="spellEnd"/>
            <w:r w:rsidRPr="00DA6A19">
              <w:rPr>
                <w:rFonts w:cs="Arial"/>
                <w:color w:val="000000"/>
                <w:sz w:val="18"/>
                <w:szCs w:val="18"/>
                <w:lang w:eastAsia="en-AU"/>
              </w:rPr>
              <w:t xml:space="preserve"> Team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672 785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UCA Crossroads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3 343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Veranto</w:t>
            </w:r>
            <w:proofErr w:type="spellEnd"/>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8 027 323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Voluntary Community Service - Visually Impaired Library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4 536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Wyndarra</w:t>
            </w:r>
            <w:proofErr w:type="spellEnd"/>
            <w:r w:rsidRPr="00DA6A19">
              <w:rPr>
                <w:rFonts w:cs="Arial"/>
                <w:color w:val="000000"/>
                <w:sz w:val="18"/>
                <w:szCs w:val="18"/>
                <w:lang w:eastAsia="en-AU"/>
              </w:rPr>
              <w:t xml:space="preserve">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40 594</w:t>
            </w:r>
          </w:p>
        </w:tc>
      </w:tr>
      <w:tr w:rsidR="00DA6A19" w:rsidRPr="00DA6A19" w:rsidTr="00DA6A19">
        <w:trPr>
          <w:gridAfter w:val="1"/>
          <w:wAfter w:w="33" w:type="dxa"/>
          <w:trHeight w:val="315"/>
        </w:trPr>
        <w:tc>
          <w:tcPr>
            <w:tcW w:w="7637" w:type="dxa"/>
            <w:gridSpan w:val="2"/>
            <w:tcBorders>
              <w:bottom w:val="single" w:sz="4" w:space="0" w:color="808080"/>
            </w:tcBorders>
            <w:shd w:val="clear" w:color="auto" w:fill="auto"/>
            <w:noWrap/>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bottom w:val="single" w:sz="4" w:space="0" w:color="808080"/>
            </w:tcBorders>
            <w:shd w:val="clear" w:color="auto" w:fill="auto"/>
            <w:noWrap/>
            <w:vAlign w:val="bottom"/>
            <w:hideMark/>
          </w:tcPr>
          <w:p w:rsidR="00DA6A19" w:rsidRPr="00DA6A19" w:rsidRDefault="00DA6A19" w:rsidP="00DA6A19">
            <w:pPr>
              <w:spacing w:before="10" w:after="10" w:line="260" w:lineRule="atLeast"/>
              <w:jc w:val="right"/>
              <w:rPr>
                <w:rFonts w:cs="Calibri"/>
                <w:b/>
                <w:bCs/>
                <w:color w:val="000000"/>
                <w:sz w:val="18"/>
                <w:szCs w:val="18"/>
              </w:rPr>
            </w:pPr>
            <w:r w:rsidRPr="00DA6A19">
              <w:rPr>
                <w:rFonts w:cs="Calibri"/>
                <w:b/>
                <w:bCs/>
                <w:color w:val="000000"/>
                <w:sz w:val="18"/>
                <w:szCs w:val="18"/>
              </w:rPr>
              <w:t>134 898 379</w:t>
            </w:r>
          </w:p>
        </w:tc>
      </w:tr>
      <w:tr w:rsidR="00DA6A19" w:rsidRPr="00DA6A19" w:rsidTr="00DA6A19">
        <w:trPr>
          <w:gridAfter w:val="1"/>
          <w:wAfter w:w="33" w:type="dxa"/>
          <w:trHeight w:val="433"/>
        </w:trPr>
        <w:tc>
          <w:tcPr>
            <w:tcW w:w="9621" w:type="dxa"/>
            <w:gridSpan w:val="3"/>
            <w:tcBorders>
              <w:bottom w:val="nil"/>
            </w:tcBorders>
            <w:shd w:val="clear" w:color="auto" w:fill="auto"/>
            <w:vAlign w:val="center"/>
            <w:hideMark/>
          </w:tcPr>
          <w:p w:rsidR="00DA6A19" w:rsidRDefault="00DA6A19" w:rsidP="00DA6A19">
            <w:pPr>
              <w:spacing w:before="10" w:after="10" w:line="260" w:lineRule="atLeast"/>
              <w:ind w:right="108"/>
              <w:rPr>
                <w:rFonts w:cs="Arial"/>
                <w:b/>
                <w:bCs/>
                <w:color w:val="000000"/>
                <w:sz w:val="18"/>
                <w:szCs w:val="18"/>
                <w:lang w:eastAsia="en-AU"/>
              </w:rPr>
            </w:pPr>
          </w:p>
          <w:p w:rsidR="00DA6A19" w:rsidRDefault="00DA6A19" w:rsidP="00DA6A19">
            <w:pPr>
              <w:spacing w:before="10" w:after="10" w:line="260" w:lineRule="atLeast"/>
              <w:ind w:right="108"/>
              <w:rPr>
                <w:rFonts w:cs="Arial"/>
                <w:b/>
                <w:bCs/>
                <w:color w:val="000000"/>
                <w:sz w:val="18"/>
                <w:szCs w:val="18"/>
                <w:lang w:eastAsia="en-AU"/>
              </w:rPr>
            </w:pPr>
          </w:p>
          <w:p w:rsidR="00DA6A19" w:rsidRDefault="00DA6A19" w:rsidP="00DA6A19">
            <w:pPr>
              <w:spacing w:before="10" w:after="10" w:line="260" w:lineRule="atLeast"/>
              <w:ind w:right="108"/>
              <w:rPr>
                <w:rFonts w:cs="Arial"/>
                <w:b/>
                <w:bCs/>
                <w:color w:val="000000"/>
                <w:sz w:val="18"/>
                <w:szCs w:val="18"/>
                <w:lang w:eastAsia="en-AU"/>
              </w:rPr>
            </w:pPr>
          </w:p>
          <w:p w:rsidR="00DA6A19" w:rsidRPr="00DA6A19" w:rsidRDefault="00DA6A19" w:rsidP="00DA6A19">
            <w:pPr>
              <w:spacing w:before="10" w:after="10" w:line="260" w:lineRule="atLeast"/>
              <w:ind w:right="108"/>
              <w:rPr>
                <w:rFonts w:cs="Arial"/>
                <w:b/>
                <w:bCs/>
                <w:color w:val="000000"/>
                <w:sz w:val="18"/>
                <w:szCs w:val="18"/>
                <w:lang w:eastAsia="en-AU"/>
              </w:rPr>
            </w:pPr>
            <w:r w:rsidRPr="00DA6A19">
              <w:rPr>
                <w:rFonts w:cs="Arial"/>
                <w:b/>
                <w:bCs/>
                <w:color w:val="000000"/>
                <w:sz w:val="18"/>
                <w:szCs w:val="18"/>
                <w:lang w:eastAsia="en-AU"/>
              </w:rPr>
              <w:lastRenderedPageBreak/>
              <w:t>Disability Services - Payments to NGOs for individual funding arrangements for disability clients</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lastRenderedPageBreak/>
              <w:t>Ability Employment</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142 066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Able Australia</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19 604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Access Hardware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3 500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Access Solutions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15 127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Aidacare</w:t>
            </w:r>
            <w:proofErr w:type="spellEnd"/>
            <w:r w:rsidRPr="00DA6A19">
              <w:rPr>
                <w:szCs w:val="18"/>
              </w:rPr>
              <w:t xml:space="preserve"> Pty Ltd</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124 392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Anglicare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1 170 694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ARC Support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687 907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Baptcare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4 264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Circular Head Aboriginal Corporation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28 957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Coastal Residential Service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160 969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Combined Yellow </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232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Community Based Care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757 896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Cosmos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106 858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Devonfield</w:t>
            </w:r>
            <w:proofErr w:type="spellEnd"/>
            <w:r w:rsidRPr="00DA6A19">
              <w:rPr>
                <w:szCs w:val="18"/>
              </w:rPr>
              <w:t xml:space="preserve"> Enterprises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229 202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Disability Community Care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19 745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Disability Services Queensland</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89 942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Eskleigh</w:t>
            </w:r>
            <w:proofErr w:type="spellEnd"/>
            <w:r w:rsidRPr="00DA6A19">
              <w:rPr>
                <w:szCs w:val="18"/>
              </w:rPr>
              <w:t xml:space="preserve"> Foundation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355 669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Family Based Care North</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1 107 412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Family Based Care North West</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788 489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FBC Tasmania Integrated Living</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12 067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Freedom Motors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2 458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GC Services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41 396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Glenhaven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42 422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Headway Support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370 586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Hobart City Mission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218 171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Hobart District Nursing Service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7 206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Independent Healthcare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2 185 365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Island Care Tas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3 280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Langford Support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339 836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L'Arche</w:t>
            </w:r>
            <w:proofErr w:type="spellEnd"/>
            <w:r w:rsidRPr="00DA6A19">
              <w:rPr>
                <w:szCs w:val="18"/>
              </w:rPr>
              <w:t xml:space="preserve"> Beni Abbes Community Support</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182 185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Liberator Pty Ltd</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6 359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Life Without Barriers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140 691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Lifestyle Solutions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108 618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Medifab</w:t>
            </w:r>
            <w:proofErr w:type="spellEnd"/>
            <w:r w:rsidRPr="00DA6A19">
              <w:rPr>
                <w:szCs w:val="18"/>
              </w:rPr>
              <w:t xml:space="preserve"> Medical </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4 040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Mersey Leven Child Care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201 142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Montagu Community Living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98 950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Nextbyte</w:t>
            </w:r>
            <w:proofErr w:type="spellEnd"/>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699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Nexus </w:t>
            </w:r>
            <w:proofErr w:type="spellStart"/>
            <w:r w:rsidRPr="00DA6A19">
              <w:rPr>
                <w:szCs w:val="18"/>
              </w:rPr>
              <w:t>Inc</w:t>
            </w:r>
            <w:proofErr w:type="spellEnd"/>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232 116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North West Residential Support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                     1 313 396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Northern Occupational Support Service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32 525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Northern Residential Support Group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184 651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Oak Tasmania</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61 742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lastRenderedPageBreak/>
              <w:t>Optia</w:t>
            </w:r>
            <w:proofErr w:type="spellEnd"/>
            <w:r w:rsidRPr="00DA6A19">
              <w:rPr>
                <w:szCs w:val="18"/>
              </w:rPr>
              <w:t xml:space="preserve">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1 917 600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Parkside Foundation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127 489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Presbyterian Care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8 518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Senior Helpers Northern Tasmania</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105 323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Society for Multiply Disabled People of Tasmania</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273 843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South Eastern Nursing &amp; Home care Association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66 289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St Giles Society</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658 968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St Michaels Association</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81 460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Supported Tenancy Accommodation and Respite Inc.</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234 294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Tas Independent</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133 156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Tas Wheelchair </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4 139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Tasman Health </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3 876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Tasmanian Deaf Society</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5 936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Taxi Combined</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650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Ulverstone Taxi Services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651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Veranto</w:t>
            </w:r>
            <w:proofErr w:type="spellEnd"/>
            <w:r w:rsidRPr="00DA6A19">
              <w:rPr>
                <w:szCs w:val="18"/>
              </w:rPr>
              <w:t xml:space="preserve"> Lifestyle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418 521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Watson Blanch Care Consultants</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21 360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Westbury Community</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5 171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Wyndarra</w:t>
            </w:r>
            <w:proofErr w:type="spellEnd"/>
            <w:r w:rsidRPr="00DA6A19">
              <w:rPr>
                <w:szCs w:val="18"/>
              </w:rPr>
              <w:t xml:space="preserve"> Centre</w:t>
            </w:r>
          </w:p>
        </w:tc>
        <w:tc>
          <w:tcPr>
            <w:tcW w:w="2017" w:type="dxa"/>
            <w:gridSpan w:val="2"/>
            <w:tcBorders>
              <w:top w:val="single" w:sz="4" w:space="0" w:color="808080"/>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szCs w:val="18"/>
              </w:rPr>
            </w:pPr>
            <w:r w:rsidRPr="00DA6A19">
              <w:rPr>
                <w:szCs w:val="18"/>
              </w:rPr>
              <w:t xml:space="preserve">                 330 205 </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tcPr>
          <w:p w:rsidR="00DA6A19" w:rsidRPr="00DA6A19" w:rsidRDefault="00DA6A19" w:rsidP="00DA6A19">
            <w:pPr>
              <w:pStyle w:val="Table-AnnualReport"/>
              <w:spacing w:before="10" w:after="10" w:line="260" w:lineRule="atLeast"/>
              <w:rPr>
                <w:szCs w:val="18"/>
              </w:rPr>
            </w:pPr>
            <w:r w:rsidRPr="00DA6A19">
              <w:rPr>
                <w:szCs w:val="18"/>
              </w:rPr>
              <w:t>Intensive Support Services (*cannot be disaggregated by provider)</w:t>
            </w:r>
          </w:p>
        </w:tc>
        <w:tc>
          <w:tcPr>
            <w:tcW w:w="2017" w:type="dxa"/>
            <w:gridSpan w:val="2"/>
            <w:tcBorders>
              <w:top w:val="single" w:sz="4" w:space="0" w:color="808080"/>
              <w:bottom w:val="single" w:sz="4" w:space="0" w:color="808080"/>
            </w:tcBorders>
            <w:shd w:val="clear" w:color="auto" w:fill="auto"/>
            <w:noWrap/>
          </w:tcPr>
          <w:p w:rsidR="00DA6A19" w:rsidRPr="00DA6A19" w:rsidRDefault="00DA6A19" w:rsidP="00DA6A19">
            <w:pPr>
              <w:pStyle w:val="Table-AnnualReport"/>
              <w:spacing w:before="10" w:after="10" w:line="260" w:lineRule="atLeast"/>
              <w:jc w:val="right"/>
              <w:rPr>
                <w:szCs w:val="18"/>
              </w:rPr>
            </w:pPr>
            <w:r w:rsidRPr="00DA6A19">
              <w:rPr>
                <w:szCs w:val="18"/>
              </w:rPr>
              <w:t>823 328</w:t>
            </w:r>
          </w:p>
        </w:tc>
      </w:tr>
      <w:tr w:rsidR="00DA6A19" w:rsidRPr="00DA6A19" w:rsidTr="00937E18">
        <w:trPr>
          <w:trHeight w:val="318"/>
        </w:trPr>
        <w:tc>
          <w:tcPr>
            <w:tcW w:w="7637" w:type="dxa"/>
            <w:gridSpan w:val="2"/>
            <w:tcBorders>
              <w:top w:val="single" w:sz="4" w:space="0" w:color="808080"/>
              <w:bottom w:val="single" w:sz="4" w:space="0" w:color="808080"/>
            </w:tcBorders>
            <w:shd w:val="clear" w:color="auto" w:fill="auto"/>
            <w:noWrap/>
          </w:tcPr>
          <w:p w:rsidR="00DA6A19" w:rsidRPr="00DA6A19" w:rsidRDefault="00DA6A19" w:rsidP="00DA6A19">
            <w:pPr>
              <w:pStyle w:val="Table-AnnualReport"/>
              <w:spacing w:before="10" w:after="10" w:line="260" w:lineRule="atLeast"/>
              <w:rPr>
                <w:szCs w:val="18"/>
              </w:rPr>
            </w:pPr>
            <w:r w:rsidRPr="00DA6A19">
              <w:rPr>
                <w:szCs w:val="18"/>
              </w:rPr>
              <w:t>One-off Support/Equipment/Modifications</w:t>
            </w:r>
          </w:p>
        </w:tc>
        <w:tc>
          <w:tcPr>
            <w:tcW w:w="2017" w:type="dxa"/>
            <w:gridSpan w:val="2"/>
            <w:tcBorders>
              <w:top w:val="single" w:sz="4" w:space="0" w:color="808080"/>
              <w:bottom w:val="single" w:sz="4" w:space="0" w:color="808080"/>
            </w:tcBorders>
            <w:shd w:val="clear" w:color="auto" w:fill="auto"/>
            <w:noWrap/>
          </w:tcPr>
          <w:p w:rsidR="00DA6A19" w:rsidRPr="00DA6A19" w:rsidRDefault="00DA6A19" w:rsidP="00DA6A19">
            <w:pPr>
              <w:pStyle w:val="Table-AnnualReport"/>
              <w:spacing w:before="10" w:after="10" w:line="260" w:lineRule="atLeast"/>
              <w:jc w:val="right"/>
              <w:rPr>
                <w:szCs w:val="18"/>
              </w:rPr>
            </w:pPr>
            <w:r w:rsidRPr="00DA6A19">
              <w:rPr>
                <w:szCs w:val="18"/>
              </w:rPr>
              <w:t>582 159</w:t>
            </w:r>
          </w:p>
        </w:tc>
      </w:tr>
      <w:tr w:rsidR="00DA6A19" w:rsidRPr="00DA6A19" w:rsidTr="00937E18">
        <w:trPr>
          <w:trHeight w:val="315"/>
        </w:trPr>
        <w:tc>
          <w:tcPr>
            <w:tcW w:w="7637" w:type="dxa"/>
            <w:gridSpan w:val="2"/>
            <w:tcBorders>
              <w:top w:val="single" w:sz="4" w:space="0" w:color="808080"/>
            </w:tcBorders>
            <w:shd w:val="clear" w:color="auto" w:fill="auto"/>
            <w:noWrap/>
            <w:vAlign w:val="bottom"/>
            <w:hideMark/>
          </w:tcPr>
          <w:p w:rsidR="00DA6A19" w:rsidRPr="00DA6A19" w:rsidRDefault="00DA6A19" w:rsidP="00DA6A19">
            <w:pPr>
              <w:pStyle w:val="Table-AnnualReport"/>
              <w:spacing w:before="10" w:after="10" w:line="260" w:lineRule="atLeast"/>
              <w:rPr>
                <w:rFonts w:cs="Arial"/>
                <w:b/>
                <w:bCs/>
                <w:szCs w:val="18"/>
              </w:rPr>
            </w:pPr>
            <w:r w:rsidRPr="00DA6A19">
              <w:rPr>
                <w:rFonts w:cs="Arial"/>
                <w:b/>
                <w:bCs/>
                <w:szCs w:val="18"/>
              </w:rPr>
              <w:t>Sub Total</w:t>
            </w:r>
          </w:p>
        </w:tc>
        <w:tc>
          <w:tcPr>
            <w:tcW w:w="2017" w:type="dxa"/>
            <w:gridSpan w:val="2"/>
            <w:tcBorders>
              <w:top w:val="single" w:sz="4" w:space="0" w:color="808080"/>
            </w:tcBorders>
            <w:shd w:val="clear" w:color="auto" w:fill="auto"/>
            <w:noWrap/>
            <w:vAlign w:val="bottom"/>
            <w:hideMark/>
          </w:tcPr>
          <w:p w:rsidR="00DA6A19" w:rsidRPr="00DA6A19" w:rsidRDefault="00DA6A19" w:rsidP="00DA6A19">
            <w:pPr>
              <w:pStyle w:val="Table-AnnualReport"/>
              <w:spacing w:before="10" w:after="10" w:line="260" w:lineRule="atLeast"/>
              <w:jc w:val="right"/>
              <w:rPr>
                <w:rFonts w:cs="Arial"/>
                <w:b/>
                <w:bCs/>
                <w:szCs w:val="18"/>
              </w:rPr>
            </w:pPr>
            <w:r w:rsidRPr="00DA6A19">
              <w:rPr>
                <w:rFonts w:cs="Arial"/>
                <w:b/>
                <w:bCs/>
                <w:szCs w:val="18"/>
              </w:rPr>
              <w:t>17 405 762</w:t>
            </w:r>
          </w:p>
        </w:tc>
      </w:tr>
      <w:tr w:rsidR="00DA6A19" w:rsidRPr="00DA6A19" w:rsidTr="00937E18">
        <w:trPr>
          <w:gridAfter w:val="1"/>
          <w:wAfter w:w="33" w:type="dxa"/>
          <w:trHeight w:val="315"/>
        </w:trPr>
        <w:tc>
          <w:tcPr>
            <w:tcW w:w="9621" w:type="dxa"/>
            <w:gridSpan w:val="3"/>
            <w:tcBorders>
              <w:bottom w:val="single" w:sz="6" w:space="0" w:color="808080" w:themeColor="background1" w:themeShade="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Home and Community Care – Community nursing, home help and maintenance, respite, personal care, transport, packages of care and delivered meals across the State</w:t>
            </w:r>
          </w:p>
        </w:tc>
      </w:tr>
      <w:tr w:rsidR="00DA6A19" w:rsidRPr="00DA6A19" w:rsidTr="00937E18">
        <w:trPr>
          <w:gridAfter w:val="1"/>
          <w:wAfter w:w="33" w:type="dxa"/>
          <w:trHeight w:val="315"/>
        </w:trPr>
        <w:tc>
          <w:tcPr>
            <w:tcW w:w="7637" w:type="dxa"/>
            <w:gridSpan w:val="2"/>
            <w:tcBorders>
              <w:top w:val="single" w:sz="6" w:space="0" w:color="808080" w:themeColor="background1" w:themeShade="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Advocacy Tasmania Inc.</w:t>
            </w:r>
          </w:p>
        </w:tc>
        <w:tc>
          <w:tcPr>
            <w:tcW w:w="1984" w:type="dxa"/>
            <w:tcBorders>
              <w:top w:val="single" w:sz="6" w:space="0" w:color="808080" w:themeColor="background1" w:themeShade="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175 736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1 889 803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Australian Italian Club of Launceston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11 585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Australian Red Cross Society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185 450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Baptcare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168 007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Bruny Island Respite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21 094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Bucaan</w:t>
            </w:r>
            <w:proofErr w:type="spellEnd"/>
            <w:r w:rsidRPr="00DA6A19">
              <w:rPr>
                <w:szCs w:val="18"/>
              </w:rPr>
              <w:t xml:space="preserve"> Community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27 399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Care Assessment Consultants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243 944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Carers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197 079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Circular Head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20 662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Clarence City Council</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23 435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Community Based Support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2 030 478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Community Care NESB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85 188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Community Transport Services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394 831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Dementia &amp; Alzheimer's Association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251 487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Derwent Valley Council</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71 122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Elders Council of Tasmania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13 753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Emmerton</w:t>
            </w:r>
            <w:proofErr w:type="spellEnd"/>
            <w:r w:rsidRPr="00DA6A19">
              <w:rPr>
                <w:szCs w:val="18"/>
              </w:rPr>
              <w:t xml:space="preserve"> Park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3 605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Family Based Care Association North West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1 999 807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lastRenderedPageBreak/>
              <w:t>Fusion Australia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128 430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GC Services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145 617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Glenview Community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81 897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Good Neighbour Council Launceston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4 218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Greek Orthodox Archdiocese of Australia Consolidated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34 180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Hobart District Nursing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745 598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Independent Living Centre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70 691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Integratedliving</w:t>
            </w:r>
            <w:proofErr w:type="spellEnd"/>
            <w:r w:rsidRPr="00DA6A19">
              <w:rPr>
                <w:szCs w:val="18"/>
              </w:rPr>
              <w:t xml:space="preserve"> Australia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1 269 823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Italian-Australian Pensioners Welfare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27 309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Karadi</w:t>
            </w:r>
            <w:proofErr w:type="spellEnd"/>
            <w:r w:rsidRPr="00DA6A19">
              <w:rPr>
                <w:szCs w:val="18"/>
              </w:rPr>
              <w:t xml:space="preserve">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1 409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KinCare</w:t>
            </w:r>
            <w:proofErr w:type="spellEnd"/>
            <w:r w:rsidRPr="00DA6A19">
              <w:rPr>
                <w:szCs w:val="18"/>
              </w:rPr>
              <w:t xml:space="preserve"> Homecare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200 995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Kingborough Council</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29 409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Launceston VFC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60 606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Lifeline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112 715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Meals on Wheels Association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168 021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Meercroft</w:t>
            </w:r>
            <w:proofErr w:type="spellEnd"/>
            <w:r w:rsidRPr="00DA6A19">
              <w:rPr>
                <w:szCs w:val="18"/>
              </w:rPr>
              <w:t xml:space="preserve"> Care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2 255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Mersey Community Care Association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217 790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Migrant Resource Centre (Southern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82 269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Neighbourhood Houses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23 577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Polish Association in Hobart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26 147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Presbyterian 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27 586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Royal District Nursing Service Limited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1 485 689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South East Tasmanian Aboriginal Corporation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23 342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South Eastern Community Care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414 100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St Giles Society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59 987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St Helens Community Car Group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4 082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St Johns Ambulance Australia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27 123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Tandara Lodge Community Care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15 282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Tasmanian Council of Social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85 602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Tasmanian Independent Services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53 764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The Parkside Foundation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127 474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 xml:space="preserve">Uniting </w:t>
            </w:r>
            <w:proofErr w:type="spellStart"/>
            <w:r w:rsidRPr="00DA6A19">
              <w:rPr>
                <w:szCs w:val="18"/>
              </w:rPr>
              <w:t>AgeWell</w:t>
            </w:r>
            <w:proofErr w:type="spellEnd"/>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29 189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UnitingCare</w:t>
            </w:r>
            <w:proofErr w:type="spellEnd"/>
            <w:r w:rsidRPr="00DA6A19">
              <w:rPr>
                <w:szCs w:val="18"/>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5 010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Volunteering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177 800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r w:rsidRPr="00DA6A19">
              <w:rPr>
                <w:szCs w:val="18"/>
              </w:rPr>
              <w:t>Wattle Group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558 605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pStyle w:val="Table-AnnualReport"/>
              <w:spacing w:before="10" w:after="10" w:line="260" w:lineRule="atLeast"/>
              <w:rPr>
                <w:szCs w:val="18"/>
              </w:rPr>
            </w:pPr>
            <w:proofErr w:type="spellStart"/>
            <w:r w:rsidRPr="00DA6A19">
              <w:rPr>
                <w:szCs w:val="18"/>
              </w:rPr>
              <w:t>Wyndarra</w:t>
            </w:r>
            <w:proofErr w:type="spellEnd"/>
            <w:r w:rsidRPr="00DA6A19">
              <w:rPr>
                <w:szCs w:val="18"/>
              </w:rPr>
              <w:t xml:space="preserve">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pStyle w:val="Table-AnnualReport"/>
              <w:spacing w:before="10" w:after="10" w:line="260" w:lineRule="atLeast"/>
              <w:jc w:val="right"/>
              <w:rPr>
                <w:rFonts w:cs="Calibri"/>
                <w:szCs w:val="18"/>
              </w:rPr>
            </w:pPr>
            <w:r w:rsidRPr="00DA6A19">
              <w:rPr>
                <w:rFonts w:cs="Calibri"/>
                <w:szCs w:val="18"/>
              </w:rPr>
              <w:t>335 757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tcBorders>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top w:val="single" w:sz="4" w:space="0" w:color="808080"/>
              <w:bottom w:val="single" w:sz="4" w:space="0" w:color="808080"/>
            </w:tcBorders>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14 677 813</w:t>
            </w:r>
          </w:p>
        </w:tc>
      </w:tr>
      <w:tr w:rsidR="00DA6A19" w:rsidRPr="00DA6A19" w:rsidTr="00937E18">
        <w:trPr>
          <w:gridAfter w:val="1"/>
          <w:wAfter w:w="33" w:type="dxa"/>
          <w:trHeight w:val="469"/>
        </w:trPr>
        <w:tc>
          <w:tcPr>
            <w:tcW w:w="9621" w:type="dxa"/>
            <w:gridSpan w:val="3"/>
            <w:tcBorders>
              <w:bottom w:val="single" w:sz="6" w:space="0" w:color="808080" w:themeColor="background1" w:themeShade="80"/>
            </w:tcBorders>
            <w:shd w:val="clear" w:color="auto" w:fill="auto"/>
            <w:vAlign w:val="center"/>
            <w:hideMark/>
          </w:tcPr>
          <w:p w:rsidR="00DA6A19" w:rsidRPr="00DA6A19" w:rsidRDefault="00DA6A19" w:rsidP="00DA6A19">
            <w:pPr>
              <w:keepNext/>
              <w:spacing w:before="10" w:after="10" w:line="260" w:lineRule="atLeast"/>
              <w:rPr>
                <w:rFonts w:cs="Arial"/>
                <w:b/>
                <w:bCs/>
                <w:color w:val="000000"/>
                <w:sz w:val="18"/>
                <w:szCs w:val="18"/>
                <w:lang w:eastAsia="en-AU"/>
              </w:rPr>
            </w:pPr>
            <w:r w:rsidRPr="00DA6A19">
              <w:rPr>
                <w:rFonts w:cs="Arial"/>
                <w:b/>
                <w:bCs/>
                <w:color w:val="000000"/>
                <w:sz w:val="18"/>
                <w:szCs w:val="18"/>
                <w:lang w:eastAsia="en-AU"/>
              </w:rPr>
              <w:t>Housing – Private Rental Support Program, Affordable Housing Strategy, Employment Initiatives, Specialist Homeless Services – Crisis accommodation and related support services for people who are experiencing homelessness or are at imminent risk of becoming homeless</w:t>
            </w:r>
          </w:p>
        </w:tc>
      </w:tr>
      <w:tr w:rsidR="00DA6A19" w:rsidRPr="00DA6A19" w:rsidTr="00937E18">
        <w:trPr>
          <w:gridAfter w:val="1"/>
          <w:wAfter w:w="33" w:type="dxa"/>
          <w:trHeight w:val="315"/>
        </w:trPr>
        <w:tc>
          <w:tcPr>
            <w:tcW w:w="7637" w:type="dxa"/>
            <w:gridSpan w:val="2"/>
            <w:tcBorders>
              <w:top w:val="single" w:sz="6" w:space="0" w:color="808080" w:themeColor="background1" w:themeShade="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6" w:space="0" w:color="808080" w:themeColor="background1" w:themeShade="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7 108 761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Bethlehem House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898 400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Cape Barren Island Aboriginal Association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173 875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CatholicCare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623 739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lastRenderedPageBreak/>
              <w:t>Colony 47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7 584 081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Common Ground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534 516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Community Housing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13 782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Flinders Island Aboriginal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199 250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Hobart Women's Shelter</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761 681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Jireh House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650 535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Karinya Young Women's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612 973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Launceston City Mission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547 024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Launceston Women's Shelter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772 716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Pathways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540 426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Shelter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302 892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Tenants' Union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179 228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Salvation Army (Tasmania) Property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1 356 833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Warrawee Committee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746 778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West Coast Council</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132 733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Wyndarra</w:t>
            </w:r>
            <w:proofErr w:type="spellEnd"/>
            <w:r w:rsidRPr="00DA6A19">
              <w:rPr>
                <w:rFonts w:cs="Arial"/>
                <w:color w:val="000000"/>
                <w:sz w:val="18"/>
                <w:szCs w:val="18"/>
                <w:lang w:eastAsia="en-AU"/>
              </w:rPr>
              <w:t xml:space="preserve">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130 153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Youth Futures Incorporated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570 758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Youth, Family and Community Connections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1 529 244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tcBorders>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top w:val="single" w:sz="4" w:space="0" w:color="808080"/>
              <w:bottom w:val="single" w:sz="4" w:space="0" w:color="808080"/>
            </w:tcBorders>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25 970 378</w:t>
            </w:r>
          </w:p>
        </w:tc>
      </w:tr>
      <w:tr w:rsidR="00DA6A19" w:rsidRPr="00DA6A19" w:rsidTr="00937E18">
        <w:trPr>
          <w:gridAfter w:val="1"/>
          <w:wAfter w:w="33" w:type="dxa"/>
          <w:trHeight w:val="315"/>
        </w:trPr>
        <w:tc>
          <w:tcPr>
            <w:tcW w:w="9621" w:type="dxa"/>
            <w:gridSpan w:val="3"/>
            <w:tcBorders>
              <w:bottom w:val="single" w:sz="6" w:space="0" w:color="808080" w:themeColor="background1" w:themeShade="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Mental Health – Treatment, support and management of mental disorders to maximise mental health, wellbeing and quality of life. Funding covers assessment, treatment, care and rehabilitation in the community as well as information services and community-based accommodation</w:t>
            </w:r>
          </w:p>
        </w:tc>
      </w:tr>
      <w:tr w:rsidR="00DA6A19" w:rsidRPr="00DA6A19" w:rsidTr="00937E18">
        <w:trPr>
          <w:gridAfter w:val="1"/>
          <w:wAfter w:w="33" w:type="dxa"/>
          <w:trHeight w:val="315"/>
        </w:trPr>
        <w:tc>
          <w:tcPr>
            <w:tcW w:w="7637" w:type="dxa"/>
            <w:gridSpan w:val="2"/>
            <w:tcBorders>
              <w:top w:val="single" w:sz="6" w:space="0" w:color="808080" w:themeColor="background1" w:themeShade="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Advocacy Tasmania Inc.</w:t>
            </w:r>
          </w:p>
        </w:tc>
        <w:tc>
          <w:tcPr>
            <w:tcW w:w="1984" w:type="dxa"/>
            <w:tcBorders>
              <w:top w:val="single" w:sz="6" w:space="0" w:color="808080" w:themeColor="background1" w:themeShade="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427 440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3 802 571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Huntington's Disease Association (Tas)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13 748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Red Cross Society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207 293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Baptcare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1 860 000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Beyond Blue</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88 102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Caroline House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313 102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Colony 47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309 586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Family Based Care Association North West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90 442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Flourish Mental Health Action in Our Hands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181 363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Grow</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117 694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Langford Support Services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961 158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Life Without Barriers</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1 000 000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Mental Health Carers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180 154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Mental Health Council of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499 136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Mental Illness Fellowship Victoria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2 327 671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Migrant Resource Centre (Southern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137 945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OzHelp</w:t>
            </w:r>
            <w:proofErr w:type="spellEnd"/>
            <w:r w:rsidRPr="00DA6A19">
              <w:rPr>
                <w:rFonts w:cs="Arial"/>
                <w:color w:val="000000"/>
                <w:sz w:val="18"/>
                <w:szCs w:val="18"/>
                <w:lang w:eastAsia="en-AU"/>
              </w:rPr>
              <w:t xml:space="preserve"> Tasmania Foundation Pty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58 700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Relationships Australia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293 877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Richmond Fellowship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4 539 723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Rural Alive &amp; Well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609 929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 Medicare Local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18 975</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lastRenderedPageBreak/>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18 038 609</w:t>
            </w:r>
          </w:p>
        </w:tc>
      </w:tr>
      <w:tr w:rsidR="00DA6A19" w:rsidRPr="00DA6A19" w:rsidTr="00937E18">
        <w:trPr>
          <w:gridAfter w:val="1"/>
          <w:wAfter w:w="33" w:type="dxa"/>
          <w:trHeight w:val="315"/>
        </w:trPr>
        <w:tc>
          <w:tcPr>
            <w:tcW w:w="9621" w:type="dxa"/>
            <w:gridSpan w:val="3"/>
            <w:tcBorders>
              <w:bottom w:val="single" w:sz="4" w:space="0" w:color="808080"/>
            </w:tcBorders>
            <w:shd w:val="clear" w:color="auto" w:fill="auto"/>
            <w:vAlign w:val="center"/>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Public Health Services  – services to prevent illness, protect the Tasmanian community and promote health gain</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329 324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Arthritis Foundation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104 111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Australian Red Cross Society</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135 349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Cancer Council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1 291 439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CanTeen</w:t>
            </w:r>
            <w:proofErr w:type="spellEnd"/>
            <w:r w:rsidRPr="00DA6A19">
              <w:rPr>
                <w:rFonts w:cs="Arial"/>
                <w:color w:val="000000"/>
                <w:sz w:val="18"/>
                <w:szCs w:val="18"/>
                <w:lang w:eastAsia="en-AU"/>
              </w:rPr>
              <w:t xml:space="preserve"> - The Australian Organisation for Young People Living with Cancer</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24 295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Child Health Association Tasmania Inc. (CHAT)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113 411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Delta Dog Safe Tasmania - A Committee of Delta Society Australia Ltd</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14 459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Diabetes Australia -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480 758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Eat Well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135 347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Family Planning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1 501 647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Hobart Women's Health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430 032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Jordan River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39 972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Kidsafe</w:t>
            </w:r>
            <w:proofErr w:type="spellEnd"/>
            <w:r w:rsidRPr="00DA6A19">
              <w:rPr>
                <w:rFonts w:cs="Arial"/>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50 124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Menzies Research Institute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529 395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National Stroke Foundation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84 648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Neighbourhood Houses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334 239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Scarlet Alliance, Australian Sex Workers Association</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62 748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Aboriginal Centre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160 000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Council on AIDS, Hepatitis and Related Diseases</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443 068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Tasmanian School Canteen Association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112 044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Asthma Foundation of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82 292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Link Youth Health Service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454 386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Pharmacy Guild of Australia - Tasmanian Branch</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21 955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Salvation Army (Tasmania) Property Trust</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78 374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The Sax Institute</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98 000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University of Tasmania</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77 683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proofErr w:type="spellStart"/>
            <w:r w:rsidRPr="00DA6A19">
              <w:rPr>
                <w:rFonts w:cs="Arial"/>
                <w:color w:val="000000"/>
                <w:sz w:val="18"/>
                <w:szCs w:val="18"/>
                <w:lang w:eastAsia="en-AU"/>
              </w:rPr>
              <w:t>Womensport</w:t>
            </w:r>
            <w:proofErr w:type="spellEnd"/>
            <w:r w:rsidRPr="00DA6A19">
              <w:rPr>
                <w:rFonts w:cs="Arial"/>
                <w:color w:val="000000"/>
                <w:sz w:val="18"/>
                <w:szCs w:val="18"/>
                <w:lang w:eastAsia="en-AU"/>
              </w:rPr>
              <w:t xml:space="preserve"> &amp; Recreation Tasmania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68 473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Working It Out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299 772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tcPr>
          <w:p w:rsidR="00DA6A19" w:rsidRPr="00DA6A19" w:rsidRDefault="00DA6A19" w:rsidP="00DA6A19">
            <w:pPr>
              <w:spacing w:before="10" w:after="10" w:line="260" w:lineRule="atLeast"/>
              <w:rPr>
                <w:rFonts w:cs="Arial"/>
                <w:color w:val="000000"/>
                <w:sz w:val="18"/>
                <w:szCs w:val="18"/>
                <w:lang w:eastAsia="en-AU"/>
              </w:rPr>
            </w:pPr>
            <w:r w:rsidRPr="00DA6A19">
              <w:rPr>
                <w:rFonts w:cs="Arial"/>
                <w:color w:val="000000"/>
                <w:sz w:val="18"/>
                <w:szCs w:val="18"/>
                <w:lang w:eastAsia="en-AU"/>
              </w:rPr>
              <w:t>Youth, Family and Community Connections Inc.</w:t>
            </w:r>
          </w:p>
        </w:tc>
        <w:tc>
          <w:tcPr>
            <w:tcW w:w="1984" w:type="dxa"/>
            <w:tcBorders>
              <w:top w:val="single" w:sz="4" w:space="0" w:color="808080"/>
              <w:left w:val="nil"/>
              <w:bottom w:val="single" w:sz="4" w:space="0" w:color="808080"/>
            </w:tcBorders>
            <w:shd w:val="clear" w:color="auto" w:fill="auto"/>
            <w:noWrap/>
            <w:vAlign w:val="bottom"/>
          </w:tcPr>
          <w:p w:rsidR="00DA6A19" w:rsidRPr="00DA6A19" w:rsidRDefault="00DA6A19" w:rsidP="00DA6A19">
            <w:pPr>
              <w:spacing w:before="10" w:after="10" w:line="260" w:lineRule="atLeast"/>
              <w:jc w:val="right"/>
              <w:rPr>
                <w:rFonts w:cs="Arial"/>
                <w:color w:val="000000"/>
                <w:sz w:val="18"/>
                <w:szCs w:val="18"/>
                <w:lang w:eastAsia="en-AU"/>
              </w:rPr>
            </w:pPr>
            <w:r w:rsidRPr="00DA6A19">
              <w:rPr>
                <w:rFonts w:cs="Arial"/>
                <w:color w:val="000000"/>
                <w:sz w:val="18"/>
                <w:szCs w:val="18"/>
                <w:lang w:eastAsia="en-AU"/>
              </w:rPr>
              <w:t>33 310</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shd w:val="clear" w:color="auto" w:fill="auto"/>
            <w:noWrap/>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7 590 655</w:t>
            </w:r>
          </w:p>
        </w:tc>
      </w:tr>
      <w:tr w:rsidR="00DA6A19" w:rsidRPr="00DA6A19" w:rsidTr="00937E18">
        <w:trPr>
          <w:gridAfter w:val="1"/>
          <w:wAfter w:w="33" w:type="dxa"/>
          <w:trHeight w:val="315"/>
        </w:trPr>
        <w:tc>
          <w:tcPr>
            <w:tcW w:w="9621" w:type="dxa"/>
            <w:gridSpan w:val="3"/>
            <w:shd w:val="clear" w:color="auto" w:fill="auto"/>
            <w:vAlign w:val="center"/>
            <w:hideMark/>
          </w:tcPr>
          <w:p w:rsidR="00DA6A19" w:rsidRPr="00DA6A19" w:rsidRDefault="00DA6A19" w:rsidP="00937E18">
            <w:pPr>
              <w:keepNext/>
              <w:spacing w:before="10" w:after="10" w:line="260" w:lineRule="atLeast"/>
              <w:rPr>
                <w:rFonts w:cs="Arial"/>
                <w:b/>
                <w:bCs/>
                <w:color w:val="000000"/>
                <w:sz w:val="18"/>
                <w:szCs w:val="18"/>
                <w:lang w:eastAsia="en-AU"/>
              </w:rPr>
            </w:pPr>
            <w:r w:rsidRPr="00DA6A19">
              <w:rPr>
                <w:rFonts w:cs="Arial"/>
                <w:b/>
                <w:bCs/>
                <w:color w:val="000000"/>
                <w:sz w:val="18"/>
                <w:szCs w:val="18"/>
                <w:lang w:eastAsia="en-AU"/>
              </w:rPr>
              <w:t>System Purchasing and Performance – Payments to organisations to assist in the recruitment of General Practitioners in Tasmania</w:t>
            </w:r>
          </w:p>
        </w:tc>
      </w:tr>
      <w:tr w:rsidR="00DA6A19" w:rsidRPr="00DA6A19" w:rsidTr="00937E18">
        <w:trPr>
          <w:gridAfter w:val="1"/>
          <w:wAfter w:w="33" w:type="dxa"/>
          <w:trHeight w:val="315"/>
        </w:trPr>
        <w:tc>
          <w:tcPr>
            <w:tcW w:w="7637" w:type="dxa"/>
            <w:gridSpan w:val="2"/>
            <w:shd w:val="clear" w:color="auto" w:fill="auto"/>
            <w:noWrap/>
            <w:vAlign w:val="bottom"/>
            <w:hideMark/>
          </w:tcPr>
          <w:p w:rsidR="00DA6A19" w:rsidRPr="00DA6A19" w:rsidRDefault="00DA6A19" w:rsidP="00937E18">
            <w:pPr>
              <w:keepNext/>
              <w:spacing w:before="10" w:after="10" w:line="260" w:lineRule="atLeast"/>
              <w:rPr>
                <w:rFonts w:cs="Arial"/>
                <w:color w:val="000000"/>
                <w:sz w:val="18"/>
                <w:szCs w:val="18"/>
                <w:lang w:eastAsia="en-AU"/>
              </w:rPr>
            </w:pPr>
            <w:r w:rsidRPr="00DA6A19">
              <w:rPr>
                <w:rFonts w:cs="Arial"/>
                <w:color w:val="000000"/>
                <w:sz w:val="18"/>
                <w:szCs w:val="18"/>
                <w:lang w:eastAsia="en-AU"/>
              </w:rPr>
              <w:t>General Practice Workforce Inc.</w:t>
            </w:r>
          </w:p>
        </w:tc>
        <w:tc>
          <w:tcPr>
            <w:tcW w:w="1984" w:type="dxa"/>
            <w:shd w:val="clear" w:color="auto" w:fill="auto"/>
            <w:noWrap/>
            <w:vAlign w:val="bottom"/>
            <w:hideMark/>
          </w:tcPr>
          <w:p w:rsidR="00DA6A19" w:rsidRPr="00DA6A19" w:rsidRDefault="00DA6A19" w:rsidP="00937E18">
            <w:pPr>
              <w:keepNext/>
              <w:spacing w:before="10" w:after="10" w:line="260" w:lineRule="atLeast"/>
              <w:jc w:val="right"/>
              <w:rPr>
                <w:rFonts w:cs="Arial"/>
                <w:color w:val="000000"/>
                <w:sz w:val="18"/>
                <w:szCs w:val="18"/>
                <w:lang w:eastAsia="en-AU"/>
              </w:rPr>
            </w:pPr>
            <w:r w:rsidRPr="00DA6A19">
              <w:rPr>
                <w:rFonts w:cs="Arial"/>
                <w:color w:val="000000"/>
                <w:sz w:val="18"/>
                <w:szCs w:val="18"/>
                <w:lang w:eastAsia="en-AU"/>
              </w:rPr>
              <w:t>102 250</w:t>
            </w:r>
          </w:p>
        </w:tc>
      </w:tr>
      <w:tr w:rsidR="00DA6A19" w:rsidRPr="00DA6A19" w:rsidTr="00937E18">
        <w:trPr>
          <w:gridAfter w:val="1"/>
          <w:wAfter w:w="33" w:type="dxa"/>
          <w:trHeight w:val="315"/>
        </w:trPr>
        <w:tc>
          <w:tcPr>
            <w:tcW w:w="7637" w:type="dxa"/>
            <w:gridSpan w:val="2"/>
            <w:tcBorders>
              <w:bottom w:val="single" w:sz="4" w:space="0" w:color="808080"/>
            </w:tcBorders>
            <w:shd w:val="clear" w:color="auto" w:fill="auto"/>
            <w:noWrap/>
            <w:vAlign w:val="bottom"/>
            <w:hideMark/>
          </w:tcPr>
          <w:p w:rsidR="00DA6A19" w:rsidRPr="00DA6A19" w:rsidRDefault="00DA6A19" w:rsidP="00937E18">
            <w:pPr>
              <w:keepNext/>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tcBorders>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102 250</w:t>
            </w:r>
          </w:p>
        </w:tc>
      </w:tr>
      <w:tr w:rsidR="00DA6A19" w:rsidRPr="00DA6A19" w:rsidTr="00937E18">
        <w:trPr>
          <w:gridAfter w:val="1"/>
          <w:wAfter w:w="33" w:type="dxa"/>
          <w:trHeight w:val="315"/>
        </w:trPr>
        <w:tc>
          <w:tcPr>
            <w:tcW w:w="9621" w:type="dxa"/>
            <w:gridSpan w:val="3"/>
            <w:tcBorders>
              <w:top w:val="single" w:sz="4" w:space="0" w:color="808080"/>
              <w:bottom w:val="single" w:sz="6" w:space="0" w:color="808080" w:themeColor="background1" w:themeShade="80"/>
            </w:tcBorders>
            <w:shd w:val="clear" w:color="auto" w:fill="auto"/>
            <w:noWrap/>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
                <w:bCs/>
                <w:color w:val="000000"/>
                <w:sz w:val="18"/>
                <w:szCs w:val="18"/>
                <w:lang w:eastAsia="en-AU"/>
              </w:rPr>
              <w:t>Additional funding for Community Sector Organisations - Supplementary funding to support increasing costs and capacity building</w:t>
            </w:r>
          </w:p>
        </w:tc>
      </w:tr>
      <w:tr w:rsidR="00DA6A19" w:rsidRPr="00DA6A19" w:rsidTr="00937E18">
        <w:trPr>
          <w:gridAfter w:val="1"/>
          <w:wAfter w:w="33" w:type="dxa"/>
          <w:trHeight w:val="315"/>
        </w:trPr>
        <w:tc>
          <w:tcPr>
            <w:tcW w:w="7637" w:type="dxa"/>
            <w:gridSpan w:val="2"/>
            <w:tcBorders>
              <w:top w:val="single" w:sz="6" w:space="0" w:color="808080" w:themeColor="background1" w:themeShade="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AQA Victoria Ltd</w:t>
            </w:r>
          </w:p>
        </w:tc>
        <w:tc>
          <w:tcPr>
            <w:tcW w:w="1984" w:type="dxa"/>
            <w:tcBorders>
              <w:top w:val="single" w:sz="6" w:space="0" w:color="808080" w:themeColor="background1" w:themeShade="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144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Ability Tasmania Group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6 204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Able Australia</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107 689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Advocacy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11 044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Anglicare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233 005 </w:t>
            </w:r>
          </w:p>
        </w:tc>
      </w:tr>
      <w:tr w:rsidR="00DA6A19" w:rsidRPr="00DA6A19" w:rsidTr="00DA6A19">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937E18">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Arthritis Foundation of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937E18">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868 </w:t>
            </w:r>
          </w:p>
        </w:tc>
      </w:tr>
      <w:tr w:rsidR="00DA6A19" w:rsidRPr="00DA6A19" w:rsidTr="00DA6A19">
        <w:trPr>
          <w:gridAfter w:val="1"/>
          <w:wAfter w:w="33" w:type="dxa"/>
          <w:trHeight w:val="315"/>
        </w:trPr>
        <w:tc>
          <w:tcPr>
            <w:tcW w:w="7637" w:type="dxa"/>
            <w:gridSpan w:val="2"/>
            <w:tcBorders>
              <w:bottom w:val="nil"/>
            </w:tcBorders>
            <w:shd w:val="clear" w:color="auto" w:fill="auto"/>
            <w:noWrap/>
            <w:vAlign w:val="bottom"/>
          </w:tcPr>
          <w:p w:rsidR="00DA6A19" w:rsidRPr="00DA6A19" w:rsidRDefault="00DA6A19" w:rsidP="00DA6A19">
            <w:pPr>
              <w:spacing w:before="10" w:after="10" w:line="260" w:lineRule="atLeast"/>
              <w:rPr>
                <w:rFonts w:cs="Arial"/>
                <w:b/>
                <w:bCs/>
                <w:color w:val="000000"/>
                <w:sz w:val="18"/>
                <w:szCs w:val="18"/>
                <w:lang w:eastAsia="en-AU"/>
              </w:rPr>
            </w:pPr>
          </w:p>
        </w:tc>
        <w:tc>
          <w:tcPr>
            <w:tcW w:w="1984" w:type="dxa"/>
            <w:tcBorders>
              <w:bottom w:val="nil"/>
            </w:tcBorders>
            <w:shd w:val="clear" w:color="auto" w:fill="auto"/>
            <w:noWrap/>
            <w:vAlign w:val="bottom"/>
          </w:tcPr>
          <w:p w:rsidR="00DA6A19" w:rsidRPr="00DA6A19" w:rsidRDefault="00DA6A19" w:rsidP="00DA6A19">
            <w:pPr>
              <w:spacing w:before="10" w:after="10" w:line="260" w:lineRule="atLeast"/>
              <w:jc w:val="right"/>
              <w:rPr>
                <w:rFonts w:cs="Arial"/>
                <w:b/>
                <w:bCs/>
                <w:color w:val="000000"/>
                <w:sz w:val="18"/>
                <w:szCs w:val="18"/>
                <w:lang w:eastAsia="en-AU"/>
              </w:rPr>
            </w:pPr>
          </w:p>
        </w:tc>
      </w:tr>
      <w:tr w:rsidR="00DA6A19" w:rsidRPr="00DA6A19" w:rsidTr="00DA6A19">
        <w:trPr>
          <w:gridAfter w:val="1"/>
          <w:wAfter w:w="33" w:type="dxa"/>
          <w:trHeight w:val="315"/>
        </w:trPr>
        <w:tc>
          <w:tcPr>
            <w:tcW w:w="9621" w:type="dxa"/>
            <w:gridSpan w:val="3"/>
            <w:tcBorders>
              <w:top w:val="nil"/>
              <w:bottom w:val="single" w:sz="6" w:space="0" w:color="808080" w:themeColor="background1" w:themeShade="80"/>
            </w:tcBorders>
            <w:shd w:val="clear" w:color="auto" w:fill="auto"/>
            <w:noWrap/>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
                <w:bCs/>
                <w:color w:val="000000"/>
                <w:sz w:val="18"/>
                <w:szCs w:val="18"/>
                <w:lang w:eastAsia="en-AU"/>
              </w:rPr>
              <w:lastRenderedPageBreak/>
              <w:t>Additional funding for Community Sector Organisations - Supplementary funding to support increasing costs and capacity building</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Association for Children with Disability (Tas)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2 427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Australian Childhood Foundation</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6 960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Australian Drug Foundation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1 090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Australian Huntington's Disease Association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Australian Italian Club of Launceston</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Australian Red Cross Society</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5656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Autism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1 879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Baptcare Ltd</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76 013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Beaconsfield House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Bethlehem House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7 494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Better Hearing Australia Tasmania Inc.</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noWrap/>
            <w:vAlign w:val="bottom"/>
            <w:hideMark/>
          </w:tcPr>
          <w:p w:rsidR="00DA6A19" w:rsidRPr="00DA6A19" w:rsidRDefault="00DA6A19" w:rsidP="00DA6A19">
            <w:pPr>
              <w:keepNext/>
              <w:spacing w:before="10" w:after="10" w:line="260" w:lineRule="atLeast"/>
              <w:rPr>
                <w:rFonts w:cs="Arial"/>
                <w:bCs/>
                <w:color w:val="000000"/>
                <w:sz w:val="18"/>
                <w:szCs w:val="18"/>
                <w:lang w:eastAsia="en-AU"/>
              </w:rPr>
            </w:pPr>
            <w:r w:rsidRPr="00DA6A19">
              <w:rPr>
                <w:rFonts w:cs="Arial"/>
                <w:bCs/>
                <w:color w:val="000000"/>
                <w:sz w:val="18"/>
                <w:szCs w:val="18"/>
                <w:lang w:eastAsia="en-AU"/>
              </w:rPr>
              <w:t>Beyond Blue</w:t>
            </w:r>
          </w:p>
        </w:tc>
        <w:tc>
          <w:tcPr>
            <w:tcW w:w="1984" w:type="dxa"/>
            <w:tcBorders>
              <w:top w:val="single" w:sz="4" w:space="0" w:color="808080"/>
              <w:left w:val="nil"/>
              <w:bottom w:val="single" w:sz="4" w:space="0" w:color="808080"/>
            </w:tcBorders>
            <w:shd w:val="clear" w:color="auto" w:fill="auto"/>
            <w:noWrap/>
            <w:vAlign w:val="bottom"/>
            <w:hideMark/>
          </w:tcPr>
          <w:p w:rsidR="00DA6A19" w:rsidRPr="00DA6A19" w:rsidRDefault="00DA6A19" w:rsidP="00DA6A19">
            <w:pPr>
              <w:keepNext/>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735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Brain Injury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668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Bruny Island Respite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176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Bucaan</w:t>
            </w:r>
            <w:proofErr w:type="spellEnd"/>
            <w:r w:rsidRPr="00DA6A19">
              <w:rPr>
                <w:rFonts w:cs="Arial"/>
                <w:bCs/>
                <w:color w:val="000000"/>
                <w:sz w:val="18"/>
                <w:szCs w:val="18"/>
                <w:lang w:eastAsia="en-AU"/>
              </w:rPr>
              <w:t xml:space="preserve"> Community House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1 358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Burnie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Cancer Council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10 773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CanTeen</w:t>
            </w:r>
            <w:proofErr w:type="spellEnd"/>
            <w:r w:rsidRPr="00DA6A19">
              <w:rPr>
                <w:rFonts w:cs="Arial"/>
                <w:bCs/>
                <w:color w:val="000000"/>
                <w:sz w:val="18"/>
                <w:szCs w:val="18"/>
                <w:lang w:eastAsia="en-AU"/>
              </w:rPr>
              <w:t xml:space="preserve"> - The Australian Organisation for Young People Living with Cancer</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203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Cape Barren Island Aboriginal Association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1 450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Care Assessment Consultants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2 035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Carers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1 644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Caroline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2 612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Centacare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12 163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Child Health Association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1 760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Circular Head Aboriginal Corporation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457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Clarence City Council</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195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Clarendon Vale Neighbourhood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Coastal Residential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19 388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Colony 47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65 845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Common Ground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4 459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Community Based Support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16 937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Community Care NESB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711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Community Housing Limited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Community Transport Services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3 293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Connors, Rosemary</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CREATE Foundation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3 011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D.G. Lewis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2 402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Deloraine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Delta Dog Safe Tasmania - A Committee of Delta Society Australia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121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Dementia &amp; Alzheimer's Association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2 098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Derwent Valley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2 426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Derwent Valley Council</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593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lastRenderedPageBreak/>
              <w:t>Devonfield</w:t>
            </w:r>
            <w:proofErr w:type="spellEnd"/>
            <w:r w:rsidRPr="00DA6A19">
              <w:rPr>
                <w:rFonts w:cs="Arial"/>
                <w:bCs/>
                <w:color w:val="000000"/>
                <w:sz w:val="18"/>
                <w:szCs w:val="18"/>
                <w:lang w:eastAsia="en-AU"/>
              </w:rPr>
              <w:t xml:space="preserve"> Enterprises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42 520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Devonport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Diabetes Australia -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4 010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Dorset Community House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Drug Education Network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5 686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Dunalley Tasman Neighbourhood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Early Support for Parents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509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Eastern Health</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1 691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Eastern Shore Community Connections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Eat Well Tasmania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Elders Council of Tasmania Aboriginal Corporation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Emmerton</w:t>
            </w:r>
            <w:proofErr w:type="spellEnd"/>
            <w:r w:rsidRPr="00DA6A19">
              <w:rPr>
                <w:rFonts w:cs="Arial"/>
                <w:bCs/>
                <w:color w:val="000000"/>
                <w:sz w:val="18"/>
                <w:szCs w:val="18"/>
                <w:lang w:eastAsia="en-AU"/>
              </w:rPr>
              <w:t xml:space="preserve"> Park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Epilepsy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1 407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Eskleigh</w:t>
            </w:r>
            <w:proofErr w:type="spellEnd"/>
            <w:r w:rsidRPr="00DA6A19">
              <w:rPr>
                <w:rFonts w:cs="Arial"/>
                <w:bCs/>
                <w:color w:val="000000"/>
                <w:sz w:val="18"/>
                <w:szCs w:val="18"/>
                <w:lang w:eastAsia="en-AU"/>
              </w:rPr>
              <w:t xml:space="preserve"> Foundation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47 103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Family Based Care Association North West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17 436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Family Planning Tasmania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10 234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Fingal Valley Neighbourhood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Flinders Island Aboriginal Association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1 662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Flourish Mental Health Action in Our Hands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1 513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Fusion Australia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1 071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GC Services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4 190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Geeveston Community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2 548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General Practice Workforce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853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George Town Neighbourhood House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Giant Steps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552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Glenhaven Family Care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4 474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Glenview Community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683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Gog Range Retreat</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2 180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Good Neighbour Council Launceston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Goodwood Community Centre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Greek Orthodox Archdiocese of Australia Consolidated Trust</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285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Grow</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982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Headway North West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846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Headway Support Services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6 485</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Hobart City Mission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17 583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Hobart District Nursing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6 219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Hobart Women's Health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3 587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Holyoake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1 903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HOPES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865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Independent Living Centre Tas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4 369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integratedliving</w:t>
            </w:r>
            <w:proofErr w:type="spellEnd"/>
            <w:r w:rsidRPr="00DA6A19">
              <w:rPr>
                <w:rFonts w:cs="Arial"/>
                <w:bCs/>
                <w:color w:val="000000"/>
                <w:sz w:val="18"/>
                <w:szCs w:val="18"/>
                <w:lang w:eastAsia="en-AU"/>
              </w:rPr>
              <w:t xml:space="preserve"> Australia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12 919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Italian-Australian Pensioners Welfare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228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Jamieson, Barbara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lastRenderedPageBreak/>
              <w:t>Jireh House Association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5 426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Jordan River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2 809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Karadi</w:t>
            </w:r>
            <w:proofErr w:type="spellEnd"/>
            <w:r w:rsidRPr="00DA6A19">
              <w:rPr>
                <w:rFonts w:cs="Arial"/>
                <w:bCs/>
                <w:color w:val="000000"/>
                <w:sz w:val="18"/>
                <w:szCs w:val="18"/>
                <w:lang w:eastAsia="en-AU"/>
              </w:rPr>
              <w:t xml:space="preserve"> Aboriginal Corporation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1 141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Karinya Young Women's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5 113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Kennerley</w:t>
            </w:r>
            <w:proofErr w:type="spellEnd"/>
            <w:r w:rsidRPr="00DA6A19">
              <w:rPr>
                <w:rFonts w:cs="Arial"/>
                <w:bCs/>
                <w:color w:val="000000"/>
                <w:sz w:val="18"/>
                <w:szCs w:val="18"/>
                <w:lang w:eastAsia="en-AU"/>
              </w:rPr>
              <w:t xml:space="preserve"> </w:t>
            </w:r>
            <w:proofErr w:type="spellStart"/>
            <w:r w:rsidRPr="00DA6A19">
              <w:rPr>
                <w:rFonts w:cs="Arial"/>
                <w:bCs/>
                <w:color w:val="000000"/>
                <w:sz w:val="18"/>
                <w:szCs w:val="18"/>
                <w:lang w:eastAsia="en-AU"/>
              </w:rPr>
              <w:t>Childrens</w:t>
            </w:r>
            <w:proofErr w:type="spellEnd"/>
            <w:r w:rsidRPr="00DA6A19">
              <w:rPr>
                <w:rFonts w:cs="Arial"/>
                <w:bCs/>
                <w:color w:val="000000"/>
                <w:sz w:val="18"/>
                <w:szCs w:val="18"/>
                <w:lang w:eastAsia="en-AU"/>
              </w:rPr>
              <w:t xml:space="preserve"> Home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14 282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Kidsafe</w:t>
            </w:r>
            <w:proofErr w:type="spellEnd"/>
            <w:r w:rsidRPr="00DA6A19">
              <w:rPr>
                <w:rFonts w:cs="Arial"/>
                <w:bCs/>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418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KinCare</w:t>
            </w:r>
            <w:proofErr w:type="spellEnd"/>
            <w:r w:rsidRPr="00DA6A19">
              <w:rPr>
                <w:rFonts w:cs="Arial"/>
                <w:bCs/>
                <w:color w:val="000000"/>
                <w:sz w:val="18"/>
                <w:szCs w:val="18"/>
                <w:lang w:eastAsia="en-AU"/>
              </w:rPr>
              <w:t xml:space="preserve"> Homecare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1 677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Kingborough Council</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245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Lady Gowrie Tasmania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1 059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Langford Support Services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32 743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L'Arche</w:t>
            </w:r>
            <w:proofErr w:type="spellEnd"/>
            <w:r w:rsidRPr="00DA6A19">
              <w:rPr>
                <w:rFonts w:cs="Arial"/>
                <w:bCs/>
                <w:color w:val="000000"/>
                <w:sz w:val="18"/>
                <w:szCs w:val="18"/>
                <w:lang w:eastAsia="en-AU"/>
              </w:rPr>
              <w:t xml:space="preserve"> Beni-Abbes Community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9 837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Launceston City Mission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9 680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Launceston Student Workshop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851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Launceston VFC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506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Launceston Women's Shelter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6 446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Life Without Barriers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43 376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Lifeline Hobart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3 379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Lifelink</w:t>
            </w:r>
            <w:proofErr w:type="spellEnd"/>
            <w:r w:rsidRPr="00DA6A19">
              <w:rPr>
                <w:rFonts w:cs="Arial"/>
                <w:bCs/>
                <w:color w:val="000000"/>
                <w:sz w:val="18"/>
                <w:szCs w:val="18"/>
                <w:lang w:eastAsia="en-AU"/>
              </w:rPr>
              <w:t xml:space="preserve"> Samaritans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Lifestyle Solutions (</w:t>
            </w:r>
            <w:proofErr w:type="spellStart"/>
            <w:r w:rsidRPr="00DA6A19">
              <w:rPr>
                <w:rFonts w:cs="Arial"/>
                <w:bCs/>
                <w:color w:val="000000"/>
                <w:sz w:val="18"/>
                <w:szCs w:val="18"/>
                <w:lang w:eastAsia="en-AU"/>
              </w:rPr>
              <w:t>Aust</w:t>
            </w:r>
            <w:proofErr w:type="spellEnd"/>
            <w:r w:rsidRPr="00DA6A19">
              <w:rPr>
                <w:rFonts w:cs="Arial"/>
                <w:bCs/>
                <w:color w:val="000000"/>
                <w:sz w:val="18"/>
                <w:szCs w:val="18"/>
                <w:lang w:eastAsia="en-AU"/>
              </w:rPr>
              <w:t>)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4 448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Liviende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38 336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Maranoa Heights Community Centre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McMillan (Tas)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2 057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Meals on Wheels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1 402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Meercroft</w:t>
            </w:r>
            <w:proofErr w:type="spellEnd"/>
            <w:r w:rsidRPr="00DA6A19">
              <w:rPr>
                <w:rFonts w:cs="Arial"/>
                <w:bCs/>
                <w:color w:val="000000"/>
                <w:sz w:val="18"/>
                <w:szCs w:val="18"/>
                <w:lang w:eastAsia="en-AU"/>
              </w:rPr>
              <w:t xml:space="preserve"> Care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Mental Health Carers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1 503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Mental Health Council of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4 164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Mental Illness Fellowship Victoria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18 791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Menzies Research Institute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4 199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Mersey Community Care Association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1 817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Midway Point Neighbourhood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Migrant Resource Centre (Southern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1 837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Mission Australia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61 272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Montagu Community Living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17 706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Multicap</w:t>
            </w:r>
            <w:proofErr w:type="spellEnd"/>
            <w:r w:rsidRPr="00DA6A19">
              <w:rPr>
                <w:rFonts w:cs="Arial"/>
                <w:bCs/>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50 042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National Disability Services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420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National Stroke Foundation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706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New Horizons Club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852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Nexus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45 801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NILS Network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1 336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North &amp; North West Tasmania Sexual Assault Support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9 780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North West Residential Support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54 482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Northern Occupational Support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9 195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Northern Suburbs Community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3 254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lastRenderedPageBreak/>
              <w:t>Oak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21 047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Okines Community House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Optia</w:t>
            </w:r>
            <w:proofErr w:type="spellEnd"/>
            <w:r w:rsidRPr="00DA6A19">
              <w:rPr>
                <w:rFonts w:cs="Arial"/>
                <w:bCs/>
                <w:color w:val="000000"/>
                <w:sz w:val="18"/>
                <w:szCs w:val="18"/>
                <w:lang w:eastAsia="en-AU"/>
              </w:rPr>
              <w:t xml:space="preserve">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100 410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OzHelp</w:t>
            </w:r>
            <w:proofErr w:type="spellEnd"/>
            <w:r w:rsidRPr="00DA6A19">
              <w:rPr>
                <w:rFonts w:cs="Arial"/>
                <w:bCs/>
                <w:color w:val="000000"/>
                <w:sz w:val="18"/>
                <w:szCs w:val="18"/>
                <w:lang w:eastAsia="en-AU"/>
              </w:rPr>
              <w:t xml:space="preserve"> Tasmania Foundation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490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Paraquad</w:t>
            </w:r>
            <w:proofErr w:type="spellEnd"/>
            <w:r w:rsidRPr="00DA6A19">
              <w:rPr>
                <w:rFonts w:cs="Arial"/>
                <w:bCs/>
                <w:color w:val="000000"/>
                <w:sz w:val="18"/>
                <w:szCs w:val="18"/>
                <w:lang w:eastAsia="en-AU"/>
              </w:rPr>
              <w:t xml:space="preserve">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Pathways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5 190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Phoenix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164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Plane Tree Studio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551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Polish Association in Hobart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Pregnancy Counselling and Support Tas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228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Presbyterian Care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230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Queenstown Police and Citizens Youth Club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1 064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Ravenswood Neighbourhood House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Relationship Counselling and Mediation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2 451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Richmond Fellowship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37 868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Riding for the Disabled Association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Risdon Vale Neighbourhood Centre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Rokeby Neighbourhood Centre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Rosebery Community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Royal District Nursing Service Limited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12 393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Royal Guide Dogs for the Blind Association of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3 421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RPH Print Radio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633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Rural Alive &amp; Well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2 335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Scarlet Alliance-Australian Sex Workers Association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523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Sexual Assault Support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10 805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Shelter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3 115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South East Tasmanian Aboriginal Corporation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195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South Eastern Community Care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3 454</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Speak Out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2 173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Spina Bifida Association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Giles Society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84 346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Helens Community Car Group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Helens Neighbourhood House Association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Johns Ambulance Australia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226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Michaels Association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21 206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St Vincent De Paul Society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644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Support Help and Empowerment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1 820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Supported Tenancy Accommodation and Respite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97 228</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 xml:space="preserve">Susan </w:t>
            </w:r>
            <w:proofErr w:type="spellStart"/>
            <w:r w:rsidRPr="00DA6A19">
              <w:rPr>
                <w:rFonts w:cs="Arial"/>
                <w:bCs/>
                <w:color w:val="000000"/>
                <w:sz w:val="18"/>
                <w:szCs w:val="18"/>
                <w:lang w:eastAsia="en-AU"/>
              </w:rPr>
              <w:t>Kitchenham</w:t>
            </w:r>
            <w:proofErr w:type="spellEnd"/>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215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TADTAS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317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Tandara Lodge Community Care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127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 Independent Nursing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2 066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 Medicare Local Limited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158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lastRenderedPageBreak/>
              <w:t>Tasmanian Aboriginal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3 211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Acquired Brain Injury Services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2 201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Amputee Society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Association of Community Houses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4 585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Association of People with Disabilities and Their Advocates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5 106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Council of Social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7 051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Council on AIDS, Hepatitis and Related Diseases</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3 696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Deaf Society</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3 185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Independent Services Pty Ltd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448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 School Canteen Association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935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Tasmanians with Disabilities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474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Tenants' Union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1 495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Alcohol, Tobacco &amp; Other Drugs Council (Tas)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3 824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Asthma Foundation of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686</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Foster Carers Association of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1 205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Link Youth Health Service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8 224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Multiple Sclerosis Society of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3 989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Parkside Foundation</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18 912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Pharmacy Guild of Australia - Tasmanian Branch</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183</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The Salvation Army</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47 262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 xml:space="preserve">The </w:t>
            </w:r>
            <w:proofErr w:type="spellStart"/>
            <w:r w:rsidRPr="00DA6A19">
              <w:rPr>
                <w:rFonts w:cs="Arial"/>
                <w:bCs/>
                <w:color w:val="000000"/>
                <w:sz w:val="18"/>
                <w:szCs w:val="18"/>
                <w:lang w:eastAsia="en-AU"/>
              </w:rPr>
              <w:t>Sunlea</w:t>
            </w:r>
            <w:proofErr w:type="spellEnd"/>
            <w:r w:rsidRPr="00DA6A19">
              <w:rPr>
                <w:rFonts w:cs="Arial"/>
                <w:bCs/>
                <w:color w:val="000000"/>
                <w:sz w:val="18"/>
                <w:szCs w:val="18"/>
                <w:lang w:eastAsia="en-AU"/>
              </w:rPr>
              <w:t xml:space="preserve"> Team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5 612</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Tresca</w:t>
            </w:r>
            <w:proofErr w:type="spellEnd"/>
            <w:r w:rsidRPr="00DA6A19">
              <w:rPr>
                <w:rFonts w:cs="Arial"/>
                <w:bCs/>
                <w:color w:val="000000"/>
                <w:sz w:val="18"/>
                <w:szCs w:val="18"/>
                <w:lang w:eastAsia="en-AU"/>
              </w:rPr>
              <w:t xml:space="preserve"> Community Centre Committee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UCA Crossroads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Ulverstone Neighbourhood House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 xml:space="preserve">Uniting </w:t>
            </w:r>
            <w:proofErr w:type="spellStart"/>
            <w:r w:rsidRPr="00DA6A19">
              <w:rPr>
                <w:rFonts w:cs="Arial"/>
                <w:bCs/>
                <w:color w:val="000000"/>
                <w:sz w:val="18"/>
                <w:szCs w:val="18"/>
                <w:lang w:eastAsia="en-AU"/>
              </w:rPr>
              <w:t>AgeWell</w:t>
            </w:r>
            <w:proofErr w:type="spellEnd"/>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243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UnitingCare</w:t>
            </w:r>
            <w:proofErr w:type="spellEnd"/>
            <w:r w:rsidRPr="00DA6A19">
              <w:rPr>
                <w:rFonts w:cs="Arial"/>
                <w:bCs/>
                <w:color w:val="000000"/>
                <w:sz w:val="18"/>
                <w:szCs w:val="18"/>
                <w:lang w:eastAsia="en-AU"/>
              </w:rPr>
              <w:t xml:space="preserve">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11 062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University of Tasmania</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824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Veranto</w:t>
            </w:r>
            <w:proofErr w:type="spellEnd"/>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65 613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Voluntary Community Service - Visually Impaired Library</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100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Volunteering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1 483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Warrane Mornington Neighbourhood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Warrawee Committee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6 229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Wattle Group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4 660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West Coast Council</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1 107</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West Moonah Community Action Group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1 238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Westwinds</w:t>
            </w:r>
            <w:proofErr w:type="spellEnd"/>
            <w:r w:rsidRPr="00DA6A19">
              <w:rPr>
                <w:rFonts w:cs="Arial"/>
                <w:bCs/>
                <w:color w:val="000000"/>
                <w:sz w:val="18"/>
                <w:szCs w:val="18"/>
                <w:lang w:eastAsia="en-AU"/>
              </w:rPr>
              <w:t xml:space="preserve"> Community Centre Ass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Whitelion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708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Women's Shelter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6 354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Womensport</w:t>
            </w:r>
            <w:proofErr w:type="spellEnd"/>
            <w:r w:rsidRPr="00DA6A19">
              <w:rPr>
                <w:rFonts w:cs="Arial"/>
                <w:bCs/>
                <w:color w:val="000000"/>
                <w:sz w:val="18"/>
                <w:szCs w:val="18"/>
                <w:lang w:eastAsia="en-AU"/>
              </w:rPr>
              <w:t xml:space="preserve"> &amp; Recreation Tasmania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571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Working It Out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2 501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Wyndarra</w:t>
            </w:r>
            <w:proofErr w:type="spellEnd"/>
            <w:r w:rsidRPr="00DA6A19">
              <w:rPr>
                <w:rFonts w:cs="Arial"/>
                <w:bCs/>
                <w:color w:val="000000"/>
                <w:sz w:val="18"/>
                <w:szCs w:val="18"/>
                <w:lang w:eastAsia="en-AU"/>
              </w:rPr>
              <w:t xml:space="preserve"> Centre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5 159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proofErr w:type="spellStart"/>
            <w:r w:rsidRPr="00DA6A19">
              <w:rPr>
                <w:rFonts w:cs="Arial"/>
                <w:bCs/>
                <w:color w:val="000000"/>
                <w:sz w:val="18"/>
                <w:szCs w:val="18"/>
                <w:lang w:eastAsia="en-AU"/>
              </w:rPr>
              <w:t>Yemaya</w:t>
            </w:r>
            <w:proofErr w:type="spellEnd"/>
            <w:r w:rsidRPr="00DA6A19">
              <w:rPr>
                <w:rFonts w:cs="Arial"/>
                <w:bCs/>
                <w:color w:val="000000"/>
                <w:sz w:val="18"/>
                <w:szCs w:val="18"/>
                <w:lang w:eastAsia="en-AU"/>
              </w:rPr>
              <w:t xml:space="preserve"> Women's Support Service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1 262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Youth Futures Incorporated</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4 761</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lastRenderedPageBreak/>
              <w:t>Youth, Family and Community Connections Inc.</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18 039 </w:t>
            </w:r>
          </w:p>
        </w:tc>
      </w:tr>
      <w:tr w:rsidR="00DA6A19" w:rsidRPr="00DA6A19" w:rsidTr="00937E18">
        <w:trPr>
          <w:gridAfter w:val="1"/>
          <w:wAfter w:w="33" w:type="dxa"/>
          <w:trHeight w:val="315"/>
        </w:trPr>
        <w:tc>
          <w:tcPr>
            <w:tcW w:w="7637" w:type="dxa"/>
            <w:gridSpan w:val="2"/>
            <w:tcBorders>
              <w:top w:val="single" w:sz="4" w:space="0" w:color="808080"/>
              <w:bottom w:val="single" w:sz="4" w:space="0" w:color="808080"/>
              <w:right w:val="nil"/>
            </w:tcBorders>
            <w:shd w:val="clear" w:color="auto" w:fill="auto"/>
            <w:vAlign w:val="bottom"/>
          </w:tcPr>
          <w:p w:rsidR="00DA6A19" w:rsidRPr="00DA6A19" w:rsidRDefault="00DA6A19" w:rsidP="00DA6A19">
            <w:pPr>
              <w:spacing w:before="10" w:after="10" w:line="260" w:lineRule="atLeast"/>
              <w:rPr>
                <w:rFonts w:cs="Arial"/>
                <w:bCs/>
                <w:color w:val="000000"/>
                <w:sz w:val="18"/>
                <w:szCs w:val="18"/>
                <w:lang w:eastAsia="en-AU"/>
              </w:rPr>
            </w:pPr>
            <w:r w:rsidRPr="00DA6A19">
              <w:rPr>
                <w:rFonts w:cs="Arial"/>
                <w:bCs/>
                <w:color w:val="000000"/>
                <w:sz w:val="18"/>
                <w:szCs w:val="18"/>
                <w:lang w:eastAsia="en-AU"/>
              </w:rPr>
              <w:t>Zeehan Neighbourhood Centre</w:t>
            </w:r>
          </w:p>
        </w:tc>
        <w:tc>
          <w:tcPr>
            <w:tcW w:w="1984" w:type="dxa"/>
            <w:tcBorders>
              <w:top w:val="single" w:sz="4" w:space="0" w:color="808080"/>
              <w:left w:val="nil"/>
              <w:bottom w:val="single" w:sz="4" w:space="0" w:color="808080"/>
            </w:tcBorders>
            <w:shd w:val="clear" w:color="auto" w:fill="auto"/>
            <w:vAlign w:val="bottom"/>
          </w:tcPr>
          <w:p w:rsidR="00DA6A19" w:rsidRPr="00DA6A19" w:rsidRDefault="00DA6A19" w:rsidP="00DA6A19">
            <w:pPr>
              <w:spacing w:before="10" w:after="10" w:line="260" w:lineRule="atLeast"/>
              <w:jc w:val="right"/>
              <w:rPr>
                <w:rFonts w:cs="Arial"/>
                <w:bCs/>
                <w:color w:val="000000"/>
                <w:sz w:val="18"/>
                <w:szCs w:val="18"/>
                <w:lang w:eastAsia="en-AU"/>
              </w:rPr>
            </w:pPr>
            <w:r w:rsidRPr="00DA6A19">
              <w:rPr>
                <w:rFonts w:cs="Arial"/>
                <w:bCs/>
                <w:color w:val="000000"/>
                <w:sz w:val="18"/>
                <w:szCs w:val="18"/>
                <w:lang w:eastAsia="en-AU"/>
              </w:rPr>
              <w:t xml:space="preserve">              1 129 </w:t>
            </w:r>
          </w:p>
        </w:tc>
      </w:tr>
      <w:tr w:rsidR="00DA6A19" w:rsidRPr="00DA6A19" w:rsidTr="00937E18">
        <w:trPr>
          <w:gridAfter w:val="1"/>
          <w:wAfter w:w="33" w:type="dxa"/>
          <w:trHeight w:val="315"/>
        </w:trPr>
        <w:tc>
          <w:tcPr>
            <w:tcW w:w="7637" w:type="dxa"/>
            <w:gridSpan w:val="2"/>
            <w:shd w:val="clear" w:color="auto" w:fill="auto"/>
            <w:vAlign w:val="bottom"/>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Sub Total</w:t>
            </w:r>
          </w:p>
        </w:tc>
        <w:tc>
          <w:tcPr>
            <w:tcW w:w="1984" w:type="dxa"/>
            <w:shd w:val="clear" w:color="auto" w:fill="auto"/>
            <w:vAlign w:val="bottom"/>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2 000 000</w:t>
            </w:r>
          </w:p>
        </w:tc>
      </w:tr>
      <w:tr w:rsidR="00DA6A19" w:rsidRPr="00DA6A19" w:rsidTr="00937E18">
        <w:trPr>
          <w:gridAfter w:val="1"/>
          <w:wAfter w:w="33" w:type="dxa"/>
          <w:trHeight w:val="315"/>
        </w:trPr>
        <w:tc>
          <w:tcPr>
            <w:tcW w:w="7637" w:type="dxa"/>
            <w:gridSpan w:val="2"/>
            <w:tcBorders>
              <w:bottom w:val="single" w:sz="4" w:space="0" w:color="auto"/>
            </w:tcBorders>
            <w:shd w:val="clear" w:color="auto" w:fill="auto"/>
            <w:vAlign w:val="bottom"/>
            <w:hideMark/>
          </w:tcPr>
          <w:p w:rsidR="00DA6A19" w:rsidRPr="00DA6A19" w:rsidRDefault="00DA6A19" w:rsidP="00DA6A19">
            <w:pPr>
              <w:spacing w:before="10" w:after="10" w:line="260" w:lineRule="atLeast"/>
              <w:rPr>
                <w:rFonts w:cs="Arial"/>
                <w:b/>
                <w:bCs/>
                <w:color w:val="000000"/>
                <w:sz w:val="18"/>
                <w:szCs w:val="18"/>
                <w:lang w:eastAsia="en-AU"/>
              </w:rPr>
            </w:pPr>
            <w:r w:rsidRPr="00DA6A19">
              <w:rPr>
                <w:rFonts w:cs="Arial"/>
                <w:b/>
                <w:bCs/>
                <w:color w:val="000000"/>
                <w:sz w:val="18"/>
                <w:szCs w:val="18"/>
                <w:lang w:eastAsia="en-AU"/>
              </w:rPr>
              <w:t>Grand Total</w:t>
            </w:r>
          </w:p>
        </w:tc>
        <w:tc>
          <w:tcPr>
            <w:tcW w:w="1984" w:type="dxa"/>
            <w:tcBorders>
              <w:bottom w:val="single" w:sz="4" w:space="0" w:color="auto"/>
            </w:tcBorders>
            <w:shd w:val="clear" w:color="auto" w:fill="auto"/>
            <w:vAlign w:val="bottom"/>
            <w:hideMark/>
          </w:tcPr>
          <w:p w:rsidR="00DA6A19" w:rsidRPr="00DA6A19" w:rsidRDefault="00DA6A19" w:rsidP="00DA6A19">
            <w:pPr>
              <w:spacing w:before="10" w:after="10" w:line="260" w:lineRule="atLeast"/>
              <w:jc w:val="right"/>
              <w:rPr>
                <w:rFonts w:cs="Arial"/>
                <w:b/>
                <w:bCs/>
                <w:color w:val="000000"/>
                <w:sz w:val="18"/>
                <w:szCs w:val="18"/>
                <w:lang w:eastAsia="en-AU"/>
              </w:rPr>
            </w:pPr>
            <w:r w:rsidRPr="00DA6A19">
              <w:rPr>
                <w:rFonts w:cs="Arial"/>
                <w:b/>
                <w:bCs/>
                <w:color w:val="000000"/>
                <w:sz w:val="18"/>
                <w:szCs w:val="18"/>
                <w:lang w:eastAsia="en-AU"/>
              </w:rPr>
              <w:t>262 687 698</w:t>
            </w:r>
          </w:p>
        </w:tc>
      </w:tr>
    </w:tbl>
    <w:p w:rsidR="00691BE5" w:rsidRPr="001B05C8" w:rsidRDefault="00691BE5" w:rsidP="00691BE5"/>
    <w:p w:rsidR="00691BE5" w:rsidRPr="001B05C8" w:rsidRDefault="00691BE5" w:rsidP="00691BE5">
      <w:pPr>
        <w:sectPr w:rsidR="00691BE5" w:rsidRPr="001B05C8" w:rsidSect="00CB41D0">
          <w:type w:val="continuous"/>
          <w:pgSz w:w="11906" w:h="16838" w:code="9"/>
          <w:pgMar w:top="907" w:right="1134" w:bottom="720" w:left="1134" w:header="709" w:footer="709" w:gutter="0"/>
          <w:cols w:space="708"/>
          <w:docGrid w:linePitch="360"/>
        </w:sectPr>
      </w:pPr>
    </w:p>
    <w:p w:rsidR="00691BE5" w:rsidRPr="000D5F7F" w:rsidRDefault="00691BE5" w:rsidP="000D5F7F">
      <w:pPr>
        <w:pStyle w:val="Heading1"/>
      </w:pPr>
      <w:bookmarkStart w:id="15" w:name="_Toc430351452"/>
      <w:r w:rsidRPr="000D5F7F">
        <w:lastRenderedPageBreak/>
        <w:t>Climate Change</w:t>
      </w:r>
      <w:bookmarkEnd w:id="15"/>
    </w:p>
    <w:p w:rsidR="0027276B" w:rsidRPr="001B05C8" w:rsidRDefault="0027276B" w:rsidP="0027276B">
      <w:pPr>
        <w:pStyle w:val="Default"/>
        <w:spacing w:after="140"/>
        <w:rPr>
          <w:rFonts w:ascii="GillSans Light" w:hAnsi="GillSans Light"/>
          <w:b/>
          <w:bCs/>
          <w:sz w:val="23"/>
          <w:szCs w:val="23"/>
        </w:rPr>
        <w:sectPr w:rsidR="0027276B" w:rsidRPr="001B05C8" w:rsidSect="00CB41D0">
          <w:pgSz w:w="11906" w:h="16838" w:code="9"/>
          <w:pgMar w:top="907" w:right="1134" w:bottom="720" w:left="1134" w:header="709" w:footer="709" w:gutter="0"/>
          <w:cols w:space="708"/>
          <w:docGrid w:linePitch="360"/>
        </w:sectPr>
      </w:pPr>
    </w:p>
    <w:p w:rsidR="0027276B" w:rsidRPr="001B05C8" w:rsidRDefault="0027276B" w:rsidP="000D5F7F">
      <w:pPr>
        <w:pStyle w:val="Heading4"/>
      </w:pPr>
      <w:r w:rsidRPr="001B05C8">
        <w:lastRenderedPageBreak/>
        <w:t>Commitment to Re</w:t>
      </w:r>
      <w:r w:rsidR="000D5F7F">
        <w:t>ducing Greenhouse Gas Emissions</w:t>
      </w:r>
    </w:p>
    <w:p w:rsidR="0027276B" w:rsidRPr="001B05C8" w:rsidRDefault="0027276B" w:rsidP="0027276B">
      <w:pPr>
        <w:pStyle w:val="Default"/>
        <w:spacing w:after="140"/>
        <w:rPr>
          <w:rFonts w:ascii="GillSans Light" w:hAnsi="GillSans Light"/>
          <w:sz w:val="22"/>
          <w:szCs w:val="22"/>
        </w:rPr>
      </w:pPr>
      <w:r w:rsidRPr="001B05C8">
        <w:rPr>
          <w:rFonts w:ascii="GillSans Light" w:hAnsi="GillSans Light"/>
          <w:sz w:val="22"/>
          <w:szCs w:val="22"/>
        </w:rPr>
        <w:t>The Department of Health and Human Services mak</w:t>
      </w:r>
      <w:r w:rsidR="00C222F0">
        <w:rPr>
          <w:rFonts w:ascii="GillSans Light" w:hAnsi="GillSans Light"/>
          <w:sz w:val="22"/>
          <w:szCs w:val="22"/>
        </w:rPr>
        <w:t>es</w:t>
      </w:r>
      <w:r w:rsidRPr="001B05C8">
        <w:rPr>
          <w:rFonts w:ascii="GillSans Light" w:hAnsi="GillSans Light"/>
          <w:sz w:val="22"/>
          <w:szCs w:val="22"/>
        </w:rPr>
        <w:t xml:space="preserve"> a proportional contribution toward Tasmania’s greenhouse gas emissions reduction goals.</w:t>
      </w:r>
    </w:p>
    <w:p w:rsidR="0027276B" w:rsidRPr="001B05C8" w:rsidRDefault="0027276B" w:rsidP="000D5F7F">
      <w:pPr>
        <w:pStyle w:val="Heading4"/>
      </w:pPr>
      <w:r w:rsidRPr="001B05C8">
        <w:lastRenderedPageBreak/>
        <w:t xml:space="preserve">Greenhouse Gas Emissions </w:t>
      </w:r>
    </w:p>
    <w:p w:rsidR="0027276B" w:rsidRPr="001B05C8" w:rsidRDefault="0027276B" w:rsidP="0027276B">
      <w:pPr>
        <w:pStyle w:val="Default"/>
        <w:spacing w:after="140"/>
        <w:rPr>
          <w:rFonts w:ascii="GillSans Light" w:hAnsi="GillSans Light"/>
          <w:sz w:val="22"/>
          <w:szCs w:val="22"/>
        </w:rPr>
      </w:pPr>
      <w:r w:rsidRPr="001B05C8">
        <w:rPr>
          <w:rFonts w:ascii="GillSans Light" w:hAnsi="GillSans Light"/>
          <w:sz w:val="22"/>
          <w:szCs w:val="22"/>
        </w:rPr>
        <w:t>Greenhouse gas emissions during the financial year 2014-</w:t>
      </w:r>
      <w:r w:rsidR="000D5F7F">
        <w:rPr>
          <w:rFonts w:ascii="GillSans Light" w:hAnsi="GillSans Light"/>
          <w:sz w:val="22"/>
          <w:szCs w:val="22"/>
        </w:rPr>
        <w:t>15 was 25 </w:t>
      </w:r>
      <w:r w:rsidRPr="001B05C8">
        <w:rPr>
          <w:rFonts w:ascii="GillSans Light" w:hAnsi="GillSans Light"/>
          <w:sz w:val="22"/>
          <w:szCs w:val="22"/>
        </w:rPr>
        <w:t>092 tonnes of carbon dioxide equivalent (tCO</w:t>
      </w:r>
      <w:r w:rsidRPr="001B05C8">
        <w:rPr>
          <w:rFonts w:ascii="GillSans Light" w:hAnsi="GillSans Light"/>
          <w:vertAlign w:val="subscript"/>
        </w:rPr>
        <w:t>2-e</w:t>
      </w:r>
      <w:r w:rsidRPr="001B05C8">
        <w:rPr>
          <w:rFonts w:ascii="GillSans Light" w:hAnsi="GillSans Light"/>
          <w:sz w:val="22"/>
          <w:szCs w:val="22"/>
        </w:rPr>
        <w:t xml:space="preserve">) for </w:t>
      </w:r>
      <w:r w:rsidR="000D5F7F">
        <w:rPr>
          <w:rFonts w:ascii="GillSans Light" w:hAnsi="GillSans Light"/>
          <w:sz w:val="22"/>
          <w:szCs w:val="22"/>
        </w:rPr>
        <w:t>DHHS</w:t>
      </w:r>
      <w:r w:rsidR="004966D5">
        <w:rPr>
          <w:rFonts w:ascii="GillSans Light" w:hAnsi="GillSans Light"/>
          <w:sz w:val="22"/>
          <w:szCs w:val="22"/>
        </w:rPr>
        <w:t xml:space="preserve"> including the THOs</w:t>
      </w:r>
      <w:r w:rsidRPr="001B05C8">
        <w:rPr>
          <w:rFonts w:ascii="GillSans Light" w:hAnsi="GillSans Light"/>
          <w:sz w:val="22"/>
          <w:szCs w:val="22"/>
        </w:rPr>
        <w:t xml:space="preserve"> and excluding social housing, as set out in the table below.</w:t>
      </w:r>
    </w:p>
    <w:p w:rsidR="0027276B" w:rsidRPr="001B05C8" w:rsidRDefault="0027276B" w:rsidP="0027276B">
      <w:pPr>
        <w:pStyle w:val="Default"/>
        <w:spacing w:after="140"/>
        <w:rPr>
          <w:rFonts w:ascii="GillSans Light" w:hAnsi="GillSans Light"/>
          <w:sz w:val="22"/>
          <w:szCs w:val="22"/>
        </w:rPr>
        <w:sectPr w:rsidR="0027276B" w:rsidRPr="001B05C8" w:rsidSect="00CB41D0">
          <w:type w:val="continuous"/>
          <w:pgSz w:w="11906" w:h="16838" w:code="9"/>
          <w:pgMar w:top="907" w:right="1134" w:bottom="720" w:left="1134" w:header="709" w:footer="709" w:gutter="0"/>
          <w:cols w:num="2" w:space="708"/>
          <w:docGrid w:linePitch="360"/>
        </w:sectPr>
      </w:pPr>
    </w:p>
    <w:p w:rsidR="0027276B" w:rsidRPr="004E453D" w:rsidRDefault="0027276B" w:rsidP="000D5F7F">
      <w:pPr>
        <w:pStyle w:val="Heading3"/>
        <w:rPr>
          <w:sz w:val="24"/>
          <w:szCs w:val="24"/>
        </w:rPr>
      </w:pPr>
      <w:r w:rsidRPr="004E453D">
        <w:rPr>
          <w:sz w:val="24"/>
          <w:szCs w:val="24"/>
        </w:rPr>
        <w:lastRenderedPageBreak/>
        <w:t>Total DHHS and THO emissions excluding social housing</w:t>
      </w:r>
    </w:p>
    <w:tbl>
      <w:tblPr>
        <w:tblW w:w="9376" w:type="dxa"/>
        <w:jc w:val="center"/>
        <w:tblInd w:w="-324" w:type="dxa"/>
        <w:tblBorders>
          <w:insideH w:val="single" w:sz="4" w:space="0" w:color="808080"/>
        </w:tblBorders>
        <w:tblLook w:val="04A0" w:firstRow="1" w:lastRow="0" w:firstColumn="1" w:lastColumn="0" w:noHBand="0" w:noVBand="1"/>
      </w:tblPr>
      <w:tblGrid>
        <w:gridCol w:w="417"/>
        <w:gridCol w:w="1866"/>
        <w:gridCol w:w="417"/>
        <w:gridCol w:w="1284"/>
        <w:gridCol w:w="1843"/>
        <w:gridCol w:w="417"/>
        <w:gridCol w:w="1142"/>
        <w:gridCol w:w="1990"/>
      </w:tblGrid>
      <w:tr w:rsidR="0027276B" w:rsidRPr="00587CA7" w:rsidTr="000F1905">
        <w:trPr>
          <w:gridBefore w:val="1"/>
          <w:wBefore w:w="417" w:type="dxa"/>
          <w:trHeight w:val="525"/>
          <w:jc w:val="center"/>
        </w:trPr>
        <w:tc>
          <w:tcPr>
            <w:tcW w:w="2283" w:type="dxa"/>
            <w:gridSpan w:val="2"/>
            <w:shd w:val="clear" w:color="auto" w:fill="auto"/>
            <w:vAlign w:val="center"/>
            <w:hideMark/>
          </w:tcPr>
          <w:p w:rsidR="0027276B" w:rsidRPr="00587CA7" w:rsidRDefault="0027276B" w:rsidP="00AA53A4">
            <w:pPr>
              <w:rPr>
                <w:rFonts w:cs="Calibri"/>
                <w:b/>
                <w:color w:val="000000"/>
              </w:rPr>
            </w:pPr>
            <w:r w:rsidRPr="00587CA7">
              <w:rPr>
                <w:rFonts w:cs="Calibri"/>
                <w:b/>
                <w:color w:val="000000"/>
              </w:rPr>
              <w:t> </w:t>
            </w:r>
          </w:p>
        </w:tc>
        <w:tc>
          <w:tcPr>
            <w:tcW w:w="3544" w:type="dxa"/>
            <w:gridSpan w:val="3"/>
            <w:shd w:val="clear" w:color="auto" w:fill="auto"/>
            <w:vAlign w:val="center"/>
            <w:hideMark/>
          </w:tcPr>
          <w:p w:rsidR="0027276B" w:rsidRPr="000F1905" w:rsidRDefault="0027276B" w:rsidP="000D5F7F">
            <w:pPr>
              <w:jc w:val="center"/>
              <w:rPr>
                <w:rFonts w:cs="Calibri"/>
                <w:b/>
                <w:bCs/>
                <w:color w:val="000000"/>
                <w:sz w:val="20"/>
                <w:szCs w:val="20"/>
              </w:rPr>
            </w:pPr>
            <w:r w:rsidRPr="000F1905">
              <w:rPr>
                <w:rFonts w:cs="Calibri"/>
                <w:b/>
                <w:bCs/>
                <w:color w:val="000000"/>
                <w:sz w:val="20"/>
                <w:szCs w:val="20"/>
              </w:rPr>
              <w:t>Current Position 2014-15</w:t>
            </w:r>
          </w:p>
        </w:tc>
        <w:tc>
          <w:tcPr>
            <w:tcW w:w="3132" w:type="dxa"/>
            <w:gridSpan w:val="2"/>
            <w:shd w:val="clear" w:color="auto" w:fill="auto"/>
            <w:vAlign w:val="center"/>
            <w:hideMark/>
          </w:tcPr>
          <w:p w:rsidR="0027276B" w:rsidRPr="000F1905" w:rsidRDefault="0027276B" w:rsidP="000F1905">
            <w:pPr>
              <w:tabs>
                <w:tab w:val="clear" w:pos="567"/>
              </w:tabs>
              <w:ind w:right="-99"/>
              <w:jc w:val="right"/>
              <w:rPr>
                <w:rFonts w:cs="Calibri"/>
                <w:b/>
                <w:color w:val="000000"/>
                <w:sz w:val="20"/>
                <w:szCs w:val="20"/>
              </w:rPr>
            </w:pPr>
            <w:r w:rsidRPr="000F1905">
              <w:rPr>
                <w:rFonts w:cs="Calibri"/>
                <w:b/>
                <w:color w:val="000000"/>
                <w:sz w:val="20"/>
                <w:szCs w:val="20"/>
              </w:rPr>
              <w:t>Previous Position 2013-14</w:t>
            </w:r>
          </w:p>
        </w:tc>
      </w:tr>
      <w:tr w:rsidR="0027276B" w:rsidRPr="001B05C8" w:rsidTr="000F1905">
        <w:trPr>
          <w:trHeight w:val="390"/>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Activity</w:t>
            </w:r>
          </w:p>
        </w:tc>
        <w:tc>
          <w:tcPr>
            <w:tcW w:w="1701" w:type="dxa"/>
            <w:gridSpan w:val="2"/>
            <w:shd w:val="clear" w:color="auto" w:fill="auto"/>
            <w:vAlign w:val="center"/>
            <w:hideMark/>
          </w:tcPr>
          <w:p w:rsidR="0027276B" w:rsidRPr="001B05C8" w:rsidRDefault="0027276B" w:rsidP="00587CA7">
            <w:pPr>
              <w:pStyle w:val="Table-AnnualReport"/>
              <w:spacing w:before="60" w:line="240" w:lineRule="auto"/>
              <w:ind w:right="-45"/>
              <w:jc w:val="right"/>
            </w:pPr>
            <w:r w:rsidRPr="001B05C8">
              <w:t>Volume</w:t>
            </w:r>
          </w:p>
        </w:tc>
        <w:tc>
          <w:tcPr>
            <w:tcW w:w="1843" w:type="dxa"/>
            <w:shd w:val="clear" w:color="auto" w:fill="auto"/>
            <w:vAlign w:val="center"/>
            <w:hideMark/>
          </w:tcPr>
          <w:p w:rsidR="0027276B" w:rsidRPr="001B05C8" w:rsidRDefault="0027276B" w:rsidP="00587CA7">
            <w:pPr>
              <w:pStyle w:val="Table-AnnualReport"/>
              <w:spacing w:before="60" w:line="240" w:lineRule="auto"/>
              <w:ind w:right="-45"/>
              <w:jc w:val="right"/>
            </w:pPr>
            <w:r w:rsidRPr="001B05C8">
              <w:t>tCO</w:t>
            </w:r>
            <w:r w:rsidRPr="001B05C8">
              <w:rPr>
                <w:vertAlign w:val="subscript"/>
              </w:rPr>
              <w:t>2-e</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Volume</w:t>
            </w:r>
          </w:p>
        </w:tc>
        <w:tc>
          <w:tcPr>
            <w:tcW w:w="1990" w:type="dxa"/>
            <w:shd w:val="clear" w:color="auto" w:fill="auto"/>
            <w:vAlign w:val="center"/>
            <w:hideMark/>
          </w:tcPr>
          <w:p w:rsidR="0027276B" w:rsidRPr="001B05C8" w:rsidRDefault="0027276B" w:rsidP="000F1905">
            <w:pPr>
              <w:pStyle w:val="Table-AnnualReport"/>
              <w:spacing w:before="60" w:line="240" w:lineRule="auto"/>
              <w:ind w:right="-45"/>
              <w:jc w:val="right"/>
            </w:pPr>
            <w:r w:rsidRPr="001B05C8">
              <w:t>tCO</w:t>
            </w:r>
            <w:r w:rsidRPr="001B05C8">
              <w:rPr>
                <w:vertAlign w:val="subscript"/>
              </w:rPr>
              <w:t>2-e</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 xml:space="preserve">Electricity </w:t>
            </w:r>
          </w:p>
        </w:tc>
        <w:tc>
          <w:tcPr>
            <w:tcW w:w="1701" w:type="dxa"/>
            <w:gridSpan w:val="2"/>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 xml:space="preserve">65.4 </w:t>
            </w:r>
            <w:proofErr w:type="spellStart"/>
            <w:r w:rsidRPr="001B05C8">
              <w:t>GWh</w:t>
            </w:r>
            <w:proofErr w:type="spellEnd"/>
          </w:p>
        </w:tc>
        <w:tc>
          <w:tcPr>
            <w:tcW w:w="1843" w:type="dxa"/>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13</w:t>
            </w:r>
            <w:r w:rsidR="004E453D">
              <w:t xml:space="preserve"> </w:t>
            </w:r>
            <w:r w:rsidRPr="001B05C8">
              <w:t>081</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 xml:space="preserve">62.6 </w:t>
            </w:r>
            <w:proofErr w:type="spellStart"/>
            <w:r w:rsidRPr="001B05C8">
              <w:t>GWh</w:t>
            </w:r>
            <w:proofErr w:type="spellEnd"/>
          </w:p>
        </w:tc>
        <w:tc>
          <w:tcPr>
            <w:tcW w:w="1990" w:type="dxa"/>
            <w:shd w:val="clear" w:color="auto" w:fill="auto"/>
            <w:noWrap/>
            <w:vAlign w:val="bottom"/>
            <w:hideMark/>
          </w:tcPr>
          <w:p w:rsidR="0027276B" w:rsidRPr="001B05C8" w:rsidRDefault="0027276B" w:rsidP="000F1905">
            <w:pPr>
              <w:pStyle w:val="Table-AnnualReport"/>
              <w:spacing w:before="60" w:line="240" w:lineRule="auto"/>
              <w:ind w:right="-45"/>
              <w:jc w:val="right"/>
            </w:pPr>
            <w:r w:rsidRPr="001B05C8">
              <w:t>14</w:t>
            </w:r>
            <w:r w:rsidR="004E453D">
              <w:t xml:space="preserve"> </w:t>
            </w:r>
            <w:r w:rsidRPr="001B05C8">
              <w:t>398</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Natural Gas</w:t>
            </w:r>
          </w:p>
        </w:tc>
        <w:tc>
          <w:tcPr>
            <w:tcW w:w="1701" w:type="dxa"/>
            <w:gridSpan w:val="2"/>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135</w:t>
            </w:r>
            <w:r w:rsidR="004E453D">
              <w:t xml:space="preserve"> </w:t>
            </w:r>
            <w:r w:rsidRPr="001B05C8">
              <w:t>544 GJ</w:t>
            </w:r>
          </w:p>
        </w:tc>
        <w:tc>
          <w:tcPr>
            <w:tcW w:w="1843" w:type="dxa"/>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6</w:t>
            </w:r>
            <w:r w:rsidR="004E453D">
              <w:t xml:space="preserve"> </w:t>
            </w:r>
            <w:r w:rsidRPr="001B05C8">
              <w:t>940</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146 828 GJ</w:t>
            </w:r>
          </w:p>
        </w:tc>
        <w:tc>
          <w:tcPr>
            <w:tcW w:w="1990" w:type="dxa"/>
            <w:shd w:val="clear" w:color="auto" w:fill="auto"/>
            <w:noWrap/>
            <w:vAlign w:val="bottom"/>
            <w:hideMark/>
          </w:tcPr>
          <w:p w:rsidR="0027276B" w:rsidRPr="001B05C8" w:rsidRDefault="0027276B" w:rsidP="000F1905">
            <w:pPr>
              <w:pStyle w:val="Table-AnnualReport"/>
              <w:spacing w:before="60" w:line="240" w:lineRule="auto"/>
              <w:ind w:right="-45"/>
              <w:jc w:val="right"/>
            </w:pPr>
            <w:r w:rsidRPr="001B05C8">
              <w:t>7537</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Unleaded Petrol</w:t>
            </w:r>
          </w:p>
        </w:tc>
        <w:tc>
          <w:tcPr>
            <w:tcW w:w="1701" w:type="dxa"/>
            <w:gridSpan w:val="2"/>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 xml:space="preserve">1069 </w:t>
            </w:r>
            <w:proofErr w:type="spellStart"/>
            <w:r w:rsidRPr="001B05C8">
              <w:t>kL</w:t>
            </w:r>
            <w:proofErr w:type="spellEnd"/>
          </w:p>
        </w:tc>
        <w:tc>
          <w:tcPr>
            <w:tcW w:w="1843" w:type="dxa"/>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2</w:t>
            </w:r>
            <w:r w:rsidR="004E453D">
              <w:t xml:space="preserve"> </w:t>
            </w:r>
            <w:r w:rsidRPr="001B05C8">
              <w:t>441</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 xml:space="preserve">1 246 </w:t>
            </w:r>
            <w:proofErr w:type="spellStart"/>
            <w:r w:rsidRPr="001B05C8">
              <w:t>kL</w:t>
            </w:r>
            <w:proofErr w:type="spellEnd"/>
          </w:p>
        </w:tc>
        <w:tc>
          <w:tcPr>
            <w:tcW w:w="1990" w:type="dxa"/>
            <w:shd w:val="clear" w:color="auto" w:fill="auto"/>
            <w:noWrap/>
            <w:vAlign w:val="bottom"/>
            <w:hideMark/>
          </w:tcPr>
          <w:p w:rsidR="0027276B" w:rsidRPr="001B05C8" w:rsidRDefault="0027276B" w:rsidP="000F1905">
            <w:pPr>
              <w:pStyle w:val="Table-AnnualReport"/>
              <w:spacing w:before="60" w:line="240" w:lineRule="auto"/>
              <w:ind w:right="-45"/>
              <w:jc w:val="right"/>
            </w:pPr>
            <w:r w:rsidRPr="001B05C8">
              <w:t>2</w:t>
            </w:r>
            <w:r w:rsidR="004E453D">
              <w:t xml:space="preserve"> </w:t>
            </w:r>
            <w:r w:rsidRPr="001B05C8">
              <w:t>965</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Diesel Fuel</w:t>
            </w:r>
          </w:p>
        </w:tc>
        <w:tc>
          <w:tcPr>
            <w:tcW w:w="1701" w:type="dxa"/>
            <w:gridSpan w:val="2"/>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 xml:space="preserve">538 </w:t>
            </w:r>
            <w:proofErr w:type="spellStart"/>
            <w:r w:rsidRPr="001B05C8">
              <w:t>kL</w:t>
            </w:r>
            <w:proofErr w:type="spellEnd"/>
          </w:p>
        </w:tc>
        <w:tc>
          <w:tcPr>
            <w:tcW w:w="1843" w:type="dxa"/>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1</w:t>
            </w:r>
            <w:r w:rsidR="004E453D">
              <w:t xml:space="preserve"> </w:t>
            </w:r>
            <w:r w:rsidRPr="001B05C8">
              <w:t>436</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 xml:space="preserve">995 </w:t>
            </w:r>
            <w:proofErr w:type="spellStart"/>
            <w:r w:rsidRPr="001B05C8">
              <w:t>kL</w:t>
            </w:r>
            <w:proofErr w:type="spellEnd"/>
          </w:p>
        </w:tc>
        <w:tc>
          <w:tcPr>
            <w:tcW w:w="1990" w:type="dxa"/>
            <w:shd w:val="clear" w:color="auto" w:fill="auto"/>
            <w:noWrap/>
            <w:vAlign w:val="bottom"/>
            <w:hideMark/>
          </w:tcPr>
          <w:p w:rsidR="0027276B" w:rsidRPr="001B05C8" w:rsidRDefault="0027276B" w:rsidP="000F1905">
            <w:pPr>
              <w:pStyle w:val="Table-AnnualReport"/>
              <w:spacing w:before="60" w:line="240" w:lineRule="auto"/>
              <w:ind w:right="-45"/>
              <w:jc w:val="right"/>
            </w:pPr>
            <w:r w:rsidRPr="001B05C8">
              <w:t>2</w:t>
            </w:r>
            <w:r w:rsidR="004E453D">
              <w:t xml:space="preserve"> </w:t>
            </w:r>
            <w:r w:rsidRPr="001B05C8">
              <w:t>685</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27276B" w:rsidP="00587CA7">
            <w:pPr>
              <w:pStyle w:val="Table-AnnualReport"/>
              <w:spacing w:before="60" w:line="240" w:lineRule="auto"/>
              <w:ind w:right="-45"/>
            </w:pPr>
            <w:r w:rsidRPr="001B05C8">
              <w:t>Air Travel</w:t>
            </w:r>
          </w:p>
        </w:tc>
        <w:tc>
          <w:tcPr>
            <w:tcW w:w="1701" w:type="dxa"/>
            <w:gridSpan w:val="2"/>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7.54 million km</w:t>
            </w:r>
          </w:p>
        </w:tc>
        <w:tc>
          <w:tcPr>
            <w:tcW w:w="1843" w:type="dxa"/>
            <w:shd w:val="clear" w:color="auto" w:fill="auto"/>
            <w:noWrap/>
            <w:vAlign w:val="bottom"/>
            <w:hideMark/>
          </w:tcPr>
          <w:p w:rsidR="0027276B" w:rsidRPr="001B05C8" w:rsidRDefault="0027276B" w:rsidP="00587CA7">
            <w:pPr>
              <w:pStyle w:val="Table-AnnualReport"/>
              <w:spacing w:before="60" w:line="240" w:lineRule="auto"/>
              <w:ind w:right="-45"/>
              <w:jc w:val="right"/>
            </w:pPr>
            <w:r w:rsidRPr="001B05C8">
              <w:t>1</w:t>
            </w:r>
            <w:r w:rsidR="004E453D">
              <w:t xml:space="preserve"> </w:t>
            </w:r>
            <w:r w:rsidRPr="001B05C8">
              <w:t>194</w:t>
            </w:r>
          </w:p>
        </w:tc>
        <w:tc>
          <w:tcPr>
            <w:tcW w:w="1559" w:type="dxa"/>
            <w:gridSpan w:val="2"/>
            <w:shd w:val="clear" w:color="auto" w:fill="auto"/>
            <w:vAlign w:val="center"/>
            <w:hideMark/>
          </w:tcPr>
          <w:p w:rsidR="0027276B" w:rsidRPr="001B05C8" w:rsidRDefault="0027276B" w:rsidP="000F1905">
            <w:pPr>
              <w:pStyle w:val="Table-AnnualReport"/>
              <w:spacing w:before="60" w:line="240" w:lineRule="auto"/>
              <w:ind w:right="-45"/>
              <w:jc w:val="right"/>
            </w:pPr>
            <w:r w:rsidRPr="001B05C8">
              <w:t>7.1 million km</w:t>
            </w:r>
          </w:p>
        </w:tc>
        <w:tc>
          <w:tcPr>
            <w:tcW w:w="1990" w:type="dxa"/>
            <w:shd w:val="clear" w:color="auto" w:fill="auto"/>
            <w:noWrap/>
            <w:vAlign w:val="bottom"/>
            <w:hideMark/>
          </w:tcPr>
          <w:p w:rsidR="0027276B" w:rsidRPr="001B05C8" w:rsidRDefault="0027276B" w:rsidP="000F1905">
            <w:pPr>
              <w:pStyle w:val="Table-AnnualReport"/>
              <w:spacing w:before="60" w:line="240" w:lineRule="auto"/>
              <w:ind w:right="-45"/>
              <w:jc w:val="right"/>
            </w:pPr>
            <w:r w:rsidRPr="001B05C8">
              <w:t>1</w:t>
            </w:r>
            <w:r w:rsidR="004E453D">
              <w:t xml:space="preserve"> </w:t>
            </w:r>
            <w:r w:rsidRPr="001B05C8">
              <w:t>123</w:t>
            </w:r>
          </w:p>
        </w:tc>
      </w:tr>
      <w:tr w:rsidR="0027276B" w:rsidRPr="001B05C8" w:rsidTr="000F1905">
        <w:trPr>
          <w:trHeight w:val="345"/>
          <w:jc w:val="center"/>
        </w:trPr>
        <w:tc>
          <w:tcPr>
            <w:tcW w:w="2283" w:type="dxa"/>
            <w:gridSpan w:val="2"/>
            <w:shd w:val="clear" w:color="auto" w:fill="auto"/>
            <w:vAlign w:val="center"/>
            <w:hideMark/>
          </w:tcPr>
          <w:p w:rsidR="0027276B" w:rsidRPr="001B05C8" w:rsidRDefault="00B85FC0" w:rsidP="00587CA7">
            <w:pPr>
              <w:pStyle w:val="Table-AnnualReport"/>
              <w:spacing w:before="60" w:line="240" w:lineRule="auto"/>
              <w:ind w:right="-45"/>
              <w:rPr>
                <w:b/>
              </w:rPr>
            </w:pPr>
            <w:r>
              <w:rPr>
                <w:b/>
              </w:rPr>
              <w:t>Total</w:t>
            </w:r>
          </w:p>
        </w:tc>
        <w:tc>
          <w:tcPr>
            <w:tcW w:w="1701" w:type="dxa"/>
            <w:gridSpan w:val="2"/>
            <w:shd w:val="clear" w:color="auto" w:fill="auto"/>
            <w:vAlign w:val="center"/>
            <w:hideMark/>
          </w:tcPr>
          <w:p w:rsidR="0027276B" w:rsidRPr="001B05C8" w:rsidRDefault="0027276B" w:rsidP="00587CA7">
            <w:pPr>
              <w:pStyle w:val="Table-AnnualReport"/>
              <w:spacing w:before="60" w:line="240" w:lineRule="auto"/>
              <w:ind w:right="-45"/>
              <w:jc w:val="right"/>
              <w:rPr>
                <w:b/>
              </w:rPr>
            </w:pPr>
            <w:r w:rsidRPr="001B05C8">
              <w:rPr>
                <w:b/>
              </w:rPr>
              <w:t> </w:t>
            </w:r>
          </w:p>
        </w:tc>
        <w:tc>
          <w:tcPr>
            <w:tcW w:w="1843" w:type="dxa"/>
            <w:shd w:val="clear" w:color="auto" w:fill="auto"/>
            <w:vAlign w:val="center"/>
            <w:hideMark/>
          </w:tcPr>
          <w:p w:rsidR="0027276B" w:rsidRPr="001B05C8" w:rsidRDefault="0027276B" w:rsidP="00587CA7">
            <w:pPr>
              <w:pStyle w:val="Table-AnnualReport"/>
              <w:spacing w:before="60" w:line="240" w:lineRule="auto"/>
              <w:ind w:right="-45"/>
              <w:jc w:val="right"/>
              <w:rPr>
                <w:b/>
              </w:rPr>
            </w:pPr>
            <w:r w:rsidRPr="001B05C8">
              <w:rPr>
                <w:b/>
              </w:rPr>
              <w:t>25</w:t>
            </w:r>
            <w:r w:rsidR="004E453D">
              <w:rPr>
                <w:b/>
              </w:rPr>
              <w:t xml:space="preserve"> </w:t>
            </w:r>
            <w:r w:rsidRPr="001B05C8">
              <w:rPr>
                <w:b/>
              </w:rPr>
              <w:t>092</w:t>
            </w:r>
          </w:p>
        </w:tc>
        <w:tc>
          <w:tcPr>
            <w:tcW w:w="1559" w:type="dxa"/>
            <w:gridSpan w:val="2"/>
            <w:shd w:val="clear" w:color="auto" w:fill="auto"/>
            <w:vAlign w:val="center"/>
            <w:hideMark/>
          </w:tcPr>
          <w:p w:rsidR="0027276B" w:rsidRPr="001B05C8" w:rsidRDefault="0027276B" w:rsidP="00587CA7">
            <w:pPr>
              <w:pStyle w:val="Table-AnnualReport"/>
              <w:spacing w:before="60" w:line="240" w:lineRule="auto"/>
              <w:ind w:right="-45"/>
              <w:jc w:val="right"/>
              <w:rPr>
                <w:b/>
              </w:rPr>
            </w:pPr>
            <w:r w:rsidRPr="001B05C8">
              <w:rPr>
                <w:b/>
              </w:rPr>
              <w:t> </w:t>
            </w:r>
          </w:p>
        </w:tc>
        <w:tc>
          <w:tcPr>
            <w:tcW w:w="1990" w:type="dxa"/>
            <w:shd w:val="clear" w:color="auto" w:fill="auto"/>
            <w:noWrap/>
            <w:vAlign w:val="center"/>
            <w:hideMark/>
          </w:tcPr>
          <w:p w:rsidR="0027276B" w:rsidRPr="001B05C8" w:rsidRDefault="0027276B" w:rsidP="00D075E5">
            <w:pPr>
              <w:pStyle w:val="Table-AnnualReport"/>
              <w:tabs>
                <w:tab w:val="clear" w:pos="567"/>
              </w:tabs>
              <w:spacing w:before="60" w:line="240" w:lineRule="auto"/>
              <w:ind w:right="-45"/>
              <w:jc w:val="right"/>
              <w:rPr>
                <w:b/>
              </w:rPr>
            </w:pPr>
            <w:r w:rsidRPr="001B05C8">
              <w:rPr>
                <w:b/>
              </w:rPr>
              <w:t>28</w:t>
            </w:r>
            <w:r w:rsidR="004E453D">
              <w:rPr>
                <w:b/>
              </w:rPr>
              <w:t xml:space="preserve"> </w:t>
            </w:r>
            <w:r w:rsidRPr="001B05C8">
              <w:rPr>
                <w:b/>
              </w:rPr>
              <w:t>708</w:t>
            </w:r>
          </w:p>
        </w:tc>
      </w:tr>
    </w:tbl>
    <w:p w:rsidR="0027276B" w:rsidRPr="001B05C8" w:rsidRDefault="0027276B" w:rsidP="0027276B">
      <w:pPr>
        <w:pStyle w:val="Default"/>
        <w:spacing w:before="140" w:after="140"/>
        <w:rPr>
          <w:rFonts w:ascii="GillSans Light" w:hAnsi="GillSans Light"/>
          <w:sz w:val="22"/>
          <w:szCs w:val="22"/>
        </w:rPr>
        <w:sectPr w:rsidR="0027276B" w:rsidRPr="001B05C8" w:rsidSect="00CB41D0">
          <w:type w:val="continuous"/>
          <w:pgSz w:w="11906" w:h="16838" w:code="9"/>
          <w:pgMar w:top="907" w:right="1134" w:bottom="720" w:left="1134" w:header="709" w:footer="709" w:gutter="0"/>
          <w:cols w:space="708"/>
          <w:docGrid w:linePitch="360"/>
        </w:sectPr>
      </w:pPr>
    </w:p>
    <w:p w:rsidR="00E75FAD" w:rsidRDefault="00E75FAD" w:rsidP="00587CA7">
      <w:pPr>
        <w:pStyle w:val="Default"/>
        <w:spacing w:before="200" w:after="140"/>
        <w:rPr>
          <w:rFonts w:ascii="GillSans Light" w:hAnsi="GillSans Light"/>
          <w:sz w:val="22"/>
          <w:szCs w:val="22"/>
        </w:rPr>
      </w:pPr>
    </w:p>
    <w:p w:rsidR="0027276B" w:rsidRPr="001B05C8" w:rsidRDefault="0027276B" w:rsidP="00587CA7">
      <w:pPr>
        <w:pStyle w:val="Default"/>
        <w:spacing w:before="200" w:after="140"/>
        <w:rPr>
          <w:rFonts w:ascii="GillSans Light" w:hAnsi="GillSans Light"/>
          <w:sz w:val="22"/>
          <w:szCs w:val="22"/>
        </w:rPr>
      </w:pPr>
      <w:r w:rsidRPr="001B05C8">
        <w:rPr>
          <w:rFonts w:ascii="GillSans Light" w:hAnsi="GillSans Light"/>
          <w:sz w:val="22"/>
          <w:szCs w:val="22"/>
        </w:rPr>
        <w:t>The apparent significant reduction in emissions for financial year 2014-15 as compared with the previous financial year can be mostly attributed to:</w:t>
      </w:r>
    </w:p>
    <w:p w:rsidR="0027276B" w:rsidRPr="001B05C8" w:rsidRDefault="0027276B" w:rsidP="007A28E6">
      <w:pPr>
        <w:pStyle w:val="Default"/>
        <w:numPr>
          <w:ilvl w:val="0"/>
          <w:numId w:val="41"/>
        </w:numPr>
        <w:spacing w:after="140"/>
        <w:ind w:left="567" w:hanging="567"/>
        <w:rPr>
          <w:rFonts w:ascii="GillSans Light" w:hAnsi="GillSans Light"/>
          <w:sz w:val="22"/>
          <w:szCs w:val="22"/>
        </w:rPr>
      </w:pPr>
      <w:r w:rsidRPr="001B05C8">
        <w:rPr>
          <w:rFonts w:ascii="GillSans Light" w:hAnsi="GillSans Light"/>
          <w:sz w:val="22"/>
          <w:szCs w:val="22"/>
        </w:rPr>
        <w:t>the difference in emissions factors used by the Australian Government’s discontinued Online System for Co</w:t>
      </w:r>
      <w:r w:rsidR="000D5F7F">
        <w:rPr>
          <w:rFonts w:ascii="GillSans Light" w:hAnsi="GillSans Light"/>
          <w:sz w:val="22"/>
          <w:szCs w:val="22"/>
        </w:rPr>
        <w:t xml:space="preserve">mprehensive Activity Reporting </w:t>
      </w:r>
      <w:r w:rsidRPr="001B05C8">
        <w:rPr>
          <w:rFonts w:ascii="GillSans Light" w:hAnsi="GillSans Light"/>
          <w:sz w:val="22"/>
          <w:szCs w:val="22"/>
        </w:rPr>
        <w:t>for financial year 2013</w:t>
      </w:r>
      <w:r w:rsidRPr="001B05C8">
        <w:rPr>
          <w:rFonts w:ascii="GillSans Light" w:hAnsi="GillSans Light"/>
          <w:sz w:val="22"/>
          <w:szCs w:val="22"/>
        </w:rPr>
        <w:noBreakHyphen/>
        <w:t>14 and the revised process using the National Greenhouse Account Factors required by the Tasmanian Climate Change Office, for emissions reporting for financial year 2014</w:t>
      </w:r>
      <w:r w:rsidRPr="001B05C8">
        <w:rPr>
          <w:rFonts w:ascii="GillSans Light" w:hAnsi="GillSans Light"/>
          <w:sz w:val="22"/>
          <w:szCs w:val="22"/>
        </w:rPr>
        <w:noBreakHyphen/>
        <w:t>15</w:t>
      </w:r>
      <w:r w:rsidR="002C3F18" w:rsidRPr="001B05C8">
        <w:rPr>
          <w:rFonts w:ascii="GillSans Light" w:hAnsi="GillSans Light"/>
          <w:sz w:val="22"/>
          <w:szCs w:val="22"/>
        </w:rPr>
        <w:t>.</w:t>
      </w:r>
    </w:p>
    <w:p w:rsidR="00E75FAD" w:rsidRDefault="00587CA7" w:rsidP="00CA3AEA">
      <w:pPr>
        <w:pStyle w:val="Default"/>
        <w:spacing w:after="140"/>
        <w:ind w:left="567"/>
        <w:rPr>
          <w:rFonts w:ascii="GillSans Light" w:hAnsi="GillSans Light"/>
          <w:sz w:val="22"/>
          <w:szCs w:val="22"/>
        </w:rPr>
      </w:pPr>
      <w:r>
        <w:rPr>
          <w:rFonts w:ascii="GillSans Light" w:hAnsi="GillSans Light"/>
          <w:sz w:val="22"/>
          <w:szCs w:val="22"/>
        </w:rPr>
        <w:br w:type="column"/>
      </w:r>
    </w:p>
    <w:p w:rsidR="0027276B" w:rsidRDefault="00811FBC"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t>a</w:t>
      </w:r>
      <w:r w:rsidR="0027276B" w:rsidRPr="001B05C8">
        <w:rPr>
          <w:rFonts w:ascii="GillSans Light" w:hAnsi="GillSans Light"/>
          <w:sz w:val="22"/>
          <w:szCs w:val="22"/>
        </w:rPr>
        <w:t xml:space="preserve"> significant reduction in vehicle fuels, associated with fleet consolidation and improved vehicle fleet efficiencies, and </w:t>
      </w:r>
    </w:p>
    <w:p w:rsidR="0027276B" w:rsidRPr="001B05C8" w:rsidRDefault="0027276B" w:rsidP="007A28E6">
      <w:pPr>
        <w:pStyle w:val="Default"/>
        <w:numPr>
          <w:ilvl w:val="0"/>
          <w:numId w:val="41"/>
        </w:numPr>
        <w:spacing w:after="140"/>
        <w:ind w:left="567" w:hanging="567"/>
        <w:rPr>
          <w:rFonts w:ascii="GillSans Light" w:hAnsi="GillSans Light"/>
          <w:sz w:val="22"/>
          <w:szCs w:val="22"/>
        </w:rPr>
      </w:pPr>
      <w:r w:rsidRPr="001B05C8">
        <w:rPr>
          <w:rFonts w:ascii="GillSans Light" w:hAnsi="GillSans Light"/>
          <w:sz w:val="22"/>
          <w:szCs w:val="22"/>
        </w:rPr>
        <w:t xml:space="preserve">the National Greenhouse Accounts Factors for electricity for Tasmania varying significantly from year to year to reflect changing electricity import levels over </w:t>
      </w:r>
      <w:proofErr w:type="spellStart"/>
      <w:r w:rsidRPr="001B05C8">
        <w:rPr>
          <w:rFonts w:ascii="GillSans Light" w:hAnsi="GillSans Light"/>
          <w:sz w:val="22"/>
          <w:szCs w:val="22"/>
        </w:rPr>
        <w:t>Basslink</w:t>
      </w:r>
      <w:proofErr w:type="spellEnd"/>
      <w:r w:rsidRPr="001B05C8">
        <w:rPr>
          <w:rFonts w:ascii="GillSans Light" w:hAnsi="GillSans Light"/>
          <w:sz w:val="22"/>
          <w:szCs w:val="22"/>
        </w:rPr>
        <w:t xml:space="preserve"> </w:t>
      </w:r>
      <w:r w:rsidR="00811FBC">
        <w:rPr>
          <w:rFonts w:ascii="GillSans Light" w:hAnsi="GillSans Light"/>
          <w:sz w:val="22"/>
          <w:szCs w:val="22"/>
        </w:rPr>
        <w:t>and use of the Tamar Valley gas</w:t>
      </w:r>
      <w:r w:rsidR="00811FBC">
        <w:rPr>
          <w:rFonts w:ascii="GillSans Light" w:hAnsi="GillSans Light"/>
          <w:sz w:val="22"/>
          <w:szCs w:val="22"/>
        </w:rPr>
        <w:noBreakHyphen/>
      </w:r>
      <w:r w:rsidRPr="001B05C8">
        <w:rPr>
          <w:rFonts w:ascii="GillSans Light" w:hAnsi="GillSans Light"/>
          <w:sz w:val="22"/>
          <w:szCs w:val="22"/>
        </w:rPr>
        <w:t>fired power station.</w:t>
      </w:r>
    </w:p>
    <w:p w:rsidR="008A091D" w:rsidRPr="001B05C8" w:rsidRDefault="0027276B" w:rsidP="0027276B">
      <w:pPr>
        <w:pStyle w:val="Default"/>
        <w:spacing w:after="140"/>
        <w:rPr>
          <w:rFonts w:ascii="GillSans Light" w:hAnsi="GillSans Light"/>
          <w:sz w:val="22"/>
          <w:szCs w:val="22"/>
        </w:rPr>
      </w:pPr>
      <w:r w:rsidRPr="001B05C8">
        <w:rPr>
          <w:rFonts w:ascii="GillSans Light" w:hAnsi="GillSans Light"/>
          <w:sz w:val="22"/>
          <w:szCs w:val="22"/>
        </w:rPr>
        <w:t xml:space="preserve">The following table sets out the </w:t>
      </w:r>
      <w:r w:rsidR="004966D5">
        <w:rPr>
          <w:rFonts w:ascii="GillSans Light" w:hAnsi="GillSans Light"/>
          <w:sz w:val="22"/>
          <w:szCs w:val="22"/>
        </w:rPr>
        <w:t>DHHS</w:t>
      </w:r>
      <w:r w:rsidRPr="001B05C8">
        <w:rPr>
          <w:rFonts w:ascii="GillSans Light" w:hAnsi="GillSans Light"/>
          <w:sz w:val="22"/>
          <w:szCs w:val="22"/>
        </w:rPr>
        <w:t xml:space="preserve"> greenhouse gas emissions during financial year 2014-15 excluding those attributable to </w:t>
      </w:r>
      <w:r w:rsidR="004966D5">
        <w:rPr>
          <w:rFonts w:ascii="GillSans Light" w:hAnsi="GillSans Light"/>
          <w:sz w:val="22"/>
          <w:szCs w:val="22"/>
        </w:rPr>
        <w:t xml:space="preserve">THOs </w:t>
      </w:r>
      <w:r w:rsidRPr="001B05C8">
        <w:rPr>
          <w:rFonts w:ascii="GillSans Light" w:hAnsi="GillSans Light"/>
          <w:sz w:val="22"/>
          <w:szCs w:val="22"/>
        </w:rPr>
        <w:t>and social housing.</w:t>
      </w:r>
    </w:p>
    <w:p w:rsidR="0027276B" w:rsidRPr="001B05C8" w:rsidRDefault="0027276B" w:rsidP="0027276B">
      <w:pPr>
        <w:pStyle w:val="Default"/>
        <w:keepNext/>
        <w:spacing w:after="140"/>
        <w:rPr>
          <w:rFonts w:ascii="GillSans Light" w:hAnsi="GillSans Light"/>
          <w:sz w:val="22"/>
          <w:szCs w:val="22"/>
        </w:rPr>
        <w:sectPr w:rsidR="0027276B" w:rsidRPr="001B05C8" w:rsidSect="00CB41D0">
          <w:type w:val="continuous"/>
          <w:pgSz w:w="11906" w:h="16838" w:code="9"/>
          <w:pgMar w:top="907" w:right="1134" w:bottom="720" w:left="1134" w:header="709" w:footer="709" w:gutter="0"/>
          <w:cols w:num="2" w:space="708"/>
          <w:docGrid w:linePitch="360"/>
        </w:sectPr>
      </w:pPr>
    </w:p>
    <w:p w:rsidR="0027276B" w:rsidRPr="004E453D" w:rsidRDefault="0027276B" w:rsidP="008A091D">
      <w:pPr>
        <w:pStyle w:val="Heading3"/>
        <w:rPr>
          <w:sz w:val="24"/>
          <w:szCs w:val="24"/>
        </w:rPr>
      </w:pPr>
      <w:r w:rsidRPr="004E453D">
        <w:rPr>
          <w:sz w:val="24"/>
          <w:szCs w:val="24"/>
        </w:rPr>
        <w:lastRenderedPageBreak/>
        <w:t xml:space="preserve">Total DHHS emissions </w:t>
      </w:r>
      <w:r w:rsidR="008A091D" w:rsidRPr="004E453D">
        <w:rPr>
          <w:sz w:val="24"/>
          <w:szCs w:val="24"/>
        </w:rPr>
        <w:t>(</w:t>
      </w:r>
      <w:r w:rsidRPr="004E453D">
        <w:rPr>
          <w:sz w:val="24"/>
          <w:szCs w:val="24"/>
        </w:rPr>
        <w:t>excluding THOs and Social Housing</w:t>
      </w:r>
      <w:r w:rsidR="008A091D" w:rsidRPr="004E453D">
        <w:rPr>
          <w:sz w:val="24"/>
          <w:szCs w:val="24"/>
        </w:rPr>
        <w:t>)</w:t>
      </w:r>
    </w:p>
    <w:tbl>
      <w:tblPr>
        <w:tblW w:w="9637" w:type="dxa"/>
        <w:jc w:val="center"/>
        <w:tblInd w:w="93" w:type="dxa"/>
        <w:tblBorders>
          <w:insideH w:val="single" w:sz="4" w:space="0" w:color="808080"/>
        </w:tblBorders>
        <w:tblLook w:val="04A0" w:firstRow="1" w:lastRow="0" w:firstColumn="1" w:lastColumn="0" w:noHBand="0" w:noVBand="1"/>
      </w:tblPr>
      <w:tblGrid>
        <w:gridCol w:w="2283"/>
        <w:gridCol w:w="142"/>
        <w:gridCol w:w="1701"/>
        <w:gridCol w:w="1833"/>
        <w:gridCol w:w="10"/>
        <w:gridCol w:w="1559"/>
        <w:gridCol w:w="142"/>
        <w:gridCol w:w="1843"/>
        <w:gridCol w:w="124"/>
      </w:tblGrid>
      <w:tr w:rsidR="008A091D" w:rsidRPr="001B05C8" w:rsidTr="000F1905">
        <w:trPr>
          <w:trHeight w:val="525"/>
          <w:jc w:val="center"/>
        </w:trPr>
        <w:tc>
          <w:tcPr>
            <w:tcW w:w="2283" w:type="dxa"/>
            <w:shd w:val="clear" w:color="auto" w:fill="auto"/>
            <w:vAlign w:val="center"/>
            <w:hideMark/>
          </w:tcPr>
          <w:p w:rsidR="008A091D" w:rsidRPr="001B05C8" w:rsidRDefault="008A091D" w:rsidP="00F70D86">
            <w:pPr>
              <w:rPr>
                <w:rFonts w:cs="Calibri"/>
                <w:b/>
                <w:color w:val="000000"/>
                <w:sz w:val="20"/>
                <w:szCs w:val="20"/>
              </w:rPr>
            </w:pPr>
            <w:r w:rsidRPr="001B05C8">
              <w:rPr>
                <w:rFonts w:cs="Calibri"/>
                <w:b/>
                <w:color w:val="000000"/>
                <w:sz w:val="20"/>
                <w:szCs w:val="20"/>
              </w:rPr>
              <w:t> </w:t>
            </w:r>
          </w:p>
        </w:tc>
        <w:tc>
          <w:tcPr>
            <w:tcW w:w="3676" w:type="dxa"/>
            <w:gridSpan w:val="3"/>
            <w:shd w:val="clear" w:color="auto" w:fill="auto"/>
            <w:vAlign w:val="center"/>
            <w:hideMark/>
          </w:tcPr>
          <w:p w:rsidR="008A091D" w:rsidRPr="001B05C8" w:rsidRDefault="008A091D" w:rsidP="008A091D">
            <w:pPr>
              <w:jc w:val="right"/>
              <w:rPr>
                <w:rFonts w:cs="Calibri"/>
                <w:b/>
                <w:bCs/>
                <w:color w:val="000000"/>
                <w:sz w:val="20"/>
                <w:szCs w:val="20"/>
              </w:rPr>
            </w:pPr>
            <w:r w:rsidRPr="001B05C8">
              <w:rPr>
                <w:rFonts w:cs="Calibri"/>
                <w:b/>
                <w:bCs/>
                <w:color w:val="000000"/>
                <w:sz w:val="20"/>
                <w:szCs w:val="20"/>
              </w:rPr>
              <w:t>Current Position 2014-15</w:t>
            </w:r>
          </w:p>
        </w:tc>
        <w:tc>
          <w:tcPr>
            <w:tcW w:w="3678" w:type="dxa"/>
            <w:gridSpan w:val="5"/>
            <w:shd w:val="clear" w:color="auto" w:fill="auto"/>
            <w:vAlign w:val="center"/>
            <w:hideMark/>
          </w:tcPr>
          <w:p w:rsidR="008A091D" w:rsidRPr="001B05C8" w:rsidRDefault="008A091D" w:rsidP="000F1905">
            <w:pPr>
              <w:tabs>
                <w:tab w:val="left" w:pos="3412"/>
              </w:tabs>
              <w:ind w:right="36"/>
              <w:jc w:val="right"/>
              <w:rPr>
                <w:rFonts w:cs="Calibri"/>
                <w:b/>
                <w:color w:val="000000"/>
                <w:sz w:val="20"/>
                <w:szCs w:val="20"/>
              </w:rPr>
            </w:pPr>
            <w:r w:rsidRPr="001B05C8">
              <w:rPr>
                <w:rFonts w:cs="Calibri"/>
                <w:b/>
                <w:color w:val="000000"/>
                <w:sz w:val="20"/>
                <w:szCs w:val="20"/>
              </w:rPr>
              <w:t>Previous Position 2013-14</w:t>
            </w:r>
          </w:p>
        </w:tc>
      </w:tr>
      <w:tr w:rsidR="0027276B" w:rsidRPr="001B05C8" w:rsidTr="000F1905">
        <w:tblPrEx>
          <w:jc w:val="left"/>
        </w:tblPrEx>
        <w:trPr>
          <w:gridAfter w:val="1"/>
          <w:wAfter w:w="124" w:type="dxa"/>
          <w:cantSplit/>
          <w:trHeight w:val="375"/>
        </w:trPr>
        <w:tc>
          <w:tcPr>
            <w:tcW w:w="2425" w:type="dxa"/>
            <w:gridSpan w:val="2"/>
            <w:shd w:val="clear" w:color="auto" w:fill="auto"/>
            <w:vAlign w:val="center"/>
            <w:hideMark/>
          </w:tcPr>
          <w:p w:rsidR="0027276B" w:rsidRPr="001B05C8" w:rsidRDefault="0027276B" w:rsidP="0027276B">
            <w:pPr>
              <w:pStyle w:val="Table-AnnualReport"/>
            </w:pPr>
            <w:r w:rsidRPr="001B05C8">
              <w:t>Activity</w:t>
            </w:r>
          </w:p>
        </w:tc>
        <w:tc>
          <w:tcPr>
            <w:tcW w:w="1701" w:type="dxa"/>
            <w:shd w:val="clear" w:color="auto" w:fill="auto"/>
            <w:vAlign w:val="center"/>
            <w:hideMark/>
          </w:tcPr>
          <w:p w:rsidR="0027276B" w:rsidRPr="001B05C8" w:rsidRDefault="0027276B" w:rsidP="0027276B">
            <w:pPr>
              <w:pStyle w:val="Table-AnnualReport"/>
              <w:jc w:val="right"/>
            </w:pPr>
            <w:r w:rsidRPr="001B05C8">
              <w:t>Volume</w:t>
            </w:r>
          </w:p>
        </w:tc>
        <w:tc>
          <w:tcPr>
            <w:tcW w:w="1843" w:type="dxa"/>
            <w:gridSpan w:val="2"/>
            <w:shd w:val="clear" w:color="auto" w:fill="auto"/>
            <w:vAlign w:val="center"/>
            <w:hideMark/>
          </w:tcPr>
          <w:p w:rsidR="0027276B" w:rsidRPr="001B05C8" w:rsidRDefault="0027276B" w:rsidP="0027276B">
            <w:pPr>
              <w:pStyle w:val="Table-AnnualReport"/>
              <w:jc w:val="right"/>
            </w:pPr>
            <w:r w:rsidRPr="001B05C8">
              <w:t>tCO</w:t>
            </w:r>
            <w:r w:rsidRPr="001B05C8">
              <w:rPr>
                <w:vertAlign w:val="subscript"/>
              </w:rPr>
              <w:t>2-e</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Volume</w:t>
            </w:r>
          </w:p>
        </w:tc>
        <w:tc>
          <w:tcPr>
            <w:tcW w:w="1843" w:type="dxa"/>
            <w:shd w:val="clear" w:color="auto" w:fill="auto"/>
            <w:vAlign w:val="center"/>
            <w:hideMark/>
          </w:tcPr>
          <w:p w:rsidR="0027276B" w:rsidRPr="001B05C8" w:rsidRDefault="0027276B" w:rsidP="0027276B">
            <w:pPr>
              <w:pStyle w:val="Table-AnnualReport"/>
              <w:jc w:val="right"/>
            </w:pPr>
            <w:r w:rsidRPr="001B05C8">
              <w:t>tCO</w:t>
            </w:r>
            <w:r w:rsidRPr="001B05C8">
              <w:rPr>
                <w:vertAlign w:val="subscript"/>
              </w:rPr>
              <w:t>2-e</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27276B" w:rsidP="0027276B">
            <w:pPr>
              <w:pStyle w:val="Table-AnnualReport"/>
            </w:pPr>
            <w:r w:rsidRPr="001B05C8">
              <w:t xml:space="preserve">Electricity </w:t>
            </w:r>
          </w:p>
        </w:tc>
        <w:tc>
          <w:tcPr>
            <w:tcW w:w="1701" w:type="dxa"/>
            <w:shd w:val="clear" w:color="auto" w:fill="auto"/>
            <w:noWrap/>
            <w:vAlign w:val="bottom"/>
            <w:hideMark/>
          </w:tcPr>
          <w:p w:rsidR="0027276B" w:rsidRPr="001B05C8" w:rsidRDefault="0027276B" w:rsidP="0027276B">
            <w:pPr>
              <w:pStyle w:val="Table-AnnualReport"/>
              <w:jc w:val="right"/>
            </w:pPr>
            <w:r w:rsidRPr="001B05C8">
              <w:t xml:space="preserve">7.52 </w:t>
            </w:r>
            <w:proofErr w:type="spellStart"/>
            <w:r w:rsidRPr="001B05C8">
              <w:t>GWh</w:t>
            </w:r>
            <w:proofErr w:type="spellEnd"/>
          </w:p>
        </w:tc>
        <w:tc>
          <w:tcPr>
            <w:tcW w:w="1843" w:type="dxa"/>
            <w:gridSpan w:val="2"/>
            <w:shd w:val="clear" w:color="auto" w:fill="auto"/>
            <w:noWrap/>
            <w:vAlign w:val="bottom"/>
            <w:hideMark/>
          </w:tcPr>
          <w:p w:rsidR="0027276B" w:rsidRPr="001B05C8" w:rsidRDefault="0027276B" w:rsidP="0027276B">
            <w:pPr>
              <w:pStyle w:val="Table-AnnualReport"/>
              <w:jc w:val="right"/>
            </w:pPr>
            <w:r w:rsidRPr="001B05C8">
              <w:t>1 504</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 xml:space="preserve">7.3 </w:t>
            </w:r>
            <w:proofErr w:type="spellStart"/>
            <w:r w:rsidRPr="001B05C8">
              <w:t>GWh</w:t>
            </w:r>
            <w:proofErr w:type="spellEnd"/>
          </w:p>
        </w:tc>
        <w:tc>
          <w:tcPr>
            <w:tcW w:w="1843" w:type="dxa"/>
            <w:shd w:val="clear" w:color="auto" w:fill="auto"/>
            <w:vAlign w:val="center"/>
            <w:hideMark/>
          </w:tcPr>
          <w:p w:rsidR="0027276B" w:rsidRPr="001B05C8" w:rsidRDefault="0027276B" w:rsidP="0027276B">
            <w:pPr>
              <w:pStyle w:val="Table-AnnualReport"/>
              <w:jc w:val="right"/>
            </w:pPr>
            <w:r w:rsidRPr="001B05C8">
              <w:t>1 698</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27276B" w:rsidP="0027276B">
            <w:pPr>
              <w:pStyle w:val="Table-AnnualReport"/>
            </w:pPr>
            <w:r w:rsidRPr="001B05C8">
              <w:t>Natural Gas</w:t>
            </w:r>
          </w:p>
        </w:tc>
        <w:tc>
          <w:tcPr>
            <w:tcW w:w="1701" w:type="dxa"/>
            <w:shd w:val="clear" w:color="auto" w:fill="auto"/>
            <w:noWrap/>
            <w:vAlign w:val="bottom"/>
            <w:hideMark/>
          </w:tcPr>
          <w:p w:rsidR="0027276B" w:rsidRPr="001B05C8" w:rsidRDefault="0027276B" w:rsidP="0027276B">
            <w:pPr>
              <w:pStyle w:val="Table-AnnualReport"/>
              <w:jc w:val="right"/>
            </w:pPr>
            <w:r w:rsidRPr="001B05C8">
              <w:t>0.0</w:t>
            </w:r>
          </w:p>
        </w:tc>
        <w:tc>
          <w:tcPr>
            <w:tcW w:w="1843" w:type="dxa"/>
            <w:gridSpan w:val="2"/>
            <w:shd w:val="clear" w:color="auto" w:fill="auto"/>
            <w:noWrap/>
            <w:vAlign w:val="bottom"/>
            <w:hideMark/>
          </w:tcPr>
          <w:p w:rsidR="0027276B" w:rsidRPr="001B05C8" w:rsidRDefault="0027276B" w:rsidP="0027276B">
            <w:pPr>
              <w:pStyle w:val="Table-AnnualReport"/>
              <w:jc w:val="right"/>
            </w:pPr>
            <w:r w:rsidRPr="001B05C8">
              <w:t>0</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0 GJ</w:t>
            </w:r>
          </w:p>
        </w:tc>
        <w:tc>
          <w:tcPr>
            <w:tcW w:w="1843" w:type="dxa"/>
            <w:shd w:val="clear" w:color="auto" w:fill="auto"/>
            <w:vAlign w:val="center"/>
            <w:hideMark/>
          </w:tcPr>
          <w:p w:rsidR="0027276B" w:rsidRPr="001B05C8" w:rsidRDefault="0027276B" w:rsidP="0027276B">
            <w:pPr>
              <w:pStyle w:val="Table-AnnualReport"/>
              <w:jc w:val="right"/>
            </w:pPr>
            <w:r w:rsidRPr="001B05C8">
              <w:t>0</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27276B" w:rsidP="0027276B">
            <w:pPr>
              <w:pStyle w:val="Table-AnnualReport"/>
            </w:pPr>
            <w:r w:rsidRPr="001B05C8">
              <w:t>Unleaded Petrol</w:t>
            </w:r>
          </w:p>
        </w:tc>
        <w:tc>
          <w:tcPr>
            <w:tcW w:w="1701" w:type="dxa"/>
            <w:shd w:val="clear" w:color="auto" w:fill="auto"/>
            <w:noWrap/>
            <w:vAlign w:val="bottom"/>
            <w:hideMark/>
          </w:tcPr>
          <w:p w:rsidR="0027276B" w:rsidRPr="001B05C8" w:rsidRDefault="0027276B" w:rsidP="0027276B">
            <w:pPr>
              <w:pStyle w:val="Table-AnnualReport"/>
              <w:jc w:val="right"/>
            </w:pPr>
            <w:r w:rsidRPr="001B05C8">
              <w:t>5</w:t>
            </w:r>
            <w:r w:rsidR="004E453D">
              <w:t xml:space="preserve"> </w:t>
            </w:r>
            <w:r w:rsidRPr="001B05C8">
              <w:t xml:space="preserve">01.87 </w:t>
            </w:r>
            <w:proofErr w:type="spellStart"/>
            <w:r w:rsidRPr="001B05C8">
              <w:t>kL</w:t>
            </w:r>
            <w:proofErr w:type="spellEnd"/>
          </w:p>
        </w:tc>
        <w:tc>
          <w:tcPr>
            <w:tcW w:w="1843" w:type="dxa"/>
            <w:gridSpan w:val="2"/>
            <w:shd w:val="clear" w:color="auto" w:fill="auto"/>
            <w:noWrap/>
            <w:vAlign w:val="bottom"/>
            <w:hideMark/>
          </w:tcPr>
          <w:p w:rsidR="0027276B" w:rsidRPr="001B05C8" w:rsidRDefault="0027276B" w:rsidP="0027276B">
            <w:pPr>
              <w:pStyle w:val="Table-AnnualReport"/>
              <w:jc w:val="right"/>
            </w:pPr>
            <w:r w:rsidRPr="001B05C8">
              <w:t>1 145</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 xml:space="preserve">580 </w:t>
            </w:r>
            <w:proofErr w:type="spellStart"/>
            <w:r w:rsidRPr="001B05C8">
              <w:t>kL</w:t>
            </w:r>
            <w:proofErr w:type="spellEnd"/>
          </w:p>
        </w:tc>
        <w:tc>
          <w:tcPr>
            <w:tcW w:w="1843" w:type="dxa"/>
            <w:shd w:val="clear" w:color="auto" w:fill="auto"/>
            <w:vAlign w:val="center"/>
            <w:hideMark/>
          </w:tcPr>
          <w:p w:rsidR="0027276B" w:rsidRPr="001B05C8" w:rsidRDefault="0027276B" w:rsidP="0027276B">
            <w:pPr>
              <w:pStyle w:val="Table-AnnualReport"/>
              <w:jc w:val="right"/>
            </w:pPr>
            <w:r w:rsidRPr="001B05C8">
              <w:t>1 380</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27276B" w:rsidP="0027276B">
            <w:pPr>
              <w:pStyle w:val="Table-AnnualReport"/>
            </w:pPr>
            <w:r w:rsidRPr="001B05C8">
              <w:t>Diesel Fuel</w:t>
            </w:r>
          </w:p>
        </w:tc>
        <w:tc>
          <w:tcPr>
            <w:tcW w:w="1701" w:type="dxa"/>
            <w:shd w:val="clear" w:color="auto" w:fill="auto"/>
            <w:noWrap/>
            <w:vAlign w:val="bottom"/>
            <w:hideMark/>
          </w:tcPr>
          <w:p w:rsidR="0027276B" w:rsidRPr="001B05C8" w:rsidRDefault="0027276B" w:rsidP="0027276B">
            <w:pPr>
              <w:pStyle w:val="Table-AnnualReport"/>
              <w:jc w:val="right"/>
            </w:pPr>
            <w:r w:rsidRPr="001B05C8">
              <w:t>1</w:t>
            </w:r>
            <w:r w:rsidR="004E453D">
              <w:t xml:space="preserve"> </w:t>
            </w:r>
            <w:r w:rsidRPr="001B05C8">
              <w:t xml:space="preserve">98.82 </w:t>
            </w:r>
            <w:proofErr w:type="spellStart"/>
            <w:r w:rsidRPr="001B05C8">
              <w:t>kL</w:t>
            </w:r>
            <w:proofErr w:type="spellEnd"/>
          </w:p>
        </w:tc>
        <w:tc>
          <w:tcPr>
            <w:tcW w:w="1843" w:type="dxa"/>
            <w:gridSpan w:val="2"/>
            <w:shd w:val="clear" w:color="auto" w:fill="auto"/>
            <w:noWrap/>
            <w:vAlign w:val="bottom"/>
            <w:hideMark/>
          </w:tcPr>
          <w:p w:rsidR="0027276B" w:rsidRPr="001B05C8" w:rsidRDefault="0027276B" w:rsidP="0027276B">
            <w:pPr>
              <w:pStyle w:val="Table-AnnualReport"/>
              <w:jc w:val="right"/>
            </w:pPr>
            <w:r w:rsidRPr="001B05C8">
              <w:t>531</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 xml:space="preserve">659 </w:t>
            </w:r>
            <w:proofErr w:type="spellStart"/>
            <w:r w:rsidRPr="001B05C8">
              <w:t>kL</w:t>
            </w:r>
            <w:proofErr w:type="spellEnd"/>
          </w:p>
        </w:tc>
        <w:tc>
          <w:tcPr>
            <w:tcW w:w="1843" w:type="dxa"/>
            <w:shd w:val="clear" w:color="auto" w:fill="auto"/>
            <w:vAlign w:val="center"/>
            <w:hideMark/>
          </w:tcPr>
          <w:p w:rsidR="0027276B" w:rsidRPr="001B05C8" w:rsidRDefault="0027276B" w:rsidP="0027276B">
            <w:pPr>
              <w:pStyle w:val="Table-AnnualReport"/>
              <w:jc w:val="right"/>
            </w:pPr>
            <w:r w:rsidRPr="001B05C8">
              <w:t>1 777</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27276B" w:rsidP="0027276B">
            <w:pPr>
              <w:pStyle w:val="Table-AnnualReport"/>
            </w:pPr>
            <w:r w:rsidRPr="001B05C8">
              <w:t>Air Travel</w:t>
            </w:r>
          </w:p>
        </w:tc>
        <w:tc>
          <w:tcPr>
            <w:tcW w:w="1701" w:type="dxa"/>
            <w:shd w:val="clear" w:color="auto" w:fill="auto"/>
            <w:noWrap/>
            <w:vAlign w:val="bottom"/>
            <w:hideMark/>
          </w:tcPr>
          <w:p w:rsidR="0027276B" w:rsidRPr="001B05C8" w:rsidRDefault="0027276B" w:rsidP="0027276B">
            <w:pPr>
              <w:pStyle w:val="Table-AnnualReport"/>
              <w:jc w:val="right"/>
            </w:pPr>
            <w:r w:rsidRPr="001B05C8">
              <w:t>1.71 million km</w:t>
            </w:r>
          </w:p>
        </w:tc>
        <w:tc>
          <w:tcPr>
            <w:tcW w:w="1843" w:type="dxa"/>
            <w:gridSpan w:val="2"/>
            <w:shd w:val="clear" w:color="auto" w:fill="auto"/>
            <w:noWrap/>
            <w:vAlign w:val="bottom"/>
            <w:hideMark/>
          </w:tcPr>
          <w:p w:rsidR="0027276B" w:rsidRPr="001B05C8" w:rsidRDefault="0027276B" w:rsidP="0027276B">
            <w:pPr>
              <w:pStyle w:val="Table-AnnualReport"/>
              <w:jc w:val="right"/>
            </w:pPr>
            <w:r w:rsidRPr="001B05C8">
              <w:t>272</w:t>
            </w:r>
          </w:p>
        </w:tc>
        <w:tc>
          <w:tcPr>
            <w:tcW w:w="1701" w:type="dxa"/>
            <w:gridSpan w:val="2"/>
            <w:shd w:val="clear" w:color="auto" w:fill="auto"/>
            <w:vAlign w:val="center"/>
            <w:hideMark/>
          </w:tcPr>
          <w:p w:rsidR="0027276B" w:rsidRPr="001B05C8" w:rsidRDefault="0027276B" w:rsidP="000F1905">
            <w:pPr>
              <w:pStyle w:val="Table-AnnualReport"/>
              <w:ind w:right="0"/>
              <w:jc w:val="right"/>
            </w:pPr>
            <w:r w:rsidRPr="001B05C8">
              <w:t>2.1 million km</w:t>
            </w:r>
          </w:p>
        </w:tc>
        <w:tc>
          <w:tcPr>
            <w:tcW w:w="1843" w:type="dxa"/>
            <w:shd w:val="clear" w:color="auto" w:fill="auto"/>
            <w:vAlign w:val="center"/>
            <w:hideMark/>
          </w:tcPr>
          <w:p w:rsidR="0027276B" w:rsidRPr="001B05C8" w:rsidRDefault="0027276B" w:rsidP="0027276B">
            <w:pPr>
              <w:pStyle w:val="Table-AnnualReport"/>
              <w:jc w:val="right"/>
            </w:pPr>
            <w:r w:rsidRPr="001B05C8">
              <w:t>332</w:t>
            </w:r>
          </w:p>
        </w:tc>
      </w:tr>
      <w:tr w:rsidR="0027276B" w:rsidRPr="001B05C8" w:rsidTr="000F1905">
        <w:tblPrEx>
          <w:jc w:val="left"/>
        </w:tblPrEx>
        <w:trPr>
          <w:gridAfter w:val="1"/>
          <w:wAfter w:w="124" w:type="dxa"/>
          <w:cantSplit/>
          <w:trHeight w:val="345"/>
        </w:trPr>
        <w:tc>
          <w:tcPr>
            <w:tcW w:w="2425" w:type="dxa"/>
            <w:gridSpan w:val="2"/>
            <w:shd w:val="clear" w:color="auto" w:fill="auto"/>
            <w:vAlign w:val="center"/>
            <w:hideMark/>
          </w:tcPr>
          <w:p w:rsidR="0027276B" w:rsidRPr="001B05C8" w:rsidRDefault="000F1905" w:rsidP="0027276B">
            <w:pPr>
              <w:pStyle w:val="Table-AnnualReport"/>
              <w:rPr>
                <w:b/>
              </w:rPr>
            </w:pPr>
            <w:r>
              <w:rPr>
                <w:b/>
              </w:rPr>
              <w:t>Total</w:t>
            </w:r>
          </w:p>
        </w:tc>
        <w:tc>
          <w:tcPr>
            <w:tcW w:w="1701" w:type="dxa"/>
            <w:shd w:val="clear" w:color="auto" w:fill="auto"/>
            <w:noWrap/>
            <w:vAlign w:val="bottom"/>
            <w:hideMark/>
          </w:tcPr>
          <w:p w:rsidR="0027276B" w:rsidRPr="001B05C8" w:rsidRDefault="0027276B" w:rsidP="0027276B">
            <w:pPr>
              <w:pStyle w:val="Table-AnnualReport"/>
              <w:jc w:val="right"/>
              <w:rPr>
                <w:b/>
              </w:rPr>
            </w:pPr>
            <w:r w:rsidRPr="001B05C8">
              <w:rPr>
                <w:b/>
              </w:rPr>
              <w:t> </w:t>
            </w:r>
          </w:p>
        </w:tc>
        <w:tc>
          <w:tcPr>
            <w:tcW w:w="1843" w:type="dxa"/>
            <w:gridSpan w:val="2"/>
            <w:shd w:val="clear" w:color="auto" w:fill="auto"/>
            <w:noWrap/>
            <w:vAlign w:val="bottom"/>
            <w:hideMark/>
          </w:tcPr>
          <w:p w:rsidR="0027276B" w:rsidRPr="001B05C8" w:rsidRDefault="0027276B" w:rsidP="0027276B">
            <w:pPr>
              <w:pStyle w:val="Table-AnnualReport"/>
              <w:jc w:val="right"/>
              <w:rPr>
                <w:b/>
              </w:rPr>
            </w:pPr>
            <w:r w:rsidRPr="001B05C8">
              <w:rPr>
                <w:b/>
              </w:rPr>
              <w:t>3</w:t>
            </w:r>
            <w:r w:rsidR="00433A3C">
              <w:rPr>
                <w:b/>
              </w:rPr>
              <w:t xml:space="preserve"> </w:t>
            </w:r>
            <w:r w:rsidRPr="001B05C8">
              <w:rPr>
                <w:b/>
              </w:rPr>
              <w:t>452</w:t>
            </w:r>
          </w:p>
        </w:tc>
        <w:tc>
          <w:tcPr>
            <w:tcW w:w="1559" w:type="dxa"/>
            <w:shd w:val="clear" w:color="auto" w:fill="auto"/>
            <w:vAlign w:val="center"/>
            <w:hideMark/>
          </w:tcPr>
          <w:p w:rsidR="0027276B" w:rsidRPr="001B05C8" w:rsidRDefault="0027276B" w:rsidP="0027276B">
            <w:pPr>
              <w:pStyle w:val="Table-AnnualReport"/>
              <w:jc w:val="right"/>
              <w:rPr>
                <w:b/>
              </w:rPr>
            </w:pPr>
            <w:r w:rsidRPr="001B05C8">
              <w:rPr>
                <w:b/>
              </w:rPr>
              <w:t> </w:t>
            </w:r>
          </w:p>
        </w:tc>
        <w:tc>
          <w:tcPr>
            <w:tcW w:w="1985" w:type="dxa"/>
            <w:gridSpan w:val="2"/>
            <w:shd w:val="clear" w:color="auto" w:fill="auto"/>
            <w:vAlign w:val="center"/>
            <w:hideMark/>
          </w:tcPr>
          <w:p w:rsidR="0027276B" w:rsidRPr="001B05C8" w:rsidRDefault="0027276B" w:rsidP="0027276B">
            <w:pPr>
              <w:pStyle w:val="Table-AnnualReport"/>
              <w:jc w:val="right"/>
              <w:rPr>
                <w:b/>
              </w:rPr>
            </w:pPr>
            <w:r w:rsidRPr="001B05C8">
              <w:rPr>
                <w:b/>
              </w:rPr>
              <w:t>5 187</w:t>
            </w:r>
          </w:p>
        </w:tc>
      </w:tr>
    </w:tbl>
    <w:p w:rsidR="0027276B" w:rsidRPr="001B05C8" w:rsidRDefault="0027276B" w:rsidP="0027276B">
      <w:pPr>
        <w:pStyle w:val="Default"/>
        <w:spacing w:before="140" w:after="140"/>
        <w:rPr>
          <w:rFonts w:ascii="GillSans Light" w:hAnsi="GillSans Light"/>
          <w:sz w:val="22"/>
          <w:szCs w:val="22"/>
        </w:rPr>
        <w:sectPr w:rsidR="0027276B" w:rsidRPr="001B05C8" w:rsidSect="00CB41D0">
          <w:type w:val="continuous"/>
          <w:pgSz w:w="11906" w:h="16838" w:code="9"/>
          <w:pgMar w:top="907" w:right="1134" w:bottom="720" w:left="1134" w:header="709" w:footer="709" w:gutter="0"/>
          <w:cols w:space="708"/>
          <w:docGrid w:linePitch="360"/>
        </w:sectPr>
      </w:pPr>
    </w:p>
    <w:p w:rsidR="00587CA7" w:rsidRDefault="00587CA7">
      <w:pPr>
        <w:tabs>
          <w:tab w:val="clear" w:pos="567"/>
        </w:tabs>
        <w:spacing w:after="200" w:line="276" w:lineRule="auto"/>
        <w:rPr>
          <w:rFonts w:cs="Gill Sans MT"/>
          <w:color w:val="000000"/>
          <w:lang w:eastAsia="en-AU"/>
        </w:rPr>
      </w:pPr>
      <w:r>
        <w:lastRenderedPageBreak/>
        <w:br w:type="page"/>
      </w:r>
    </w:p>
    <w:p w:rsidR="0027276B" w:rsidRPr="001B05C8" w:rsidRDefault="0027276B" w:rsidP="0027276B">
      <w:pPr>
        <w:pStyle w:val="Default"/>
        <w:spacing w:before="140" w:after="140"/>
        <w:rPr>
          <w:rFonts w:ascii="GillSans Light" w:hAnsi="GillSans Light"/>
          <w:sz w:val="22"/>
          <w:szCs w:val="22"/>
        </w:rPr>
      </w:pPr>
      <w:r w:rsidRPr="001B05C8">
        <w:rPr>
          <w:rFonts w:ascii="GillSans Light" w:hAnsi="GillSans Light"/>
          <w:sz w:val="22"/>
          <w:szCs w:val="22"/>
        </w:rPr>
        <w:lastRenderedPageBreak/>
        <w:t>The significant reduction in emissions for financial year 2014-15 as compared with the previous financial year can be attributed to:</w:t>
      </w:r>
    </w:p>
    <w:p w:rsidR="0027276B" w:rsidRPr="001B05C8" w:rsidRDefault="0027276B" w:rsidP="007A28E6">
      <w:pPr>
        <w:pStyle w:val="Default"/>
        <w:numPr>
          <w:ilvl w:val="0"/>
          <w:numId w:val="41"/>
        </w:numPr>
        <w:spacing w:after="140"/>
        <w:ind w:left="567" w:hanging="567"/>
        <w:rPr>
          <w:rFonts w:ascii="GillSans Light" w:hAnsi="GillSans Light"/>
          <w:sz w:val="22"/>
          <w:szCs w:val="22"/>
        </w:rPr>
      </w:pPr>
      <w:r w:rsidRPr="001B05C8">
        <w:rPr>
          <w:rFonts w:ascii="GillSans Light" w:hAnsi="GillSans Light"/>
          <w:sz w:val="22"/>
          <w:szCs w:val="22"/>
        </w:rPr>
        <w:t>the significant reductions in vehicle fuel consumption, associated with fleet consolidation and improved fleet fuel efficiencies</w:t>
      </w:r>
      <w:r w:rsidR="008A091D">
        <w:rPr>
          <w:rFonts w:ascii="GillSans Light" w:hAnsi="GillSans Light"/>
          <w:sz w:val="22"/>
          <w:szCs w:val="22"/>
        </w:rPr>
        <w:t xml:space="preserve">, </w:t>
      </w:r>
      <w:r w:rsidRPr="001B05C8">
        <w:rPr>
          <w:rFonts w:ascii="GillSans Light" w:hAnsi="GillSans Light"/>
          <w:sz w:val="22"/>
          <w:szCs w:val="22"/>
        </w:rPr>
        <w:t xml:space="preserve">and </w:t>
      </w:r>
    </w:p>
    <w:p w:rsidR="0027276B" w:rsidRPr="001B05C8" w:rsidRDefault="0027276B" w:rsidP="007A28E6">
      <w:pPr>
        <w:pStyle w:val="Default"/>
        <w:numPr>
          <w:ilvl w:val="0"/>
          <w:numId w:val="41"/>
        </w:numPr>
        <w:spacing w:after="140"/>
        <w:ind w:left="567" w:hanging="567"/>
        <w:rPr>
          <w:rFonts w:ascii="GillSans Light" w:hAnsi="GillSans Light"/>
          <w:sz w:val="22"/>
          <w:szCs w:val="22"/>
        </w:rPr>
      </w:pPr>
      <w:r w:rsidRPr="001B05C8">
        <w:rPr>
          <w:rFonts w:ascii="GillSans Light" w:hAnsi="GillSans Light"/>
          <w:sz w:val="22"/>
          <w:szCs w:val="22"/>
        </w:rPr>
        <w:t xml:space="preserve">the variation in greenhouse gas emissions factors required for emissions reporting </w:t>
      </w:r>
      <w:r w:rsidR="008A091D">
        <w:rPr>
          <w:rFonts w:ascii="GillSans Light" w:hAnsi="GillSans Light"/>
          <w:sz w:val="22"/>
          <w:szCs w:val="22"/>
        </w:rPr>
        <w:t>(</w:t>
      </w:r>
      <w:r w:rsidRPr="001B05C8">
        <w:rPr>
          <w:rFonts w:ascii="GillSans Light" w:hAnsi="GillSans Light"/>
          <w:sz w:val="22"/>
          <w:szCs w:val="22"/>
        </w:rPr>
        <w:t xml:space="preserve">as </w:t>
      </w:r>
      <w:r w:rsidR="008A091D">
        <w:rPr>
          <w:rFonts w:ascii="GillSans Light" w:hAnsi="GillSans Light"/>
          <w:sz w:val="22"/>
          <w:szCs w:val="22"/>
        </w:rPr>
        <w:t xml:space="preserve">previously </w:t>
      </w:r>
      <w:r w:rsidRPr="001B05C8">
        <w:rPr>
          <w:rFonts w:ascii="GillSans Light" w:hAnsi="GillSans Light"/>
          <w:sz w:val="22"/>
          <w:szCs w:val="22"/>
        </w:rPr>
        <w:t>discussed</w:t>
      </w:r>
      <w:r w:rsidR="008A091D">
        <w:rPr>
          <w:rFonts w:ascii="GillSans Light" w:hAnsi="GillSans Light"/>
          <w:sz w:val="22"/>
          <w:szCs w:val="22"/>
        </w:rPr>
        <w:t>)</w:t>
      </w:r>
      <w:r w:rsidRPr="001B05C8">
        <w:rPr>
          <w:rFonts w:ascii="GillSans Light" w:hAnsi="GillSans Light"/>
          <w:sz w:val="22"/>
          <w:szCs w:val="22"/>
        </w:rPr>
        <w:t xml:space="preserve">.  </w:t>
      </w:r>
    </w:p>
    <w:p w:rsidR="0027276B" w:rsidRPr="008A091D" w:rsidRDefault="0027276B" w:rsidP="008A091D">
      <w:pPr>
        <w:pStyle w:val="Heading4"/>
      </w:pPr>
      <w:r w:rsidRPr="008A091D">
        <w:t>Greenhouse Gas Emissions Reduction Activities</w:t>
      </w:r>
    </w:p>
    <w:p w:rsidR="0027276B" w:rsidRPr="001B05C8" w:rsidRDefault="0027276B" w:rsidP="0027276B">
      <w:pPr>
        <w:pStyle w:val="Default"/>
        <w:spacing w:after="140"/>
        <w:rPr>
          <w:rFonts w:ascii="GillSans Light" w:hAnsi="GillSans Light"/>
          <w:sz w:val="22"/>
          <w:szCs w:val="22"/>
        </w:rPr>
      </w:pPr>
      <w:r w:rsidRPr="001B05C8">
        <w:rPr>
          <w:rFonts w:ascii="GillSans Light" w:hAnsi="GillSans Light"/>
          <w:sz w:val="22"/>
          <w:szCs w:val="22"/>
        </w:rPr>
        <w:t xml:space="preserve">The Department: </w:t>
      </w:r>
    </w:p>
    <w:p w:rsidR="0027276B" w:rsidRPr="001B05C8" w:rsidRDefault="008A091D"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t>c</w:t>
      </w:r>
      <w:r w:rsidR="0027276B" w:rsidRPr="001B05C8">
        <w:rPr>
          <w:rFonts w:ascii="GillSans Light" w:hAnsi="GillSans Light"/>
          <w:sz w:val="22"/>
          <w:szCs w:val="22"/>
        </w:rPr>
        <w:t>ontinues to dedicate resources toward the minimisation of electricity consumption as a priority emissions reduction action, as electricity consumption is the largest contributor towar</w:t>
      </w:r>
      <w:r w:rsidR="004E453D">
        <w:rPr>
          <w:rFonts w:ascii="GillSans Light" w:hAnsi="GillSans Light"/>
          <w:sz w:val="22"/>
          <w:szCs w:val="22"/>
        </w:rPr>
        <w:t>ds its greenhouse gas emissions</w:t>
      </w:r>
    </w:p>
    <w:p w:rsidR="0027276B" w:rsidRDefault="008A091D" w:rsidP="007A28E6">
      <w:pPr>
        <w:pStyle w:val="Default"/>
        <w:numPr>
          <w:ilvl w:val="0"/>
          <w:numId w:val="41"/>
        </w:numPr>
        <w:spacing w:after="140"/>
        <w:ind w:left="567" w:hanging="567"/>
        <w:rPr>
          <w:rFonts w:ascii="GillSans Light" w:hAnsi="GillSans Light"/>
          <w:sz w:val="22"/>
          <w:szCs w:val="22"/>
        </w:rPr>
      </w:pPr>
      <w:proofErr w:type="gramStart"/>
      <w:r>
        <w:rPr>
          <w:rFonts w:ascii="GillSans Light" w:hAnsi="GillSans Light"/>
          <w:sz w:val="22"/>
          <w:szCs w:val="22"/>
        </w:rPr>
        <w:t>l</w:t>
      </w:r>
      <w:r w:rsidR="0027276B" w:rsidRPr="001B05C8">
        <w:rPr>
          <w:rFonts w:ascii="GillSans Light" w:hAnsi="GillSans Light"/>
          <w:sz w:val="22"/>
          <w:szCs w:val="22"/>
        </w:rPr>
        <w:t>everages</w:t>
      </w:r>
      <w:proofErr w:type="gramEnd"/>
      <w:r w:rsidR="0027276B" w:rsidRPr="001B05C8">
        <w:rPr>
          <w:rFonts w:ascii="GillSans Light" w:hAnsi="GillSans Light"/>
          <w:sz w:val="22"/>
          <w:szCs w:val="22"/>
        </w:rPr>
        <w:t xml:space="preserve"> available information systems to monitor and control energy consumption in its buildings, including through the installation of energy check meters.  The information is being gathered to inform the identification of realistic and achievable energy efficiency targets that will drive required greenhouse gas emissions reducti</w:t>
      </w:r>
      <w:r w:rsidR="004E453D">
        <w:rPr>
          <w:rFonts w:ascii="GillSans Light" w:hAnsi="GillSans Light"/>
          <w:sz w:val="22"/>
          <w:szCs w:val="22"/>
        </w:rPr>
        <w:t>ons and associated cost savings</w:t>
      </w:r>
    </w:p>
    <w:p w:rsidR="0027276B" w:rsidRPr="001B05C8" w:rsidRDefault="008A091D"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lastRenderedPageBreak/>
        <w:t>c</w:t>
      </w:r>
      <w:r w:rsidR="0027276B" w:rsidRPr="001B05C8">
        <w:rPr>
          <w:rFonts w:ascii="GillSans Light" w:hAnsi="GillSans Light"/>
          <w:sz w:val="22"/>
          <w:szCs w:val="22"/>
        </w:rPr>
        <w:t>ontinues to require Ecologically Sustainable Design requirements as a matter of cou</w:t>
      </w:r>
      <w:r>
        <w:rPr>
          <w:rFonts w:ascii="GillSans Light" w:hAnsi="GillSans Light"/>
          <w:sz w:val="22"/>
          <w:szCs w:val="22"/>
        </w:rPr>
        <w:t>rse in all major capital works</w:t>
      </w:r>
    </w:p>
    <w:p w:rsidR="0027276B" w:rsidRPr="001B05C8" w:rsidRDefault="008A091D"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t>h</w:t>
      </w:r>
      <w:r w:rsidR="0027276B" w:rsidRPr="001B05C8">
        <w:rPr>
          <w:rFonts w:ascii="GillSans Light" w:hAnsi="GillSans Light"/>
          <w:sz w:val="22"/>
          <w:szCs w:val="22"/>
        </w:rPr>
        <w:t>as completed a four year program of energy audits of significant buildings that has allowed identification of a suite of energy efficiency projects that if implemented  would achieve significant emissio</w:t>
      </w:r>
      <w:r>
        <w:rPr>
          <w:rFonts w:ascii="GillSans Light" w:hAnsi="GillSans Light"/>
          <w:sz w:val="22"/>
          <w:szCs w:val="22"/>
        </w:rPr>
        <w:t>ns reductions and cost savings</w:t>
      </w:r>
    </w:p>
    <w:p w:rsidR="0027276B" w:rsidRPr="001B05C8" w:rsidRDefault="008A091D"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t>h</w:t>
      </w:r>
      <w:r w:rsidR="0027276B" w:rsidRPr="001B05C8">
        <w:rPr>
          <w:rFonts w:ascii="GillSans Light" w:hAnsi="GillSans Light"/>
          <w:sz w:val="22"/>
          <w:szCs w:val="22"/>
        </w:rPr>
        <w:t>as established a Sustainable Energy Fund to assist with the progressive implementation of energy efficiency projects.  This funding is av</w:t>
      </w:r>
      <w:r>
        <w:rPr>
          <w:rFonts w:ascii="GillSans Light" w:hAnsi="GillSans Light"/>
          <w:sz w:val="22"/>
          <w:szCs w:val="22"/>
        </w:rPr>
        <w:t>ailable across the DHHS and THO</w:t>
      </w:r>
      <w:r w:rsidR="0027276B" w:rsidRPr="001B05C8">
        <w:rPr>
          <w:rFonts w:ascii="GillSans Light" w:hAnsi="GillSans Light"/>
          <w:sz w:val="22"/>
          <w:szCs w:val="22"/>
        </w:rPr>
        <w:t xml:space="preserve">s and within DHHS </w:t>
      </w:r>
      <w:r>
        <w:rPr>
          <w:rFonts w:ascii="GillSans Light" w:hAnsi="GillSans Light"/>
          <w:sz w:val="22"/>
          <w:szCs w:val="22"/>
        </w:rPr>
        <w:t>has been</w:t>
      </w:r>
      <w:r w:rsidR="0027276B" w:rsidRPr="001B05C8">
        <w:rPr>
          <w:rFonts w:ascii="GillSans Light" w:hAnsi="GillSans Light"/>
          <w:sz w:val="22"/>
          <w:szCs w:val="22"/>
        </w:rPr>
        <w:t xml:space="preserve"> utilised in a program of converting direct electric hot water cylinders that had approached end of life with</w:t>
      </w:r>
      <w:r>
        <w:rPr>
          <w:rFonts w:ascii="GillSans Light" w:hAnsi="GillSans Light"/>
          <w:sz w:val="22"/>
          <w:szCs w:val="22"/>
        </w:rPr>
        <w:t xml:space="preserve"> a more efficient heat pump style, and</w:t>
      </w:r>
    </w:p>
    <w:p w:rsidR="0027276B" w:rsidRDefault="008A091D" w:rsidP="007A28E6">
      <w:pPr>
        <w:pStyle w:val="Default"/>
        <w:numPr>
          <w:ilvl w:val="0"/>
          <w:numId w:val="41"/>
        </w:numPr>
        <w:spacing w:after="140"/>
        <w:ind w:left="567" w:hanging="567"/>
        <w:rPr>
          <w:rFonts w:ascii="GillSans Light" w:hAnsi="GillSans Light"/>
          <w:sz w:val="22"/>
          <w:szCs w:val="22"/>
        </w:rPr>
      </w:pPr>
      <w:r>
        <w:rPr>
          <w:rFonts w:ascii="GillSans Light" w:hAnsi="GillSans Light"/>
          <w:sz w:val="22"/>
          <w:szCs w:val="22"/>
        </w:rPr>
        <w:t>m</w:t>
      </w:r>
      <w:r w:rsidR="0027276B" w:rsidRPr="001B05C8">
        <w:rPr>
          <w:rFonts w:ascii="GillSans Light" w:hAnsi="GillSans Light"/>
          <w:sz w:val="22"/>
          <w:szCs w:val="22"/>
        </w:rPr>
        <w:t>aintains its position that directing funds into energy efficiency projects will deliver greater emission reduction benefits than the purchase of “green power”, at least in the short to medium-term.</w:t>
      </w:r>
    </w:p>
    <w:p w:rsidR="008A091D" w:rsidRDefault="008A091D" w:rsidP="008A091D">
      <w:pPr>
        <w:pStyle w:val="Default"/>
        <w:spacing w:after="140"/>
        <w:rPr>
          <w:rFonts w:ascii="GillSans Light" w:hAnsi="GillSans Light"/>
          <w:sz w:val="22"/>
          <w:szCs w:val="22"/>
        </w:rPr>
      </w:pPr>
    </w:p>
    <w:p w:rsidR="00587CA7" w:rsidRDefault="00587CA7" w:rsidP="008A091D">
      <w:pPr>
        <w:pStyle w:val="Default"/>
        <w:spacing w:after="140"/>
        <w:rPr>
          <w:rFonts w:ascii="GillSans Light" w:hAnsi="GillSans Light"/>
          <w:sz w:val="22"/>
          <w:szCs w:val="22"/>
        </w:rPr>
      </w:pPr>
    </w:p>
    <w:p w:rsidR="00587CA7" w:rsidRDefault="00587CA7" w:rsidP="008A091D">
      <w:pPr>
        <w:pStyle w:val="Default"/>
        <w:spacing w:after="140"/>
        <w:rPr>
          <w:rFonts w:ascii="GillSans Light" w:hAnsi="GillSans Light"/>
          <w:sz w:val="22"/>
          <w:szCs w:val="22"/>
        </w:rPr>
      </w:pPr>
    </w:p>
    <w:p w:rsidR="00587CA7" w:rsidRPr="001B05C8" w:rsidRDefault="00587CA7" w:rsidP="008A091D">
      <w:pPr>
        <w:pStyle w:val="Default"/>
        <w:spacing w:after="140"/>
        <w:rPr>
          <w:rFonts w:ascii="GillSans Light" w:hAnsi="GillSans Light"/>
          <w:sz w:val="22"/>
          <w:szCs w:val="22"/>
        </w:rPr>
      </w:pPr>
    </w:p>
    <w:p w:rsidR="0027276B" w:rsidRPr="001B05C8" w:rsidRDefault="0027276B" w:rsidP="00691BE5">
      <w:pPr>
        <w:sectPr w:rsidR="0027276B" w:rsidRPr="001B05C8" w:rsidSect="00CB41D0">
          <w:type w:val="continuous"/>
          <w:pgSz w:w="11906" w:h="16838" w:code="9"/>
          <w:pgMar w:top="907" w:right="1134" w:bottom="720" w:left="1134" w:header="709" w:footer="709" w:gutter="0"/>
          <w:cols w:num="2" w:space="708"/>
          <w:docGrid w:linePitch="360"/>
        </w:sectPr>
      </w:pPr>
    </w:p>
    <w:p w:rsidR="00691BE5" w:rsidRPr="001B05C8" w:rsidRDefault="00691BE5" w:rsidP="002C3F18">
      <w:pPr>
        <w:pStyle w:val="Heading2"/>
      </w:pPr>
      <w:r w:rsidRPr="001B05C8">
        <w:lastRenderedPageBreak/>
        <w:br w:type="page"/>
      </w:r>
    </w:p>
    <w:p w:rsidR="00691BE5" w:rsidRPr="001B05C8" w:rsidRDefault="005D5D3D" w:rsidP="00912891">
      <w:pPr>
        <w:pStyle w:val="Heading1"/>
      </w:pPr>
      <w:bookmarkStart w:id="16" w:name="_Toc430351453"/>
      <w:r w:rsidRPr="001B05C8">
        <w:lastRenderedPageBreak/>
        <w:t>Risk Management</w:t>
      </w:r>
      <w:bookmarkEnd w:id="16"/>
    </w:p>
    <w:p w:rsidR="00D764CB" w:rsidRPr="001B05C8" w:rsidRDefault="00D764CB" w:rsidP="005719F7">
      <w:pPr>
        <w:sectPr w:rsidR="00D764CB" w:rsidRPr="001B05C8" w:rsidSect="00CB41D0">
          <w:type w:val="continuous"/>
          <w:pgSz w:w="11906" w:h="16838" w:code="9"/>
          <w:pgMar w:top="907" w:right="1134" w:bottom="720" w:left="1134" w:header="709" w:footer="709" w:gutter="0"/>
          <w:cols w:space="708"/>
          <w:docGrid w:linePitch="360"/>
        </w:sectPr>
      </w:pPr>
    </w:p>
    <w:p w:rsidR="00511177" w:rsidRDefault="00D764CB" w:rsidP="005719F7">
      <w:r w:rsidRPr="001B05C8">
        <w:lastRenderedPageBreak/>
        <w:t>The Department</w:t>
      </w:r>
      <w:r w:rsidR="008A091D">
        <w:t xml:space="preserve"> of Health and Human Services </w:t>
      </w:r>
      <w:r w:rsidRPr="001B05C8">
        <w:t xml:space="preserve">has a Risk Management Framework in place which </w:t>
      </w:r>
      <w:r w:rsidR="00313930" w:rsidRPr="001B05C8">
        <w:t>guides the enterprise</w:t>
      </w:r>
      <w:r w:rsidR="00313930" w:rsidRPr="001B05C8">
        <w:noBreakHyphen/>
        <w:t xml:space="preserve">wide </w:t>
      </w:r>
      <w:r w:rsidRPr="001B05C8">
        <w:t>approach to risk management</w:t>
      </w:r>
      <w:r w:rsidR="00313930" w:rsidRPr="001B05C8">
        <w:t xml:space="preserve">. It aims </w:t>
      </w:r>
      <w:r w:rsidRPr="001B05C8">
        <w:t>to improve decision making, accountability and outcomes th</w:t>
      </w:r>
      <w:r w:rsidR="00511177">
        <w:t>rough effective risk management;</w:t>
      </w:r>
      <w:r w:rsidRPr="001B05C8">
        <w:t xml:space="preserve"> to integrate risk into daily work management</w:t>
      </w:r>
      <w:r w:rsidR="00511177">
        <w:t>;</w:t>
      </w:r>
      <w:r w:rsidRPr="001B05C8">
        <w:t xml:space="preserve"> and to acknowledge that tolerating various degrees of risk</w:t>
      </w:r>
      <w:r w:rsidR="00313930" w:rsidRPr="001B05C8">
        <w:t>,</w:t>
      </w:r>
      <w:r w:rsidRPr="001B05C8">
        <w:t xml:space="preserve"> using the risk management process</w:t>
      </w:r>
      <w:r w:rsidR="00313930" w:rsidRPr="001B05C8">
        <w:t>,</w:t>
      </w:r>
      <w:r w:rsidRPr="001B05C8">
        <w:t xml:space="preserve"> is necessary and acceptable in seeking to deliver the Depa</w:t>
      </w:r>
      <w:r w:rsidR="00D065C6">
        <w:t>rtment’s strategic priorities.</w:t>
      </w:r>
    </w:p>
    <w:p w:rsidR="005719F7" w:rsidRPr="001B05C8" w:rsidRDefault="000F1905" w:rsidP="005719F7">
      <w:r>
        <w:br w:type="column"/>
      </w:r>
      <w:r w:rsidR="00D764CB" w:rsidRPr="001B05C8">
        <w:lastRenderedPageBreak/>
        <w:t xml:space="preserve">The Framework supports a culture of enterprise risk management which links to, and adds value to, the annual </w:t>
      </w:r>
      <w:r w:rsidR="00313930" w:rsidRPr="001B05C8">
        <w:t xml:space="preserve">business </w:t>
      </w:r>
      <w:r w:rsidR="00D764CB" w:rsidRPr="001B05C8">
        <w:t xml:space="preserve">planning cycle. </w:t>
      </w:r>
    </w:p>
    <w:p w:rsidR="00D764CB" w:rsidRPr="001B05C8" w:rsidRDefault="00D764CB" w:rsidP="005D5D3D">
      <w:pPr>
        <w:pStyle w:val="Heading2"/>
        <w:sectPr w:rsidR="00D764CB" w:rsidRPr="001B05C8" w:rsidSect="00CB41D0">
          <w:type w:val="continuous"/>
          <w:pgSz w:w="11906" w:h="16838" w:code="9"/>
          <w:pgMar w:top="907" w:right="1134" w:bottom="720" w:left="1134" w:header="709" w:footer="709" w:gutter="0"/>
          <w:cols w:num="2" w:space="708"/>
          <w:docGrid w:linePitch="360"/>
        </w:sectPr>
      </w:pPr>
    </w:p>
    <w:p w:rsidR="005D5D3D" w:rsidRPr="001B05C8" w:rsidRDefault="005D5D3D" w:rsidP="005D5D3D">
      <w:pPr>
        <w:pStyle w:val="Heading2"/>
      </w:pPr>
      <w:r w:rsidRPr="001B05C8">
        <w:lastRenderedPageBreak/>
        <w:t>Insurable Risk</w:t>
      </w:r>
    </w:p>
    <w:p w:rsidR="005D5D3D" w:rsidRPr="001B05C8" w:rsidRDefault="005D5D3D" w:rsidP="005D5D3D">
      <w:pPr>
        <w:sectPr w:rsidR="005D5D3D" w:rsidRPr="001B05C8" w:rsidSect="00CB41D0">
          <w:type w:val="continuous"/>
          <w:pgSz w:w="11906" w:h="16838" w:code="9"/>
          <w:pgMar w:top="907" w:right="1134" w:bottom="720" w:left="1134" w:header="709" w:footer="709" w:gutter="0"/>
          <w:cols w:space="708"/>
          <w:docGrid w:linePitch="360"/>
        </w:sectPr>
      </w:pPr>
    </w:p>
    <w:p w:rsidR="005D5D3D" w:rsidRDefault="005D5D3D" w:rsidP="005D5D3D">
      <w:r w:rsidRPr="001B05C8">
        <w:lastRenderedPageBreak/>
        <w:t xml:space="preserve">The Department has coverage for various classes of insurable risk through the Tasmanian Risk Management Fund, administered by the Department of Treasury and Finance.  </w:t>
      </w:r>
    </w:p>
    <w:p w:rsidR="00511177" w:rsidRDefault="005D5D3D" w:rsidP="00587CA7">
      <w:r w:rsidRPr="001B05C8">
        <w:lastRenderedPageBreak/>
        <w:t xml:space="preserve">During 2014-15, </w:t>
      </w:r>
      <w:r w:rsidR="00511177">
        <w:t>DHHS</w:t>
      </w:r>
      <w:r w:rsidRPr="001B05C8">
        <w:t xml:space="preserve"> made the following contributions to the Fund and lodged the following claims</w:t>
      </w:r>
      <w:r w:rsidR="00313930" w:rsidRPr="001B05C8">
        <w:t>.</w:t>
      </w:r>
    </w:p>
    <w:p w:rsidR="00511177" w:rsidRPr="001B05C8" w:rsidRDefault="00511177" w:rsidP="00587CA7">
      <w:pPr>
        <w:spacing w:after="0" w:line="240" w:lineRule="auto"/>
        <w:sectPr w:rsidR="00511177" w:rsidRPr="001B05C8" w:rsidSect="00CB41D0">
          <w:type w:val="continuous"/>
          <w:pgSz w:w="11906" w:h="16838" w:code="9"/>
          <w:pgMar w:top="907" w:right="1134" w:bottom="720" w:left="1134" w:header="709" w:footer="709" w:gutter="0"/>
          <w:cols w:num="2" w:space="708"/>
          <w:docGrid w:linePitch="360"/>
        </w:sectPr>
      </w:pPr>
    </w:p>
    <w:tbl>
      <w:tblPr>
        <w:tblW w:w="9418" w:type="dxa"/>
        <w:tblInd w:w="108" w:type="dxa"/>
        <w:tblBorders>
          <w:top w:val="single" w:sz="2" w:space="0" w:color="808080"/>
          <w:insideH w:val="single" w:sz="2" w:space="0" w:color="808080"/>
        </w:tblBorders>
        <w:tblLook w:val="04A0" w:firstRow="1" w:lastRow="0" w:firstColumn="1" w:lastColumn="0" w:noHBand="0" w:noVBand="1"/>
      </w:tblPr>
      <w:tblGrid>
        <w:gridCol w:w="2975"/>
        <w:gridCol w:w="1276"/>
        <w:gridCol w:w="1559"/>
        <w:gridCol w:w="1275"/>
        <w:gridCol w:w="996"/>
        <w:gridCol w:w="1337"/>
      </w:tblGrid>
      <w:tr w:rsidR="005D5D3D" w:rsidRPr="004E453D" w:rsidTr="000F1905">
        <w:tc>
          <w:tcPr>
            <w:tcW w:w="2975" w:type="dxa"/>
            <w:tcBorders>
              <w:top w:val="nil"/>
              <w:bottom w:val="single" w:sz="4" w:space="0" w:color="808080" w:themeColor="background1" w:themeShade="80"/>
            </w:tcBorders>
            <w:shd w:val="clear" w:color="auto" w:fill="FFFFFF"/>
            <w:vAlign w:val="bottom"/>
          </w:tcPr>
          <w:p w:rsidR="005D5D3D" w:rsidRPr="004E453D" w:rsidRDefault="005D5D3D" w:rsidP="00587CA7">
            <w:pPr>
              <w:spacing w:after="0" w:line="240" w:lineRule="auto"/>
              <w:rPr>
                <w:b/>
                <w:bCs/>
                <w:sz w:val="18"/>
                <w:szCs w:val="18"/>
              </w:rPr>
            </w:pPr>
            <w:r w:rsidRPr="004E453D">
              <w:rPr>
                <w:sz w:val="18"/>
                <w:szCs w:val="18"/>
              </w:rPr>
              <w:lastRenderedPageBreak/>
              <w:br w:type="column"/>
            </w:r>
            <w:bookmarkStart w:id="17" w:name="_Toc302466446"/>
            <w:bookmarkStart w:id="18" w:name="_Toc303757980"/>
            <w:bookmarkStart w:id="19" w:name="_Toc304278970"/>
            <w:r w:rsidRPr="004E453D">
              <w:rPr>
                <w:b/>
                <w:bCs/>
                <w:sz w:val="18"/>
                <w:szCs w:val="18"/>
              </w:rPr>
              <w:t>Risk by Class</w:t>
            </w:r>
            <w:bookmarkEnd w:id="17"/>
            <w:bookmarkEnd w:id="18"/>
            <w:bookmarkEnd w:id="19"/>
          </w:p>
        </w:tc>
        <w:tc>
          <w:tcPr>
            <w:tcW w:w="1276" w:type="dxa"/>
            <w:tcBorders>
              <w:top w:val="nil"/>
              <w:bottom w:val="single" w:sz="4" w:space="0" w:color="808080" w:themeColor="background1" w:themeShade="80"/>
            </w:tcBorders>
            <w:shd w:val="clear" w:color="auto" w:fill="FFFFFF"/>
            <w:vAlign w:val="bottom"/>
          </w:tcPr>
          <w:p w:rsidR="005D5D3D" w:rsidRPr="004E453D" w:rsidRDefault="005D5D3D" w:rsidP="000F1905">
            <w:pPr>
              <w:spacing w:after="0" w:line="240" w:lineRule="auto"/>
              <w:jc w:val="right"/>
              <w:rPr>
                <w:b/>
                <w:bCs/>
                <w:sz w:val="18"/>
                <w:szCs w:val="18"/>
              </w:rPr>
            </w:pPr>
            <w:bookmarkStart w:id="20" w:name="_Toc302466447"/>
            <w:bookmarkStart w:id="21" w:name="_Toc303757981"/>
            <w:bookmarkStart w:id="22" w:name="_Toc304278971"/>
            <w:r w:rsidRPr="004E453D">
              <w:rPr>
                <w:b/>
                <w:bCs/>
                <w:sz w:val="18"/>
                <w:szCs w:val="18"/>
              </w:rPr>
              <w:t xml:space="preserve">Excess Period/$ </w:t>
            </w:r>
            <w:bookmarkEnd w:id="20"/>
            <w:bookmarkEnd w:id="21"/>
            <w:bookmarkEnd w:id="22"/>
          </w:p>
        </w:tc>
        <w:tc>
          <w:tcPr>
            <w:tcW w:w="1559" w:type="dxa"/>
            <w:tcBorders>
              <w:top w:val="nil"/>
              <w:bottom w:val="single" w:sz="4" w:space="0" w:color="808080" w:themeColor="background1" w:themeShade="80"/>
            </w:tcBorders>
            <w:shd w:val="clear" w:color="auto" w:fill="FFFFFF"/>
            <w:vAlign w:val="bottom"/>
          </w:tcPr>
          <w:p w:rsidR="005D5D3D" w:rsidRPr="004E453D" w:rsidRDefault="005D5D3D" w:rsidP="00587CA7">
            <w:pPr>
              <w:spacing w:after="0" w:line="240" w:lineRule="auto"/>
              <w:jc w:val="right"/>
              <w:rPr>
                <w:b/>
                <w:bCs/>
                <w:sz w:val="18"/>
                <w:szCs w:val="18"/>
              </w:rPr>
            </w:pPr>
            <w:bookmarkStart w:id="23" w:name="_Toc302466448"/>
            <w:bookmarkStart w:id="24" w:name="_Toc303757982"/>
            <w:bookmarkStart w:id="25" w:name="_Toc304278972"/>
            <w:r w:rsidRPr="004E453D">
              <w:rPr>
                <w:b/>
                <w:bCs/>
                <w:sz w:val="18"/>
                <w:szCs w:val="18"/>
              </w:rPr>
              <w:t xml:space="preserve">Contribution $ </w:t>
            </w:r>
            <w:r w:rsidRPr="000F1905">
              <w:rPr>
                <w:b/>
                <w:bCs/>
                <w:sz w:val="18"/>
                <w:szCs w:val="18"/>
              </w:rPr>
              <w:t>(GST Exclusive)</w:t>
            </w:r>
            <w:bookmarkEnd w:id="23"/>
            <w:bookmarkEnd w:id="24"/>
            <w:bookmarkEnd w:id="25"/>
          </w:p>
        </w:tc>
        <w:tc>
          <w:tcPr>
            <w:tcW w:w="1275" w:type="dxa"/>
            <w:tcBorders>
              <w:top w:val="nil"/>
              <w:bottom w:val="single" w:sz="4" w:space="0" w:color="808080" w:themeColor="background1" w:themeShade="80"/>
            </w:tcBorders>
            <w:shd w:val="clear" w:color="auto" w:fill="FFFFFF"/>
            <w:vAlign w:val="bottom"/>
          </w:tcPr>
          <w:p w:rsidR="005D5D3D" w:rsidRPr="004E453D" w:rsidRDefault="005D5D3D" w:rsidP="00587CA7">
            <w:pPr>
              <w:spacing w:after="0" w:line="240" w:lineRule="auto"/>
              <w:jc w:val="right"/>
              <w:rPr>
                <w:b/>
                <w:bCs/>
                <w:sz w:val="18"/>
                <w:szCs w:val="18"/>
              </w:rPr>
            </w:pPr>
            <w:r w:rsidRPr="004E453D">
              <w:rPr>
                <w:b/>
                <w:bCs/>
                <w:sz w:val="18"/>
                <w:szCs w:val="18"/>
              </w:rPr>
              <w:t>GST</w:t>
            </w:r>
          </w:p>
        </w:tc>
        <w:tc>
          <w:tcPr>
            <w:tcW w:w="996" w:type="dxa"/>
            <w:tcBorders>
              <w:top w:val="nil"/>
              <w:bottom w:val="single" w:sz="4" w:space="0" w:color="808080" w:themeColor="background1" w:themeShade="80"/>
            </w:tcBorders>
            <w:shd w:val="clear" w:color="auto" w:fill="FFFFFF"/>
            <w:vAlign w:val="bottom"/>
          </w:tcPr>
          <w:p w:rsidR="005D5D3D" w:rsidRPr="004E453D" w:rsidRDefault="005D5D3D" w:rsidP="00587CA7">
            <w:pPr>
              <w:spacing w:after="0" w:line="240" w:lineRule="auto"/>
              <w:jc w:val="right"/>
              <w:rPr>
                <w:b/>
                <w:bCs/>
                <w:sz w:val="18"/>
                <w:szCs w:val="18"/>
              </w:rPr>
            </w:pPr>
            <w:bookmarkStart w:id="26" w:name="_Toc302466449"/>
            <w:bookmarkStart w:id="27" w:name="_Toc303757983"/>
            <w:bookmarkStart w:id="28" w:name="_Toc304278973"/>
            <w:r w:rsidRPr="004E453D">
              <w:rPr>
                <w:b/>
                <w:bCs/>
                <w:sz w:val="18"/>
                <w:szCs w:val="18"/>
              </w:rPr>
              <w:t>Number of claims</w:t>
            </w:r>
            <w:bookmarkEnd w:id="26"/>
            <w:bookmarkEnd w:id="27"/>
            <w:bookmarkEnd w:id="28"/>
            <w:r w:rsidRPr="004E453D">
              <w:rPr>
                <w:b/>
                <w:bCs/>
                <w:sz w:val="18"/>
                <w:szCs w:val="18"/>
                <w:vertAlign w:val="superscript"/>
              </w:rPr>
              <w:t>1</w:t>
            </w:r>
          </w:p>
        </w:tc>
        <w:tc>
          <w:tcPr>
            <w:tcW w:w="1337" w:type="dxa"/>
            <w:tcBorders>
              <w:top w:val="nil"/>
              <w:bottom w:val="single" w:sz="4" w:space="0" w:color="808080" w:themeColor="background1" w:themeShade="80"/>
            </w:tcBorders>
            <w:shd w:val="clear" w:color="auto" w:fill="FFFFFF"/>
            <w:vAlign w:val="bottom"/>
          </w:tcPr>
          <w:p w:rsidR="005D5D3D" w:rsidRPr="004E453D" w:rsidRDefault="005D5D3D" w:rsidP="00587CA7">
            <w:pPr>
              <w:spacing w:after="0" w:line="240" w:lineRule="auto"/>
              <w:jc w:val="right"/>
              <w:rPr>
                <w:b/>
                <w:bCs/>
                <w:sz w:val="18"/>
                <w:szCs w:val="18"/>
              </w:rPr>
            </w:pPr>
            <w:bookmarkStart w:id="29" w:name="_Toc302466450"/>
            <w:bookmarkStart w:id="30" w:name="_Toc303757984"/>
            <w:bookmarkStart w:id="31" w:name="_Toc304278974"/>
            <w:r w:rsidRPr="004E453D">
              <w:rPr>
                <w:b/>
                <w:bCs/>
                <w:sz w:val="18"/>
                <w:szCs w:val="18"/>
              </w:rPr>
              <w:t xml:space="preserve">Claims incurred $ </w:t>
            </w:r>
            <w:r w:rsidRPr="000F1905">
              <w:rPr>
                <w:b/>
                <w:bCs/>
                <w:sz w:val="18"/>
                <w:szCs w:val="18"/>
              </w:rPr>
              <w:t>(GST Exclusive)</w:t>
            </w:r>
            <w:bookmarkEnd w:id="29"/>
            <w:bookmarkEnd w:id="30"/>
            <w:bookmarkEnd w:id="31"/>
          </w:p>
        </w:tc>
      </w:tr>
      <w:tr w:rsidR="005D5D3D" w:rsidRPr="004E453D" w:rsidTr="00511177">
        <w:tc>
          <w:tcPr>
            <w:tcW w:w="2975" w:type="dxa"/>
            <w:tcBorders>
              <w:top w:val="single" w:sz="4" w:space="0" w:color="808080" w:themeColor="background1" w:themeShade="80"/>
            </w:tcBorders>
          </w:tcPr>
          <w:p w:rsidR="005D5D3D" w:rsidRPr="004E453D" w:rsidRDefault="005D5D3D" w:rsidP="005719F7">
            <w:pPr>
              <w:spacing w:before="60" w:after="60" w:line="240" w:lineRule="auto"/>
              <w:rPr>
                <w:b/>
                <w:bCs/>
                <w:sz w:val="18"/>
                <w:szCs w:val="18"/>
              </w:rPr>
            </w:pPr>
            <w:bookmarkStart w:id="32" w:name="_Toc302466451"/>
            <w:bookmarkStart w:id="33" w:name="_Toc303757985"/>
            <w:bookmarkStart w:id="34" w:name="_Toc304278975"/>
            <w:r w:rsidRPr="004E453D">
              <w:rPr>
                <w:b/>
                <w:bCs/>
                <w:sz w:val="18"/>
                <w:szCs w:val="18"/>
              </w:rPr>
              <w:t>Personal Injury</w:t>
            </w:r>
            <w:bookmarkEnd w:id="32"/>
            <w:bookmarkEnd w:id="33"/>
            <w:bookmarkEnd w:id="34"/>
          </w:p>
        </w:tc>
        <w:tc>
          <w:tcPr>
            <w:tcW w:w="1276" w:type="dxa"/>
            <w:tcBorders>
              <w:top w:val="single" w:sz="4" w:space="0" w:color="808080" w:themeColor="background1" w:themeShade="80"/>
            </w:tcBorders>
          </w:tcPr>
          <w:p w:rsidR="005D5D3D" w:rsidRPr="004E453D" w:rsidRDefault="005D5D3D" w:rsidP="005719F7">
            <w:pPr>
              <w:spacing w:before="60" w:after="60" w:line="240" w:lineRule="auto"/>
              <w:jc w:val="right"/>
              <w:rPr>
                <w:bCs/>
                <w:sz w:val="18"/>
                <w:szCs w:val="18"/>
              </w:rPr>
            </w:pPr>
          </w:p>
        </w:tc>
        <w:tc>
          <w:tcPr>
            <w:tcW w:w="1559" w:type="dxa"/>
            <w:tcBorders>
              <w:top w:val="single" w:sz="4" w:space="0" w:color="808080" w:themeColor="background1" w:themeShade="80"/>
            </w:tcBorders>
          </w:tcPr>
          <w:p w:rsidR="005D5D3D" w:rsidRPr="004E453D" w:rsidRDefault="005D5D3D" w:rsidP="005719F7">
            <w:pPr>
              <w:spacing w:before="60" w:after="60" w:line="240" w:lineRule="auto"/>
              <w:jc w:val="right"/>
              <w:rPr>
                <w:bCs/>
                <w:sz w:val="18"/>
                <w:szCs w:val="18"/>
              </w:rPr>
            </w:pPr>
          </w:p>
        </w:tc>
        <w:tc>
          <w:tcPr>
            <w:tcW w:w="1275" w:type="dxa"/>
            <w:tcBorders>
              <w:top w:val="single" w:sz="4" w:space="0" w:color="808080" w:themeColor="background1" w:themeShade="80"/>
            </w:tcBorders>
          </w:tcPr>
          <w:p w:rsidR="005D5D3D" w:rsidRPr="004E453D" w:rsidRDefault="005D5D3D" w:rsidP="005719F7">
            <w:pPr>
              <w:spacing w:before="60" w:after="60" w:line="240" w:lineRule="auto"/>
              <w:jc w:val="right"/>
              <w:rPr>
                <w:bCs/>
                <w:sz w:val="18"/>
                <w:szCs w:val="18"/>
              </w:rPr>
            </w:pPr>
          </w:p>
        </w:tc>
        <w:tc>
          <w:tcPr>
            <w:tcW w:w="996" w:type="dxa"/>
            <w:tcBorders>
              <w:top w:val="single" w:sz="4" w:space="0" w:color="808080" w:themeColor="background1" w:themeShade="80"/>
            </w:tcBorders>
          </w:tcPr>
          <w:p w:rsidR="005D5D3D" w:rsidRPr="004E453D" w:rsidRDefault="005D5D3D" w:rsidP="005719F7">
            <w:pPr>
              <w:spacing w:before="60" w:after="60" w:line="240" w:lineRule="auto"/>
              <w:jc w:val="right"/>
              <w:rPr>
                <w:bCs/>
                <w:sz w:val="18"/>
                <w:szCs w:val="18"/>
              </w:rPr>
            </w:pPr>
          </w:p>
        </w:tc>
        <w:tc>
          <w:tcPr>
            <w:tcW w:w="1337" w:type="dxa"/>
            <w:tcBorders>
              <w:top w:val="single" w:sz="4" w:space="0" w:color="808080" w:themeColor="background1" w:themeShade="80"/>
            </w:tcBorders>
          </w:tcPr>
          <w:p w:rsidR="005D5D3D" w:rsidRPr="004E453D" w:rsidRDefault="005D5D3D" w:rsidP="005719F7">
            <w:pPr>
              <w:spacing w:before="60" w:after="60" w:line="240" w:lineRule="auto"/>
              <w:jc w:val="right"/>
              <w:rPr>
                <w:bCs/>
                <w:sz w:val="18"/>
                <w:szCs w:val="18"/>
              </w:rPr>
            </w:pPr>
          </w:p>
        </w:tc>
      </w:tr>
      <w:tr w:rsidR="005D5D3D" w:rsidRPr="004E453D" w:rsidTr="005D5D3D">
        <w:tc>
          <w:tcPr>
            <w:tcW w:w="2975" w:type="dxa"/>
          </w:tcPr>
          <w:p w:rsidR="005D5D3D" w:rsidRPr="004E453D" w:rsidRDefault="005D5D3D" w:rsidP="0013473F">
            <w:pPr>
              <w:spacing w:beforeLines="20" w:before="48" w:afterLines="20" w:after="48" w:line="240" w:lineRule="auto"/>
              <w:rPr>
                <w:b/>
                <w:bCs/>
                <w:sz w:val="18"/>
                <w:szCs w:val="18"/>
              </w:rPr>
            </w:pPr>
            <w:bookmarkStart w:id="35" w:name="_Toc302466452"/>
            <w:bookmarkStart w:id="36" w:name="_Toc303757986"/>
            <w:bookmarkStart w:id="37" w:name="_Toc304278976"/>
            <w:r w:rsidRPr="004E453D">
              <w:rPr>
                <w:bCs/>
                <w:sz w:val="18"/>
                <w:szCs w:val="18"/>
              </w:rPr>
              <w:t>Workers’ Compensation</w:t>
            </w:r>
            <w:bookmarkEnd w:id="35"/>
            <w:bookmarkEnd w:id="36"/>
            <w:bookmarkEnd w:id="37"/>
            <w:r w:rsidR="0013473F" w:rsidRPr="004E453D">
              <w:rPr>
                <w:bCs/>
                <w:sz w:val="18"/>
                <w:szCs w:val="18"/>
              </w:rPr>
              <w:br/>
            </w:r>
            <w:r w:rsidRPr="004E453D">
              <w:rPr>
                <w:bCs/>
                <w:sz w:val="18"/>
                <w:szCs w:val="18"/>
              </w:rPr>
              <w:t>Personal Accident (including 2012-13 salary adjustment)</w:t>
            </w:r>
          </w:p>
        </w:tc>
        <w:tc>
          <w:tcPr>
            <w:tcW w:w="1276" w:type="dxa"/>
          </w:tcPr>
          <w:p w:rsidR="005D5D3D" w:rsidRPr="004E453D" w:rsidRDefault="005D5D3D" w:rsidP="0013473F">
            <w:pPr>
              <w:spacing w:beforeLines="20" w:before="48" w:afterLines="20" w:after="48" w:line="240" w:lineRule="auto"/>
              <w:jc w:val="right"/>
              <w:rPr>
                <w:bCs/>
                <w:sz w:val="18"/>
                <w:szCs w:val="18"/>
              </w:rPr>
            </w:pPr>
            <w:r w:rsidRPr="004E453D">
              <w:rPr>
                <w:bCs/>
                <w:sz w:val="18"/>
                <w:szCs w:val="18"/>
              </w:rPr>
              <w:t>26 weeks</w:t>
            </w:r>
            <w:r w:rsidR="0013473F" w:rsidRPr="004E453D">
              <w:rPr>
                <w:bCs/>
                <w:sz w:val="18"/>
                <w:szCs w:val="18"/>
              </w:rPr>
              <w:br/>
            </w:r>
            <w:r w:rsidRPr="004E453D">
              <w:rPr>
                <w:bCs/>
                <w:sz w:val="18"/>
                <w:szCs w:val="18"/>
              </w:rPr>
              <w:t>50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4 941 684</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 xml:space="preserve">494 168 </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563</w:t>
            </w:r>
          </w:p>
          <w:p w:rsidR="005D5D3D" w:rsidRPr="004E453D" w:rsidRDefault="005D5D3D" w:rsidP="00587CA7">
            <w:pPr>
              <w:spacing w:beforeLines="20" w:before="48" w:afterLines="20" w:after="48" w:line="240" w:lineRule="auto"/>
              <w:jc w:val="right"/>
              <w:rPr>
                <w:bCs/>
                <w:sz w:val="18"/>
                <w:szCs w:val="18"/>
              </w:rPr>
            </w:pPr>
            <w:r w:rsidRPr="004E453D">
              <w:rPr>
                <w:bCs/>
                <w:sz w:val="18"/>
                <w:szCs w:val="18"/>
              </w:rPr>
              <w:t>1</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15 082 716</w:t>
            </w:r>
          </w:p>
          <w:p w:rsidR="005D5D3D" w:rsidRPr="004E453D" w:rsidRDefault="005D5D3D" w:rsidP="00587CA7">
            <w:pPr>
              <w:spacing w:beforeLines="20" w:before="48" w:afterLines="20" w:after="48" w:line="240" w:lineRule="auto"/>
              <w:jc w:val="right"/>
              <w:rPr>
                <w:bCs/>
                <w:sz w:val="18"/>
                <w:szCs w:val="18"/>
              </w:rPr>
            </w:pPr>
            <w:r w:rsidRPr="004E453D">
              <w:rPr>
                <w:bCs/>
                <w:sz w:val="18"/>
                <w:szCs w:val="18"/>
              </w:rPr>
              <w:t>13 110</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r w:rsidRPr="004E453D">
              <w:rPr>
                <w:bCs/>
                <w:sz w:val="18"/>
                <w:szCs w:val="18"/>
              </w:rPr>
              <w:t>Asbestos Levy</w:t>
            </w:r>
            <w:r w:rsidRPr="004E453D">
              <w:rPr>
                <w:b/>
                <w:bCs/>
                <w:sz w:val="18"/>
                <w:szCs w:val="18"/>
                <w:vertAlign w:val="superscript"/>
              </w:rPr>
              <w:t>2</w:t>
            </w:r>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194 527</w:t>
            </w:r>
          </w:p>
        </w:tc>
        <w:tc>
          <w:tcPr>
            <w:tcW w:w="1275" w:type="dxa"/>
          </w:tcPr>
          <w:p w:rsidR="005D5D3D" w:rsidRPr="004E453D" w:rsidRDefault="005D5D3D" w:rsidP="00587CA7">
            <w:pPr>
              <w:spacing w:beforeLines="20" w:before="48" w:afterLines="20" w:after="48" w:line="240" w:lineRule="auto"/>
              <w:jc w:val="center"/>
              <w:rPr>
                <w:bCs/>
                <w:sz w:val="18"/>
                <w:szCs w:val="18"/>
              </w:rPr>
            </w:pPr>
            <w:r w:rsidRPr="004E453D">
              <w:rPr>
                <w:bCs/>
                <w:sz w:val="18"/>
                <w:szCs w:val="18"/>
              </w:rPr>
              <w:t>-</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0</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38" w:name="_Toc302466462"/>
            <w:bookmarkStart w:id="39" w:name="_Toc303757996"/>
            <w:bookmarkStart w:id="40" w:name="_Toc304278986"/>
            <w:r w:rsidRPr="004E453D">
              <w:rPr>
                <w:bCs/>
                <w:sz w:val="18"/>
                <w:szCs w:val="18"/>
              </w:rPr>
              <w:t>Aero Medical Retrieval</w:t>
            </w:r>
            <w:bookmarkEnd w:id="38"/>
            <w:bookmarkEnd w:id="39"/>
            <w:bookmarkEnd w:id="40"/>
            <w:r w:rsidRPr="004E453D">
              <w:rPr>
                <w:b/>
                <w:bCs/>
                <w:sz w:val="18"/>
                <w:szCs w:val="18"/>
                <w:vertAlign w:val="superscript"/>
              </w:rPr>
              <w:t>3</w:t>
            </w:r>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78 500</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7 850</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0</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0</w:t>
            </w:r>
          </w:p>
        </w:tc>
      </w:tr>
      <w:tr w:rsidR="005D5D3D" w:rsidRPr="004E453D" w:rsidTr="005D5D3D">
        <w:tc>
          <w:tcPr>
            <w:tcW w:w="2975" w:type="dxa"/>
          </w:tcPr>
          <w:p w:rsidR="005D5D3D" w:rsidRPr="004E453D" w:rsidRDefault="005D5D3D" w:rsidP="00587CA7">
            <w:pPr>
              <w:spacing w:beforeLines="20" w:before="48" w:afterLines="20" w:after="48" w:line="240" w:lineRule="auto"/>
              <w:rPr>
                <w:b/>
                <w:bCs/>
                <w:sz w:val="18"/>
                <w:szCs w:val="18"/>
              </w:rPr>
            </w:pPr>
            <w:bookmarkStart w:id="41" w:name="_Toc302466467"/>
            <w:bookmarkStart w:id="42" w:name="_Toc303758001"/>
            <w:bookmarkStart w:id="43" w:name="_Toc304278991"/>
            <w:r w:rsidRPr="004E453D">
              <w:rPr>
                <w:b/>
                <w:bCs/>
                <w:sz w:val="18"/>
                <w:szCs w:val="18"/>
              </w:rPr>
              <w:t>Property</w:t>
            </w:r>
            <w:bookmarkEnd w:id="41"/>
            <w:bookmarkEnd w:id="42"/>
            <w:bookmarkEnd w:id="43"/>
          </w:p>
        </w:tc>
        <w:tc>
          <w:tcPr>
            <w:tcW w:w="1276" w:type="dxa"/>
          </w:tcPr>
          <w:p w:rsidR="005D5D3D" w:rsidRPr="004E453D" w:rsidRDefault="005D5D3D" w:rsidP="00587CA7">
            <w:pPr>
              <w:spacing w:beforeLines="20" w:before="48" w:afterLines="20" w:after="48" w:line="240" w:lineRule="auto"/>
              <w:jc w:val="right"/>
              <w:rPr>
                <w:b/>
                <w:bCs/>
                <w:sz w:val="18"/>
                <w:szCs w:val="18"/>
              </w:rPr>
            </w:pPr>
          </w:p>
        </w:tc>
        <w:tc>
          <w:tcPr>
            <w:tcW w:w="1559" w:type="dxa"/>
          </w:tcPr>
          <w:p w:rsidR="005D5D3D" w:rsidRPr="004E453D" w:rsidRDefault="005D5D3D" w:rsidP="00587CA7">
            <w:pPr>
              <w:spacing w:beforeLines="20" w:before="48" w:afterLines="20" w:after="48" w:line="240" w:lineRule="auto"/>
              <w:jc w:val="right"/>
              <w:rPr>
                <w:b/>
                <w:bCs/>
                <w:sz w:val="18"/>
                <w:szCs w:val="18"/>
              </w:rPr>
            </w:pPr>
          </w:p>
        </w:tc>
        <w:tc>
          <w:tcPr>
            <w:tcW w:w="1275" w:type="dxa"/>
          </w:tcPr>
          <w:p w:rsidR="005D5D3D" w:rsidRPr="004E453D" w:rsidRDefault="005D5D3D" w:rsidP="00587CA7">
            <w:pPr>
              <w:spacing w:beforeLines="20" w:before="48" w:afterLines="20" w:after="48" w:line="240" w:lineRule="auto"/>
              <w:jc w:val="right"/>
              <w:rPr>
                <w:b/>
                <w:bCs/>
                <w:sz w:val="18"/>
                <w:szCs w:val="18"/>
              </w:rPr>
            </w:pPr>
          </w:p>
        </w:tc>
        <w:tc>
          <w:tcPr>
            <w:tcW w:w="996" w:type="dxa"/>
          </w:tcPr>
          <w:p w:rsidR="005D5D3D" w:rsidRPr="004E453D" w:rsidRDefault="005D5D3D" w:rsidP="00587CA7">
            <w:pPr>
              <w:spacing w:beforeLines="20" w:before="48" w:afterLines="20" w:after="48" w:line="240" w:lineRule="auto"/>
              <w:jc w:val="right"/>
              <w:rPr>
                <w:b/>
                <w:bCs/>
                <w:sz w:val="18"/>
                <w:szCs w:val="18"/>
              </w:rPr>
            </w:pPr>
          </w:p>
        </w:tc>
        <w:tc>
          <w:tcPr>
            <w:tcW w:w="1337" w:type="dxa"/>
          </w:tcPr>
          <w:p w:rsidR="005D5D3D" w:rsidRPr="004E453D" w:rsidRDefault="005D5D3D" w:rsidP="00587CA7">
            <w:pPr>
              <w:spacing w:beforeLines="20" w:before="48" w:afterLines="20" w:after="48" w:line="240" w:lineRule="auto"/>
              <w:jc w:val="right"/>
              <w:rPr>
                <w:b/>
                <w:bCs/>
                <w:sz w:val="18"/>
                <w:szCs w:val="18"/>
              </w:rPr>
            </w:pP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r w:rsidRPr="004E453D">
              <w:rPr>
                <w:bCs/>
                <w:sz w:val="18"/>
                <w:szCs w:val="18"/>
              </w:rPr>
              <w:t>Housing Stop Loss</w:t>
            </w:r>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10 192 000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466 305</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46 631</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295</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3,615,547</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44" w:name="_Toc302466468"/>
            <w:bookmarkStart w:id="45" w:name="_Toc303758002"/>
            <w:bookmarkStart w:id="46" w:name="_Toc304278992"/>
            <w:r w:rsidRPr="004E453D">
              <w:rPr>
                <w:bCs/>
                <w:sz w:val="18"/>
                <w:szCs w:val="18"/>
              </w:rPr>
              <w:t>General Property</w:t>
            </w:r>
            <w:bookmarkEnd w:id="44"/>
            <w:bookmarkEnd w:id="45"/>
            <w:bookmarkEnd w:id="46"/>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14 000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177 359</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17 736</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29 420</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47" w:name="_Toc302466473"/>
            <w:bookmarkStart w:id="48" w:name="_Toc303758007"/>
            <w:bookmarkStart w:id="49" w:name="_Toc304278997"/>
            <w:r w:rsidRPr="004E453D">
              <w:rPr>
                <w:bCs/>
                <w:sz w:val="18"/>
                <w:szCs w:val="18"/>
              </w:rPr>
              <w:t>Motor Vehicles - Fleet Vehicles</w:t>
            </w:r>
            <w:bookmarkEnd w:id="47"/>
            <w:bookmarkEnd w:id="48"/>
            <w:bookmarkEnd w:id="49"/>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500/1 000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116 358</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11 636</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123</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513 499</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50" w:name="_Toc302466478"/>
            <w:bookmarkStart w:id="51" w:name="_Toc303758012"/>
            <w:bookmarkStart w:id="52" w:name="_Toc304279002"/>
            <w:r w:rsidRPr="004E453D">
              <w:rPr>
                <w:bCs/>
                <w:sz w:val="18"/>
                <w:szCs w:val="18"/>
              </w:rPr>
              <w:t>Motor Vehicles - Miscellaneous</w:t>
            </w:r>
            <w:bookmarkEnd w:id="50"/>
            <w:bookmarkEnd w:id="51"/>
            <w:bookmarkEnd w:id="52"/>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72 088</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7 209</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24</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50 745</w:t>
            </w:r>
          </w:p>
        </w:tc>
      </w:tr>
      <w:tr w:rsidR="005D5D3D" w:rsidRPr="004E453D" w:rsidTr="005D5D3D">
        <w:tc>
          <w:tcPr>
            <w:tcW w:w="2975" w:type="dxa"/>
          </w:tcPr>
          <w:p w:rsidR="005D5D3D" w:rsidRPr="004E453D" w:rsidRDefault="005D5D3D" w:rsidP="00587CA7">
            <w:pPr>
              <w:spacing w:beforeLines="20" w:before="48" w:afterLines="20" w:after="48" w:line="240" w:lineRule="auto"/>
              <w:rPr>
                <w:b/>
                <w:bCs/>
                <w:sz w:val="18"/>
                <w:szCs w:val="18"/>
              </w:rPr>
            </w:pPr>
            <w:bookmarkStart w:id="53" w:name="_Toc302466483"/>
            <w:bookmarkStart w:id="54" w:name="_Toc303758017"/>
            <w:bookmarkStart w:id="55" w:name="_Toc304279007"/>
            <w:r w:rsidRPr="004E453D">
              <w:rPr>
                <w:b/>
                <w:bCs/>
                <w:sz w:val="18"/>
                <w:szCs w:val="18"/>
              </w:rPr>
              <w:t>Liability</w:t>
            </w:r>
            <w:bookmarkEnd w:id="53"/>
            <w:bookmarkEnd w:id="54"/>
            <w:bookmarkEnd w:id="55"/>
          </w:p>
        </w:tc>
        <w:tc>
          <w:tcPr>
            <w:tcW w:w="1276" w:type="dxa"/>
          </w:tcPr>
          <w:p w:rsidR="005D5D3D" w:rsidRPr="004E453D" w:rsidRDefault="005D5D3D" w:rsidP="00587CA7">
            <w:pPr>
              <w:spacing w:beforeLines="20" w:before="48" w:afterLines="20" w:after="48" w:line="240" w:lineRule="auto"/>
              <w:jc w:val="right"/>
              <w:rPr>
                <w:b/>
                <w:bCs/>
                <w:sz w:val="18"/>
                <w:szCs w:val="18"/>
              </w:rPr>
            </w:pPr>
          </w:p>
        </w:tc>
        <w:tc>
          <w:tcPr>
            <w:tcW w:w="1559" w:type="dxa"/>
          </w:tcPr>
          <w:p w:rsidR="005D5D3D" w:rsidRPr="004E453D" w:rsidRDefault="005D5D3D" w:rsidP="00587CA7">
            <w:pPr>
              <w:spacing w:beforeLines="20" w:before="48" w:afterLines="20" w:after="48" w:line="240" w:lineRule="auto"/>
              <w:jc w:val="right"/>
              <w:rPr>
                <w:b/>
                <w:bCs/>
                <w:sz w:val="18"/>
                <w:szCs w:val="18"/>
              </w:rPr>
            </w:pPr>
          </w:p>
        </w:tc>
        <w:tc>
          <w:tcPr>
            <w:tcW w:w="1275" w:type="dxa"/>
          </w:tcPr>
          <w:p w:rsidR="005D5D3D" w:rsidRPr="004E453D" w:rsidRDefault="005D5D3D" w:rsidP="00587CA7">
            <w:pPr>
              <w:spacing w:beforeLines="20" w:before="48" w:afterLines="20" w:after="48" w:line="240" w:lineRule="auto"/>
              <w:jc w:val="right"/>
              <w:rPr>
                <w:b/>
                <w:bCs/>
                <w:sz w:val="18"/>
                <w:szCs w:val="18"/>
              </w:rPr>
            </w:pPr>
          </w:p>
        </w:tc>
        <w:tc>
          <w:tcPr>
            <w:tcW w:w="996" w:type="dxa"/>
          </w:tcPr>
          <w:p w:rsidR="005D5D3D" w:rsidRPr="004E453D" w:rsidRDefault="005D5D3D" w:rsidP="00587CA7">
            <w:pPr>
              <w:spacing w:beforeLines="20" w:before="48" w:afterLines="20" w:after="48" w:line="240" w:lineRule="auto"/>
              <w:jc w:val="right"/>
              <w:rPr>
                <w:b/>
                <w:bCs/>
                <w:sz w:val="18"/>
                <w:szCs w:val="18"/>
              </w:rPr>
            </w:pPr>
          </w:p>
        </w:tc>
        <w:tc>
          <w:tcPr>
            <w:tcW w:w="1337" w:type="dxa"/>
          </w:tcPr>
          <w:p w:rsidR="005D5D3D" w:rsidRPr="004E453D" w:rsidRDefault="005D5D3D" w:rsidP="00587CA7">
            <w:pPr>
              <w:spacing w:beforeLines="20" w:before="48" w:afterLines="20" w:after="48" w:line="240" w:lineRule="auto"/>
              <w:jc w:val="right"/>
              <w:rPr>
                <w:b/>
                <w:bCs/>
                <w:sz w:val="18"/>
                <w:szCs w:val="18"/>
              </w:rPr>
            </w:pP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56" w:name="_Toc302466484"/>
            <w:bookmarkStart w:id="57" w:name="_Toc303758018"/>
            <w:bookmarkStart w:id="58" w:name="_Toc304279008"/>
            <w:r w:rsidRPr="004E453D">
              <w:rPr>
                <w:bCs/>
                <w:sz w:val="18"/>
                <w:szCs w:val="18"/>
              </w:rPr>
              <w:t>General Liability</w:t>
            </w:r>
            <w:bookmarkEnd w:id="56"/>
            <w:bookmarkEnd w:id="57"/>
            <w:bookmarkEnd w:id="58"/>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10 000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34 767</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3 477</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w:t>
            </w:r>
            <w:r w:rsidR="00511177" w:rsidRPr="004E453D">
              <w:rPr>
                <w:bCs/>
                <w:sz w:val="18"/>
                <w:szCs w:val="18"/>
              </w:rPr>
              <w:t xml:space="preserve"> </w:t>
            </w:r>
            <w:r w:rsidRPr="004E453D">
              <w:rPr>
                <w:bCs/>
                <w:sz w:val="18"/>
                <w:szCs w:val="18"/>
              </w:rPr>
              <w:t>070</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r w:rsidRPr="004E453D">
              <w:rPr>
                <w:bCs/>
                <w:sz w:val="18"/>
                <w:szCs w:val="18"/>
              </w:rPr>
              <w:t>Housing General Liability</w:t>
            </w:r>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5 000</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41 235</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4 124</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 xml:space="preserve">1 </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1</w:t>
            </w:r>
            <w:r w:rsidR="00511177" w:rsidRPr="004E453D">
              <w:rPr>
                <w:bCs/>
                <w:sz w:val="18"/>
                <w:szCs w:val="18"/>
              </w:rPr>
              <w:t xml:space="preserve"> </w:t>
            </w:r>
            <w:r w:rsidRPr="004E453D">
              <w:rPr>
                <w:bCs/>
                <w:sz w:val="18"/>
                <w:szCs w:val="18"/>
              </w:rPr>
              <w:t>000</w:t>
            </w:r>
          </w:p>
        </w:tc>
      </w:tr>
      <w:tr w:rsidR="005D5D3D" w:rsidRPr="004E453D" w:rsidTr="005D5D3D">
        <w:tc>
          <w:tcPr>
            <w:tcW w:w="2975" w:type="dxa"/>
          </w:tcPr>
          <w:p w:rsidR="005D5D3D" w:rsidRPr="004E453D" w:rsidRDefault="005D5D3D" w:rsidP="00587CA7">
            <w:pPr>
              <w:spacing w:beforeLines="20" w:before="48" w:afterLines="20" w:after="48" w:line="240" w:lineRule="auto"/>
              <w:rPr>
                <w:b/>
                <w:bCs/>
                <w:sz w:val="18"/>
                <w:szCs w:val="18"/>
              </w:rPr>
            </w:pPr>
            <w:bookmarkStart w:id="59" w:name="_Toc302466494"/>
            <w:bookmarkStart w:id="60" w:name="_Toc303758028"/>
            <w:bookmarkStart w:id="61" w:name="_Toc304279018"/>
            <w:r w:rsidRPr="004E453D">
              <w:rPr>
                <w:b/>
                <w:bCs/>
                <w:sz w:val="18"/>
                <w:szCs w:val="18"/>
              </w:rPr>
              <w:t>Miscellaneous</w:t>
            </w:r>
            <w:bookmarkEnd w:id="59"/>
            <w:bookmarkEnd w:id="60"/>
            <w:bookmarkEnd w:id="61"/>
          </w:p>
        </w:tc>
        <w:tc>
          <w:tcPr>
            <w:tcW w:w="1276" w:type="dxa"/>
          </w:tcPr>
          <w:p w:rsidR="005D5D3D" w:rsidRPr="004E453D" w:rsidRDefault="005D5D3D" w:rsidP="00587CA7">
            <w:pPr>
              <w:spacing w:beforeLines="20" w:before="48" w:afterLines="20" w:after="48" w:line="240" w:lineRule="auto"/>
              <w:jc w:val="right"/>
              <w:rPr>
                <w:b/>
                <w:bCs/>
                <w:sz w:val="18"/>
                <w:szCs w:val="18"/>
              </w:rPr>
            </w:pPr>
          </w:p>
        </w:tc>
        <w:tc>
          <w:tcPr>
            <w:tcW w:w="1559" w:type="dxa"/>
          </w:tcPr>
          <w:p w:rsidR="005D5D3D" w:rsidRPr="004E453D" w:rsidRDefault="005D5D3D" w:rsidP="00587CA7">
            <w:pPr>
              <w:spacing w:beforeLines="20" w:before="48" w:afterLines="20" w:after="48" w:line="240" w:lineRule="auto"/>
              <w:jc w:val="right"/>
              <w:rPr>
                <w:b/>
                <w:bCs/>
                <w:sz w:val="18"/>
                <w:szCs w:val="18"/>
              </w:rPr>
            </w:pPr>
          </w:p>
        </w:tc>
        <w:tc>
          <w:tcPr>
            <w:tcW w:w="1275" w:type="dxa"/>
          </w:tcPr>
          <w:p w:rsidR="005D5D3D" w:rsidRPr="004E453D" w:rsidRDefault="005D5D3D" w:rsidP="00587CA7">
            <w:pPr>
              <w:spacing w:beforeLines="20" w:before="48" w:afterLines="20" w:after="48" w:line="240" w:lineRule="auto"/>
              <w:jc w:val="right"/>
              <w:rPr>
                <w:b/>
                <w:bCs/>
                <w:sz w:val="18"/>
                <w:szCs w:val="18"/>
              </w:rPr>
            </w:pPr>
          </w:p>
        </w:tc>
        <w:tc>
          <w:tcPr>
            <w:tcW w:w="996" w:type="dxa"/>
          </w:tcPr>
          <w:p w:rsidR="005D5D3D" w:rsidRPr="004E453D" w:rsidRDefault="005D5D3D" w:rsidP="00587CA7">
            <w:pPr>
              <w:spacing w:beforeLines="20" w:before="48" w:afterLines="20" w:after="48" w:line="240" w:lineRule="auto"/>
              <w:jc w:val="right"/>
              <w:rPr>
                <w:b/>
                <w:bCs/>
                <w:sz w:val="18"/>
                <w:szCs w:val="18"/>
              </w:rPr>
            </w:pPr>
          </w:p>
        </w:tc>
        <w:tc>
          <w:tcPr>
            <w:tcW w:w="1337" w:type="dxa"/>
          </w:tcPr>
          <w:p w:rsidR="005D5D3D" w:rsidRPr="004E453D" w:rsidRDefault="005D5D3D" w:rsidP="00587CA7">
            <w:pPr>
              <w:spacing w:beforeLines="20" w:before="48" w:afterLines="20" w:after="48" w:line="240" w:lineRule="auto"/>
              <w:jc w:val="right"/>
              <w:rPr>
                <w:b/>
                <w:bCs/>
                <w:sz w:val="18"/>
                <w:szCs w:val="18"/>
              </w:rPr>
            </w:pP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62" w:name="_Toc302466495"/>
            <w:bookmarkStart w:id="63" w:name="_Toc303758029"/>
            <w:bookmarkStart w:id="64" w:name="_Toc304279019"/>
            <w:r w:rsidRPr="004E453D">
              <w:rPr>
                <w:bCs/>
                <w:sz w:val="18"/>
                <w:szCs w:val="18"/>
              </w:rPr>
              <w:t>Government Contingency</w:t>
            </w:r>
            <w:bookmarkEnd w:id="62"/>
            <w:bookmarkEnd w:id="63"/>
            <w:bookmarkEnd w:id="64"/>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2 211</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221</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bookmarkStart w:id="65" w:name="_Toc302466500"/>
            <w:bookmarkStart w:id="66" w:name="_Toc303758034"/>
            <w:bookmarkStart w:id="67" w:name="_Toc304279024"/>
            <w:r w:rsidRPr="004E453D">
              <w:rPr>
                <w:bCs/>
                <w:sz w:val="18"/>
                <w:szCs w:val="18"/>
              </w:rPr>
              <w:t>Travel</w:t>
            </w:r>
            <w:bookmarkEnd w:id="65"/>
            <w:bookmarkEnd w:id="66"/>
            <w:bookmarkEnd w:id="67"/>
            <w:r w:rsidRPr="004E453D">
              <w:rPr>
                <w:bCs/>
                <w:sz w:val="18"/>
                <w:szCs w:val="18"/>
              </w:rPr>
              <w:t xml:space="preserve"> includes GST</w:t>
            </w:r>
          </w:p>
        </w:tc>
        <w:tc>
          <w:tcPr>
            <w:tcW w:w="127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Various</w:t>
            </w: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2 277</w:t>
            </w:r>
          </w:p>
        </w:tc>
        <w:tc>
          <w:tcPr>
            <w:tcW w:w="1275"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228</w:t>
            </w:r>
          </w:p>
        </w:tc>
        <w:tc>
          <w:tcPr>
            <w:tcW w:w="996"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c>
          <w:tcPr>
            <w:tcW w:w="1337"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w:t>
            </w: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r w:rsidRPr="004E453D">
              <w:rPr>
                <w:bCs/>
                <w:sz w:val="18"/>
                <w:szCs w:val="18"/>
              </w:rPr>
              <w:t>Travel excludes GST</w:t>
            </w:r>
          </w:p>
        </w:tc>
        <w:tc>
          <w:tcPr>
            <w:tcW w:w="1276" w:type="dxa"/>
          </w:tcPr>
          <w:p w:rsidR="005D5D3D" w:rsidRPr="004E453D" w:rsidRDefault="005D5D3D" w:rsidP="00587CA7">
            <w:pPr>
              <w:spacing w:beforeLines="20" w:before="48" w:afterLines="20" w:after="48" w:line="240" w:lineRule="auto"/>
              <w:jc w:val="right"/>
              <w:rPr>
                <w:bCs/>
                <w:sz w:val="18"/>
                <w:szCs w:val="18"/>
              </w:rPr>
            </w:pPr>
          </w:p>
        </w:tc>
        <w:tc>
          <w:tcPr>
            <w:tcW w:w="1559" w:type="dxa"/>
          </w:tcPr>
          <w:p w:rsidR="005D5D3D" w:rsidRPr="004E453D" w:rsidDel="00F10A31" w:rsidRDefault="005D5D3D" w:rsidP="00587CA7">
            <w:pPr>
              <w:spacing w:beforeLines="20" w:before="48" w:afterLines="20" w:after="48" w:line="240" w:lineRule="auto"/>
              <w:jc w:val="right"/>
              <w:rPr>
                <w:bCs/>
                <w:sz w:val="18"/>
                <w:szCs w:val="18"/>
              </w:rPr>
            </w:pPr>
            <w:r w:rsidRPr="004E453D">
              <w:rPr>
                <w:bCs/>
                <w:sz w:val="18"/>
                <w:szCs w:val="18"/>
              </w:rPr>
              <w:t>700</w:t>
            </w:r>
          </w:p>
        </w:tc>
        <w:tc>
          <w:tcPr>
            <w:tcW w:w="1275" w:type="dxa"/>
          </w:tcPr>
          <w:p w:rsidR="005D5D3D" w:rsidRPr="004E453D" w:rsidRDefault="005D5D3D" w:rsidP="00587CA7">
            <w:pPr>
              <w:spacing w:beforeLines="20" w:before="48" w:afterLines="20" w:after="48" w:line="240" w:lineRule="auto"/>
              <w:jc w:val="right"/>
              <w:rPr>
                <w:bCs/>
                <w:sz w:val="18"/>
                <w:szCs w:val="18"/>
              </w:rPr>
            </w:pPr>
          </w:p>
        </w:tc>
        <w:tc>
          <w:tcPr>
            <w:tcW w:w="996" w:type="dxa"/>
          </w:tcPr>
          <w:p w:rsidR="005D5D3D" w:rsidRPr="004E453D" w:rsidRDefault="005D5D3D" w:rsidP="00587CA7">
            <w:pPr>
              <w:spacing w:beforeLines="20" w:before="48" w:afterLines="20" w:after="48" w:line="240" w:lineRule="auto"/>
              <w:jc w:val="right"/>
              <w:rPr>
                <w:bCs/>
                <w:sz w:val="18"/>
                <w:szCs w:val="18"/>
              </w:rPr>
            </w:pPr>
          </w:p>
        </w:tc>
        <w:tc>
          <w:tcPr>
            <w:tcW w:w="1337" w:type="dxa"/>
          </w:tcPr>
          <w:p w:rsidR="005D5D3D" w:rsidRPr="004E453D" w:rsidRDefault="005D5D3D" w:rsidP="00587CA7">
            <w:pPr>
              <w:spacing w:beforeLines="20" w:before="48" w:afterLines="20" w:after="48" w:line="240" w:lineRule="auto"/>
              <w:jc w:val="right"/>
              <w:rPr>
                <w:bCs/>
                <w:sz w:val="18"/>
                <w:szCs w:val="18"/>
              </w:rPr>
            </w:pPr>
          </w:p>
        </w:tc>
      </w:tr>
      <w:tr w:rsidR="005D5D3D" w:rsidRPr="004E453D" w:rsidTr="005D5D3D">
        <w:tc>
          <w:tcPr>
            <w:tcW w:w="2975" w:type="dxa"/>
          </w:tcPr>
          <w:p w:rsidR="005D5D3D" w:rsidRPr="004E453D" w:rsidRDefault="005D5D3D" w:rsidP="00587CA7">
            <w:pPr>
              <w:spacing w:beforeLines="20" w:before="48" w:afterLines="20" w:after="48" w:line="240" w:lineRule="auto"/>
              <w:rPr>
                <w:bCs/>
                <w:sz w:val="18"/>
                <w:szCs w:val="18"/>
              </w:rPr>
            </w:pPr>
            <w:r w:rsidRPr="004E453D">
              <w:rPr>
                <w:bCs/>
                <w:sz w:val="18"/>
                <w:szCs w:val="18"/>
              </w:rPr>
              <w:t>Travel Stamp Duty</w:t>
            </w:r>
          </w:p>
        </w:tc>
        <w:tc>
          <w:tcPr>
            <w:tcW w:w="1276" w:type="dxa"/>
          </w:tcPr>
          <w:p w:rsidR="005D5D3D" w:rsidRPr="004E453D" w:rsidRDefault="005D5D3D" w:rsidP="00587CA7">
            <w:pPr>
              <w:spacing w:beforeLines="20" w:before="48" w:afterLines="20" w:after="48" w:line="240" w:lineRule="auto"/>
              <w:jc w:val="right"/>
              <w:rPr>
                <w:bCs/>
                <w:sz w:val="18"/>
                <w:szCs w:val="18"/>
              </w:rPr>
            </w:pPr>
          </w:p>
        </w:tc>
        <w:tc>
          <w:tcPr>
            <w:tcW w:w="1559" w:type="dxa"/>
          </w:tcPr>
          <w:p w:rsidR="005D5D3D" w:rsidRPr="004E453D" w:rsidRDefault="005D5D3D" w:rsidP="00587CA7">
            <w:pPr>
              <w:spacing w:beforeLines="20" w:before="48" w:afterLines="20" w:after="48" w:line="240" w:lineRule="auto"/>
              <w:jc w:val="right"/>
              <w:rPr>
                <w:bCs/>
                <w:sz w:val="18"/>
                <w:szCs w:val="18"/>
              </w:rPr>
            </w:pPr>
            <w:r w:rsidRPr="004E453D">
              <w:rPr>
                <w:bCs/>
                <w:sz w:val="18"/>
                <w:szCs w:val="18"/>
              </w:rPr>
              <w:t>322</w:t>
            </w:r>
          </w:p>
        </w:tc>
        <w:tc>
          <w:tcPr>
            <w:tcW w:w="1275" w:type="dxa"/>
          </w:tcPr>
          <w:p w:rsidR="005D5D3D" w:rsidRPr="004E453D" w:rsidRDefault="005D5D3D" w:rsidP="00587CA7">
            <w:pPr>
              <w:spacing w:beforeLines="20" w:before="48" w:afterLines="20" w:after="48" w:line="240" w:lineRule="auto"/>
              <w:jc w:val="right"/>
              <w:rPr>
                <w:bCs/>
                <w:sz w:val="18"/>
                <w:szCs w:val="18"/>
              </w:rPr>
            </w:pPr>
          </w:p>
        </w:tc>
        <w:tc>
          <w:tcPr>
            <w:tcW w:w="996" w:type="dxa"/>
          </w:tcPr>
          <w:p w:rsidR="005D5D3D" w:rsidRPr="004E453D" w:rsidRDefault="005D5D3D" w:rsidP="00587CA7">
            <w:pPr>
              <w:spacing w:beforeLines="20" w:before="48" w:afterLines="20" w:after="48" w:line="240" w:lineRule="auto"/>
              <w:jc w:val="right"/>
              <w:rPr>
                <w:bCs/>
                <w:sz w:val="18"/>
                <w:szCs w:val="18"/>
              </w:rPr>
            </w:pPr>
          </w:p>
        </w:tc>
        <w:tc>
          <w:tcPr>
            <w:tcW w:w="1337" w:type="dxa"/>
          </w:tcPr>
          <w:p w:rsidR="005D5D3D" w:rsidRPr="004E453D" w:rsidRDefault="005D5D3D" w:rsidP="00587CA7">
            <w:pPr>
              <w:spacing w:beforeLines="20" w:before="48" w:afterLines="20" w:after="48" w:line="240" w:lineRule="auto"/>
              <w:jc w:val="right"/>
              <w:rPr>
                <w:bCs/>
                <w:sz w:val="18"/>
                <w:szCs w:val="18"/>
              </w:rPr>
            </w:pPr>
          </w:p>
        </w:tc>
      </w:tr>
      <w:tr w:rsidR="005D5D3D" w:rsidRPr="004E453D" w:rsidTr="005D5D3D">
        <w:tc>
          <w:tcPr>
            <w:tcW w:w="2975" w:type="dxa"/>
            <w:shd w:val="clear" w:color="auto" w:fill="FFFFFF"/>
          </w:tcPr>
          <w:p w:rsidR="005D5D3D" w:rsidRPr="004E453D" w:rsidRDefault="005D5D3D" w:rsidP="005719F7">
            <w:pPr>
              <w:spacing w:before="60" w:after="60" w:line="240" w:lineRule="auto"/>
              <w:rPr>
                <w:b/>
                <w:bCs/>
                <w:sz w:val="18"/>
                <w:szCs w:val="18"/>
              </w:rPr>
            </w:pPr>
            <w:bookmarkStart w:id="68" w:name="_Toc302466505"/>
            <w:bookmarkStart w:id="69" w:name="_Toc303758039"/>
            <w:bookmarkStart w:id="70" w:name="_Toc304279029"/>
            <w:r w:rsidRPr="004E453D">
              <w:rPr>
                <w:b/>
                <w:bCs/>
                <w:sz w:val="18"/>
                <w:szCs w:val="18"/>
              </w:rPr>
              <w:t>Total</w:t>
            </w:r>
            <w:bookmarkEnd w:id="68"/>
            <w:bookmarkEnd w:id="69"/>
            <w:bookmarkEnd w:id="70"/>
          </w:p>
        </w:tc>
        <w:tc>
          <w:tcPr>
            <w:tcW w:w="1276" w:type="dxa"/>
            <w:shd w:val="clear" w:color="auto" w:fill="FFFFFF"/>
          </w:tcPr>
          <w:p w:rsidR="005D5D3D" w:rsidRPr="004E453D" w:rsidRDefault="005D5D3D" w:rsidP="005719F7">
            <w:pPr>
              <w:spacing w:before="60" w:after="60" w:line="240" w:lineRule="auto"/>
              <w:jc w:val="right"/>
              <w:rPr>
                <w:b/>
                <w:bCs/>
                <w:sz w:val="18"/>
                <w:szCs w:val="18"/>
              </w:rPr>
            </w:pPr>
            <w:r w:rsidRPr="004E453D">
              <w:rPr>
                <w:b/>
                <w:bCs/>
                <w:sz w:val="18"/>
                <w:szCs w:val="18"/>
              </w:rPr>
              <w:t>-</w:t>
            </w:r>
          </w:p>
        </w:tc>
        <w:tc>
          <w:tcPr>
            <w:tcW w:w="1559" w:type="dxa"/>
            <w:shd w:val="clear" w:color="auto" w:fill="FFFFFF"/>
          </w:tcPr>
          <w:p w:rsidR="005D5D3D" w:rsidRPr="004E453D" w:rsidRDefault="005D5D3D" w:rsidP="00511177">
            <w:pPr>
              <w:spacing w:before="60" w:after="60" w:line="240" w:lineRule="auto"/>
              <w:jc w:val="right"/>
              <w:rPr>
                <w:b/>
                <w:bCs/>
                <w:sz w:val="18"/>
                <w:szCs w:val="18"/>
              </w:rPr>
            </w:pPr>
            <w:r w:rsidRPr="004E453D">
              <w:rPr>
                <w:b/>
                <w:bCs/>
                <w:sz w:val="18"/>
                <w:szCs w:val="18"/>
              </w:rPr>
              <w:t>6</w:t>
            </w:r>
            <w:r w:rsidR="00511177" w:rsidRPr="004E453D">
              <w:rPr>
                <w:b/>
                <w:bCs/>
                <w:sz w:val="18"/>
                <w:szCs w:val="18"/>
              </w:rPr>
              <w:t> </w:t>
            </w:r>
            <w:r w:rsidRPr="004E453D">
              <w:rPr>
                <w:b/>
                <w:bCs/>
                <w:sz w:val="18"/>
                <w:szCs w:val="18"/>
              </w:rPr>
              <w:t>128</w:t>
            </w:r>
            <w:r w:rsidR="00511177" w:rsidRPr="004E453D">
              <w:rPr>
                <w:b/>
                <w:bCs/>
                <w:sz w:val="18"/>
                <w:szCs w:val="18"/>
              </w:rPr>
              <w:t> </w:t>
            </w:r>
            <w:r w:rsidRPr="004E453D">
              <w:rPr>
                <w:b/>
                <w:bCs/>
                <w:sz w:val="18"/>
                <w:szCs w:val="18"/>
              </w:rPr>
              <w:t>333</w:t>
            </w:r>
          </w:p>
        </w:tc>
        <w:tc>
          <w:tcPr>
            <w:tcW w:w="1275" w:type="dxa"/>
            <w:shd w:val="clear" w:color="auto" w:fill="FFFFFF"/>
          </w:tcPr>
          <w:p w:rsidR="005D5D3D" w:rsidRPr="004E453D" w:rsidRDefault="005D5D3D" w:rsidP="00511177">
            <w:pPr>
              <w:spacing w:before="60" w:after="60" w:line="240" w:lineRule="auto"/>
              <w:jc w:val="right"/>
              <w:rPr>
                <w:b/>
                <w:bCs/>
                <w:sz w:val="18"/>
                <w:szCs w:val="18"/>
              </w:rPr>
            </w:pPr>
            <w:r w:rsidRPr="004E453D">
              <w:rPr>
                <w:b/>
                <w:bCs/>
                <w:sz w:val="18"/>
                <w:szCs w:val="18"/>
              </w:rPr>
              <w:t>593</w:t>
            </w:r>
            <w:r w:rsidR="00511177" w:rsidRPr="004E453D">
              <w:rPr>
                <w:b/>
                <w:bCs/>
                <w:sz w:val="18"/>
                <w:szCs w:val="18"/>
              </w:rPr>
              <w:t> </w:t>
            </w:r>
            <w:r w:rsidRPr="004E453D">
              <w:rPr>
                <w:b/>
                <w:bCs/>
                <w:sz w:val="18"/>
                <w:szCs w:val="18"/>
              </w:rPr>
              <w:t>279</w:t>
            </w:r>
          </w:p>
        </w:tc>
        <w:tc>
          <w:tcPr>
            <w:tcW w:w="996" w:type="dxa"/>
            <w:shd w:val="clear" w:color="auto" w:fill="FFFFFF"/>
          </w:tcPr>
          <w:p w:rsidR="005D5D3D" w:rsidRPr="004E453D" w:rsidRDefault="005D5D3D" w:rsidP="00511177">
            <w:pPr>
              <w:spacing w:before="60" w:after="60" w:line="240" w:lineRule="auto"/>
              <w:jc w:val="right"/>
              <w:rPr>
                <w:b/>
                <w:bCs/>
                <w:sz w:val="18"/>
                <w:szCs w:val="18"/>
              </w:rPr>
            </w:pPr>
            <w:r w:rsidRPr="004E453D">
              <w:rPr>
                <w:b/>
                <w:bCs/>
                <w:sz w:val="18"/>
                <w:szCs w:val="18"/>
              </w:rPr>
              <w:t>1</w:t>
            </w:r>
            <w:r w:rsidR="00511177" w:rsidRPr="004E453D">
              <w:rPr>
                <w:b/>
                <w:bCs/>
                <w:sz w:val="18"/>
                <w:szCs w:val="18"/>
              </w:rPr>
              <w:t> </w:t>
            </w:r>
            <w:r w:rsidRPr="004E453D">
              <w:rPr>
                <w:b/>
                <w:bCs/>
                <w:sz w:val="18"/>
                <w:szCs w:val="18"/>
              </w:rPr>
              <w:t>012</w:t>
            </w:r>
          </w:p>
        </w:tc>
        <w:tc>
          <w:tcPr>
            <w:tcW w:w="1337" w:type="dxa"/>
            <w:shd w:val="clear" w:color="auto" w:fill="FFFFFF"/>
          </w:tcPr>
          <w:p w:rsidR="005D5D3D" w:rsidRPr="004E453D" w:rsidRDefault="005D5D3D" w:rsidP="00511177">
            <w:pPr>
              <w:spacing w:before="60" w:after="60" w:line="240" w:lineRule="auto"/>
              <w:jc w:val="right"/>
              <w:rPr>
                <w:b/>
                <w:bCs/>
                <w:sz w:val="18"/>
                <w:szCs w:val="18"/>
              </w:rPr>
            </w:pPr>
            <w:r w:rsidRPr="004E453D">
              <w:rPr>
                <w:b/>
                <w:bCs/>
                <w:sz w:val="18"/>
                <w:szCs w:val="18"/>
              </w:rPr>
              <w:t>19</w:t>
            </w:r>
            <w:r w:rsidR="00511177" w:rsidRPr="004E453D">
              <w:rPr>
                <w:b/>
                <w:bCs/>
                <w:sz w:val="18"/>
                <w:szCs w:val="18"/>
              </w:rPr>
              <w:t> </w:t>
            </w:r>
            <w:r w:rsidRPr="004E453D">
              <w:rPr>
                <w:b/>
                <w:bCs/>
                <w:sz w:val="18"/>
                <w:szCs w:val="18"/>
              </w:rPr>
              <w:t>310</w:t>
            </w:r>
            <w:r w:rsidR="00511177" w:rsidRPr="004E453D">
              <w:rPr>
                <w:b/>
                <w:bCs/>
                <w:sz w:val="18"/>
                <w:szCs w:val="18"/>
              </w:rPr>
              <w:t> </w:t>
            </w:r>
            <w:r w:rsidRPr="004E453D">
              <w:rPr>
                <w:b/>
                <w:bCs/>
                <w:sz w:val="18"/>
                <w:szCs w:val="18"/>
              </w:rPr>
              <w:t>107</w:t>
            </w:r>
          </w:p>
        </w:tc>
      </w:tr>
      <w:tr w:rsidR="005D5D3D" w:rsidRPr="00423634" w:rsidTr="005719F7">
        <w:tc>
          <w:tcPr>
            <w:tcW w:w="9418" w:type="dxa"/>
            <w:gridSpan w:val="6"/>
            <w:shd w:val="clear" w:color="auto" w:fill="FFFFFF"/>
          </w:tcPr>
          <w:p w:rsidR="005D5D3D" w:rsidRPr="00423634" w:rsidRDefault="005D5D3D" w:rsidP="005719F7">
            <w:pPr>
              <w:spacing w:before="60" w:after="60" w:line="240" w:lineRule="auto"/>
              <w:rPr>
                <w:sz w:val="18"/>
                <w:szCs w:val="18"/>
              </w:rPr>
            </w:pPr>
            <w:r w:rsidRPr="00423634">
              <w:rPr>
                <w:sz w:val="18"/>
                <w:szCs w:val="18"/>
              </w:rPr>
              <w:t>Notes:</w:t>
            </w:r>
          </w:p>
          <w:p w:rsidR="005D5D3D" w:rsidRPr="00423634" w:rsidRDefault="005D5D3D" w:rsidP="00584AA0">
            <w:pPr>
              <w:widowControl w:val="0"/>
              <w:numPr>
                <w:ilvl w:val="0"/>
                <w:numId w:val="30"/>
              </w:numPr>
              <w:tabs>
                <w:tab w:val="clear" w:pos="567"/>
              </w:tabs>
              <w:spacing w:before="60" w:after="60" w:line="240" w:lineRule="auto"/>
              <w:ind w:left="567" w:hanging="567"/>
              <w:rPr>
                <w:sz w:val="18"/>
                <w:szCs w:val="18"/>
              </w:rPr>
            </w:pPr>
            <w:r w:rsidRPr="00423634">
              <w:rPr>
                <w:sz w:val="18"/>
                <w:szCs w:val="18"/>
              </w:rPr>
              <w:t>Claims reported during the period.</w:t>
            </w:r>
          </w:p>
          <w:p w:rsidR="005D5D3D" w:rsidRPr="00423634" w:rsidRDefault="000F1905" w:rsidP="00584AA0">
            <w:pPr>
              <w:widowControl w:val="0"/>
              <w:numPr>
                <w:ilvl w:val="0"/>
                <w:numId w:val="30"/>
              </w:numPr>
              <w:tabs>
                <w:tab w:val="clear" w:pos="567"/>
              </w:tabs>
              <w:spacing w:before="60" w:after="60" w:line="240" w:lineRule="auto"/>
              <w:ind w:left="567" w:hanging="567"/>
              <w:rPr>
                <w:sz w:val="18"/>
                <w:szCs w:val="18"/>
              </w:rPr>
            </w:pPr>
            <w:r>
              <w:rPr>
                <w:sz w:val="18"/>
                <w:szCs w:val="18"/>
              </w:rPr>
              <w:t>Based on four per </w:t>
            </w:r>
            <w:r w:rsidR="005D5D3D" w:rsidRPr="00423634">
              <w:rPr>
                <w:sz w:val="18"/>
                <w:szCs w:val="18"/>
              </w:rPr>
              <w:t>cent of contribution for personal injury and varies from year to year. GST exempt.</w:t>
            </w:r>
          </w:p>
          <w:p w:rsidR="005D5D3D" w:rsidRPr="00423634" w:rsidRDefault="005D5D3D" w:rsidP="00584AA0">
            <w:pPr>
              <w:widowControl w:val="0"/>
              <w:numPr>
                <w:ilvl w:val="0"/>
                <w:numId w:val="30"/>
              </w:numPr>
              <w:tabs>
                <w:tab w:val="clear" w:pos="567"/>
              </w:tabs>
              <w:spacing w:before="60" w:after="60" w:line="240" w:lineRule="auto"/>
              <w:ind w:left="567" w:hanging="567"/>
              <w:rPr>
                <w:sz w:val="18"/>
                <w:szCs w:val="18"/>
              </w:rPr>
            </w:pPr>
            <w:r w:rsidRPr="00423634">
              <w:rPr>
                <w:sz w:val="18"/>
                <w:szCs w:val="18"/>
              </w:rPr>
              <w:t>Aero Medical Retrieval is a “top up” of workers compensation.</w:t>
            </w:r>
          </w:p>
          <w:p w:rsidR="005D5D3D" w:rsidRPr="00423634" w:rsidRDefault="005D5D3D" w:rsidP="00584AA0">
            <w:pPr>
              <w:widowControl w:val="0"/>
              <w:numPr>
                <w:ilvl w:val="0"/>
                <w:numId w:val="30"/>
              </w:numPr>
              <w:tabs>
                <w:tab w:val="clear" w:pos="567"/>
              </w:tabs>
              <w:spacing w:before="60" w:after="60" w:line="240" w:lineRule="auto"/>
              <w:ind w:left="567" w:hanging="567"/>
              <w:rPr>
                <w:bCs/>
                <w:sz w:val="18"/>
                <w:szCs w:val="18"/>
              </w:rPr>
            </w:pPr>
            <w:r w:rsidRPr="00423634">
              <w:rPr>
                <w:sz w:val="18"/>
                <w:szCs w:val="18"/>
              </w:rPr>
              <w:t>GST on travel is not 10 per cent. Stamp Duty on travel is GST exempt</w:t>
            </w:r>
            <w:r w:rsidR="00313930" w:rsidRPr="00423634">
              <w:rPr>
                <w:sz w:val="18"/>
                <w:szCs w:val="18"/>
              </w:rPr>
              <w:t>.</w:t>
            </w:r>
          </w:p>
        </w:tc>
      </w:tr>
    </w:tbl>
    <w:p w:rsidR="00587CA7" w:rsidRDefault="00587CA7">
      <w:pPr>
        <w:tabs>
          <w:tab w:val="clear" w:pos="567"/>
        </w:tabs>
        <w:spacing w:after="200" w:line="276" w:lineRule="auto"/>
        <w:rPr>
          <w:rFonts w:eastAsiaTheme="majorEastAsia" w:cstheme="majorBidi"/>
          <w:b/>
          <w:bCs/>
          <w:sz w:val="40"/>
          <w:szCs w:val="28"/>
        </w:rPr>
      </w:pPr>
      <w:bookmarkStart w:id="71" w:name="_Toc401754752"/>
      <w:r>
        <w:br w:type="page"/>
      </w:r>
    </w:p>
    <w:p w:rsidR="005D5D3D" w:rsidRPr="001B05C8" w:rsidRDefault="005D5D3D" w:rsidP="005D5D3D">
      <w:pPr>
        <w:pStyle w:val="Heading1"/>
      </w:pPr>
      <w:bookmarkStart w:id="72" w:name="_Toc430351454"/>
      <w:r w:rsidRPr="001B05C8">
        <w:lastRenderedPageBreak/>
        <w:t>Pricing Policies</w:t>
      </w:r>
      <w:bookmarkEnd w:id="71"/>
      <w:bookmarkEnd w:id="72"/>
    </w:p>
    <w:p w:rsidR="005D5D3D" w:rsidRPr="001B05C8" w:rsidRDefault="005D5D3D" w:rsidP="005D5D3D">
      <w:pPr>
        <w:sectPr w:rsidR="005D5D3D" w:rsidRPr="001B05C8" w:rsidSect="00CB41D0">
          <w:type w:val="continuous"/>
          <w:pgSz w:w="11906" w:h="16838" w:code="9"/>
          <w:pgMar w:top="907" w:right="1134" w:bottom="720" w:left="1134" w:header="709" w:footer="709" w:gutter="0"/>
          <w:cols w:space="708"/>
          <w:docGrid w:linePitch="360"/>
        </w:sectPr>
      </w:pPr>
    </w:p>
    <w:p w:rsidR="005D5D3D" w:rsidRPr="001B05C8" w:rsidRDefault="005D5D3D" w:rsidP="005D5D3D">
      <w:r w:rsidRPr="001B05C8">
        <w:lastRenderedPageBreak/>
        <w:t xml:space="preserve">The Department </w:t>
      </w:r>
      <w:r w:rsidR="00511177">
        <w:t xml:space="preserve">of Health and Human Services (DHHS) </w:t>
      </w:r>
      <w:r w:rsidRPr="001B05C8">
        <w:t>has activities for which the pricing of goods and services is required.  Each fee/charging program is based on the full cost recovery model in accordance with the Government’s policy on fees and charges.</w:t>
      </w:r>
    </w:p>
    <w:p w:rsidR="005D5D3D" w:rsidRPr="001B05C8" w:rsidRDefault="005D5D3D" w:rsidP="005D5D3D">
      <w:r w:rsidRPr="001B05C8">
        <w:t>The Department levies fees and charges in accordance with the provisions of the following Acts:</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Adoption Act 1988</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Ambulance Services Act 1982</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Anatomical Examinations Act 2006</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lastRenderedPageBreak/>
        <w:t>Food Act 2003</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Health Service Establishments Act 2006</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Pharmacy Control Act 2001</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Poisons Act 1971</w:t>
      </w:r>
    </w:p>
    <w:p w:rsidR="005D5D3D" w:rsidRPr="001B05C8" w:rsidRDefault="005D5D3D" w:rsidP="00584AA0">
      <w:pPr>
        <w:numPr>
          <w:ilvl w:val="0"/>
          <w:numId w:val="31"/>
        </w:numPr>
        <w:tabs>
          <w:tab w:val="clear" w:pos="567"/>
        </w:tabs>
        <w:spacing w:after="120" w:line="240" w:lineRule="auto"/>
        <w:ind w:left="567" w:hanging="567"/>
        <w:rPr>
          <w:i/>
        </w:rPr>
      </w:pPr>
      <w:r w:rsidRPr="001B05C8">
        <w:rPr>
          <w:i/>
        </w:rPr>
        <w:t>Public Health Act 1997</w:t>
      </w:r>
    </w:p>
    <w:p w:rsidR="005D5D3D" w:rsidRDefault="005D5D3D" w:rsidP="00584AA0">
      <w:pPr>
        <w:numPr>
          <w:ilvl w:val="0"/>
          <w:numId w:val="31"/>
        </w:numPr>
        <w:tabs>
          <w:tab w:val="clear" w:pos="567"/>
        </w:tabs>
        <w:spacing w:after="120" w:line="240" w:lineRule="auto"/>
        <w:ind w:left="567" w:hanging="567"/>
        <w:rPr>
          <w:i/>
        </w:rPr>
      </w:pPr>
      <w:r w:rsidRPr="001B05C8">
        <w:rPr>
          <w:i/>
        </w:rPr>
        <w:t>Radiation Protection Act 2005</w:t>
      </w:r>
    </w:p>
    <w:p w:rsidR="005E5108" w:rsidRPr="001B05C8" w:rsidRDefault="005E5108" w:rsidP="00584AA0">
      <w:pPr>
        <w:numPr>
          <w:ilvl w:val="0"/>
          <w:numId w:val="31"/>
        </w:numPr>
        <w:tabs>
          <w:tab w:val="clear" w:pos="567"/>
        </w:tabs>
        <w:spacing w:after="120" w:line="240" w:lineRule="auto"/>
        <w:ind w:left="567" w:hanging="567"/>
        <w:rPr>
          <w:i/>
        </w:rPr>
      </w:pPr>
      <w:r>
        <w:rPr>
          <w:i/>
        </w:rPr>
        <w:t>Right to Information Act 2009</w:t>
      </w:r>
    </w:p>
    <w:p w:rsidR="005D5D3D" w:rsidRPr="001B05C8" w:rsidRDefault="005D5D3D" w:rsidP="005D5D3D">
      <w:r w:rsidRPr="001B05C8">
        <w:t>The Department maintains a Revenue Policy that provides information on the financial requirements for funding a pro</w:t>
      </w:r>
      <w:r w:rsidR="00511177">
        <w:t>gram from sources outside of DHHS</w:t>
      </w:r>
      <w:r w:rsidRPr="001B05C8">
        <w:t xml:space="preserve">.  This </w:t>
      </w:r>
      <w:r w:rsidR="00511177">
        <w:t>P</w:t>
      </w:r>
      <w:r w:rsidRPr="001B05C8">
        <w:t>olicy is subject to ongoing review.</w:t>
      </w:r>
    </w:p>
    <w:p w:rsidR="005D5D3D" w:rsidRPr="001B05C8" w:rsidRDefault="005D5D3D" w:rsidP="005D5D3D">
      <w:pPr>
        <w:sectPr w:rsidR="005D5D3D" w:rsidRPr="001B05C8" w:rsidSect="00CB41D0">
          <w:type w:val="continuous"/>
          <w:pgSz w:w="11906" w:h="16838" w:code="9"/>
          <w:pgMar w:top="907" w:right="1134" w:bottom="720" w:left="1134" w:header="709" w:footer="709" w:gutter="0"/>
          <w:cols w:num="2" w:space="708"/>
          <w:docGrid w:linePitch="360"/>
        </w:sectPr>
      </w:pPr>
    </w:p>
    <w:p w:rsidR="005D5D3D" w:rsidRPr="00511177" w:rsidRDefault="005D5D3D" w:rsidP="00511177">
      <w:pPr>
        <w:pStyle w:val="Heading1"/>
      </w:pPr>
      <w:bookmarkStart w:id="73" w:name="_Toc401754753"/>
      <w:bookmarkStart w:id="74" w:name="_Toc430351455"/>
      <w:r w:rsidRPr="00511177">
        <w:lastRenderedPageBreak/>
        <w:t>Administered Payments</w:t>
      </w:r>
      <w:bookmarkEnd w:id="73"/>
      <w:bookmarkEnd w:id="74"/>
    </w:p>
    <w:p w:rsidR="005D5D3D" w:rsidRPr="001B05C8" w:rsidRDefault="005D5D3D" w:rsidP="005D5D3D">
      <w:pPr>
        <w:pStyle w:val="Heading3"/>
        <w:sectPr w:rsidR="005D5D3D" w:rsidRPr="001B05C8" w:rsidSect="00CB41D0">
          <w:type w:val="continuous"/>
          <w:pgSz w:w="11906" w:h="16838" w:code="9"/>
          <w:pgMar w:top="907" w:right="1134" w:bottom="720" w:left="1134" w:header="709" w:footer="709" w:gutter="0"/>
          <w:cols w:num="2" w:space="708"/>
          <w:docGrid w:linePitch="360"/>
        </w:sectPr>
      </w:pPr>
    </w:p>
    <w:p w:rsidR="0013473F" w:rsidRDefault="0013473F" w:rsidP="00CA3AEA">
      <w:r>
        <w:lastRenderedPageBreak/>
        <w:t>In 2014-15 there were no administered payments for DHHS.  The Children Abused in Care scheme ceased on 30 June 2014 and no ex-gratia payments were made during the 2014-15 financial year.</w:t>
      </w:r>
    </w:p>
    <w:p w:rsidR="0013473F" w:rsidRDefault="00511177" w:rsidP="00CA3AEA">
      <w:pPr>
        <w:spacing w:before="200"/>
      </w:pPr>
      <w:r w:rsidRPr="005F0766">
        <w:rPr>
          <w:sz w:val="14"/>
        </w:rPr>
        <w:br w:type="column"/>
      </w:r>
      <w:r w:rsidR="0013473F">
        <w:lastRenderedPageBreak/>
        <w:t>From 1 January 2014, administrative responsibility for the delivery of electricity concessions)</w:t>
      </w:r>
      <w:r w:rsidR="004E453D">
        <w:t xml:space="preserve"> </w:t>
      </w:r>
      <w:r w:rsidR="0013473F">
        <w:t>Aurora Energy Pty Ltd – Concessions) transferred from the Department to Finance</w:t>
      </w:r>
      <w:r w:rsidR="0013473F">
        <w:noBreakHyphen/>
        <w:t>General (within the Department of Treasury and Finance).</w:t>
      </w:r>
    </w:p>
    <w:p w:rsidR="00CE0B2D" w:rsidRPr="001B05C8" w:rsidRDefault="00CE0B2D" w:rsidP="00CE0B2D">
      <w:pPr>
        <w:sectPr w:rsidR="00CE0B2D" w:rsidRPr="001B05C8" w:rsidSect="00CB41D0">
          <w:type w:val="continuous"/>
          <w:pgSz w:w="11906" w:h="16838" w:code="9"/>
          <w:pgMar w:top="907" w:right="1134" w:bottom="720" w:left="1134" w:header="709" w:footer="709" w:gutter="0"/>
          <w:cols w:num="2" w:space="708"/>
          <w:docGrid w:linePitch="360"/>
        </w:sectPr>
      </w:pPr>
      <w:bookmarkStart w:id="75" w:name="_Toc304279743"/>
      <w:bookmarkStart w:id="76" w:name="_Toc401754754"/>
      <w:r w:rsidRPr="001B05C8">
        <w:t xml:space="preserve"> </w:t>
      </w:r>
    </w:p>
    <w:p w:rsidR="00CE0B2D" w:rsidRPr="00511177" w:rsidRDefault="00CE0B2D" w:rsidP="00511177">
      <w:pPr>
        <w:pStyle w:val="Heading1"/>
      </w:pPr>
      <w:bookmarkStart w:id="77" w:name="_Toc430351456"/>
      <w:r w:rsidRPr="00511177">
        <w:lastRenderedPageBreak/>
        <w:t>Superannuation Declaration</w:t>
      </w:r>
      <w:bookmarkEnd w:id="75"/>
      <w:bookmarkEnd w:id="76"/>
      <w:bookmarkEnd w:id="77"/>
    </w:p>
    <w:p w:rsidR="00CE0B2D" w:rsidRPr="001B05C8" w:rsidRDefault="00CE0B2D" w:rsidP="00CE0B2D">
      <w:r w:rsidRPr="001B05C8">
        <w:t xml:space="preserve">I, Michael Pervan, Acting Secretary, Department of Health and Human Services, hereby certify that the </w:t>
      </w:r>
      <w:r w:rsidR="00D75742">
        <w:t>DHHS</w:t>
      </w:r>
      <w:r w:rsidRPr="001B05C8">
        <w:t xml:space="preserve"> has met its obligations under the Commonwealth’s </w:t>
      </w:r>
      <w:r w:rsidRPr="001B05C8">
        <w:rPr>
          <w:i/>
        </w:rPr>
        <w:t xml:space="preserve">Superannuation Guarantee (Administration) Act 1992 </w:t>
      </w:r>
      <w:r w:rsidRPr="001B05C8">
        <w:t xml:space="preserve">in respect of any employee who is a member of a complying superannuation scheme to which the </w:t>
      </w:r>
      <w:r w:rsidR="00D75742">
        <w:t xml:space="preserve">DHHS </w:t>
      </w:r>
      <w:r w:rsidRPr="001B05C8">
        <w:t>contributes.</w:t>
      </w:r>
    </w:p>
    <w:p w:rsidR="00CE0B2D" w:rsidRPr="001B05C8" w:rsidRDefault="002C512B" w:rsidP="00CE0B2D">
      <w:r w:rsidRPr="001B05C8">
        <w:rPr>
          <w:noProof/>
          <w:lang w:eastAsia="en-AU"/>
        </w:rPr>
        <w:drawing>
          <wp:anchor distT="0" distB="0" distL="114300" distR="114300" simplePos="0" relativeHeight="251670528" behindDoc="1" locked="0" layoutInCell="1" allowOverlap="1" wp14:anchorId="56E60F3C" wp14:editId="52E36443">
            <wp:simplePos x="0" y="0"/>
            <wp:positionH relativeFrom="column">
              <wp:posOffset>-93345</wp:posOffset>
            </wp:positionH>
            <wp:positionV relativeFrom="paragraph">
              <wp:posOffset>160627</wp:posOffset>
            </wp:positionV>
            <wp:extent cx="1244600" cy="7905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0" cy="790575"/>
                    </a:xfrm>
                    <a:prstGeom prst="rect">
                      <a:avLst/>
                    </a:prstGeom>
                    <a:noFill/>
                    <a:ln>
                      <a:noFill/>
                    </a:ln>
                  </pic:spPr>
                </pic:pic>
              </a:graphicData>
            </a:graphic>
          </wp:anchor>
        </w:drawing>
      </w:r>
    </w:p>
    <w:p w:rsidR="00CE0B2D" w:rsidRPr="001B05C8" w:rsidRDefault="00CE0B2D" w:rsidP="00CE0B2D">
      <w:r w:rsidRPr="001B05C8">
        <w:rPr>
          <w:noProof/>
          <w:lang w:eastAsia="en-AU"/>
        </w:rPr>
        <w:drawing>
          <wp:anchor distT="0" distB="0" distL="114300" distR="114300" simplePos="0" relativeHeight="251669504" behindDoc="1" locked="0" layoutInCell="1" allowOverlap="1" wp14:anchorId="788A34A7" wp14:editId="6912F475">
            <wp:simplePos x="0" y="0"/>
            <wp:positionH relativeFrom="column">
              <wp:posOffset>3552190</wp:posOffset>
            </wp:positionH>
            <wp:positionV relativeFrom="paragraph">
              <wp:posOffset>8350885</wp:posOffset>
            </wp:positionV>
            <wp:extent cx="1409700"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anchor>
        </w:drawing>
      </w:r>
      <w:r w:rsidRPr="001B05C8">
        <w:rPr>
          <w:noProof/>
          <w:lang w:eastAsia="en-AU"/>
        </w:rPr>
        <w:drawing>
          <wp:anchor distT="0" distB="0" distL="114300" distR="114300" simplePos="0" relativeHeight="251668480" behindDoc="1" locked="0" layoutInCell="1" allowOverlap="1" wp14:anchorId="17392E35" wp14:editId="07AE6AD8">
            <wp:simplePos x="0" y="0"/>
            <wp:positionH relativeFrom="column">
              <wp:posOffset>723900</wp:posOffset>
            </wp:positionH>
            <wp:positionV relativeFrom="paragraph">
              <wp:posOffset>10211435</wp:posOffset>
            </wp:positionV>
            <wp:extent cx="1409700" cy="895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anchor>
        </w:drawing>
      </w:r>
    </w:p>
    <w:p w:rsidR="0013473F" w:rsidRDefault="0013473F" w:rsidP="00CE0B2D">
      <w:pPr>
        <w:spacing w:after="0" w:line="240" w:lineRule="auto"/>
      </w:pPr>
    </w:p>
    <w:p w:rsidR="0013473F" w:rsidRDefault="0013473F" w:rsidP="00CE0B2D">
      <w:pPr>
        <w:spacing w:after="0" w:line="240" w:lineRule="auto"/>
      </w:pPr>
    </w:p>
    <w:p w:rsidR="00CE0B2D" w:rsidRPr="001B05C8" w:rsidRDefault="00CE0B2D" w:rsidP="00CE0B2D">
      <w:pPr>
        <w:spacing w:after="0" w:line="240" w:lineRule="auto"/>
      </w:pPr>
      <w:r w:rsidRPr="001B05C8">
        <w:t>Michael Pervan</w:t>
      </w:r>
    </w:p>
    <w:p w:rsidR="00CE0B2D" w:rsidRPr="001B05C8" w:rsidRDefault="00CE0B2D" w:rsidP="00CE0B2D">
      <w:pPr>
        <w:spacing w:after="120" w:line="260" w:lineRule="atLeast"/>
      </w:pPr>
      <w:r w:rsidRPr="001B05C8">
        <w:t>Acting Secretary, Department of Health and Human Services</w:t>
      </w:r>
    </w:p>
    <w:p w:rsidR="005D5D3D" w:rsidRPr="001B05C8" w:rsidRDefault="005D5D3D" w:rsidP="00854935">
      <w:pPr>
        <w:sectPr w:rsidR="005D5D3D" w:rsidRPr="001B05C8" w:rsidSect="00CB41D0">
          <w:type w:val="continuous"/>
          <w:pgSz w:w="11906" w:h="16838" w:code="9"/>
          <w:pgMar w:top="907" w:right="1134" w:bottom="720" w:left="1134" w:header="709" w:footer="709" w:gutter="0"/>
          <w:cols w:num="2" w:space="708"/>
          <w:docGrid w:linePitch="360"/>
        </w:sectPr>
      </w:pPr>
    </w:p>
    <w:p w:rsidR="005D5D3D" w:rsidRPr="00511177" w:rsidRDefault="00C064B1" w:rsidP="00511177">
      <w:pPr>
        <w:pStyle w:val="Heading1"/>
      </w:pPr>
      <w:bookmarkStart w:id="78" w:name="_Toc430351457"/>
      <w:r w:rsidRPr="00511177">
        <w:lastRenderedPageBreak/>
        <w:t>Public Interest Disclosure</w:t>
      </w:r>
      <w:bookmarkEnd w:id="78"/>
    </w:p>
    <w:p w:rsidR="006C0A46" w:rsidRPr="001B05C8" w:rsidRDefault="006C0A46" w:rsidP="006C0A46">
      <w:pPr>
        <w:sectPr w:rsidR="006C0A46" w:rsidRPr="001B05C8" w:rsidSect="00CB41D0">
          <w:pgSz w:w="11906" w:h="16838"/>
          <w:pgMar w:top="967" w:right="1134" w:bottom="720" w:left="1134" w:header="709" w:footer="709" w:gutter="0"/>
          <w:cols w:space="708"/>
          <w:docGrid w:linePitch="360"/>
        </w:sectPr>
      </w:pPr>
    </w:p>
    <w:p w:rsidR="006C0A46" w:rsidRPr="001B05C8" w:rsidRDefault="006C0A46" w:rsidP="00CE0B2D">
      <w:r w:rsidRPr="001B05C8">
        <w:lastRenderedPageBreak/>
        <w:t xml:space="preserve">The Department’s public interest disclosure procedures are approved by the Ombudsman and available on the DHHS website </w:t>
      </w:r>
      <w:hyperlink r:id="rId21" w:history="1">
        <w:r w:rsidRPr="001B05C8">
          <w:rPr>
            <w:rStyle w:val="Hyperlink"/>
          </w:rPr>
          <w:t>http://www.dhhs.tas.gov.au</w:t>
        </w:r>
      </w:hyperlink>
      <w:r w:rsidRPr="001B05C8">
        <w:t>.</w:t>
      </w:r>
    </w:p>
    <w:p w:rsidR="006C0A46" w:rsidRPr="001B05C8" w:rsidRDefault="006C0A46" w:rsidP="00CE0B2D">
      <w:r w:rsidRPr="001B05C8">
        <w:t>During 201</w:t>
      </w:r>
      <w:r w:rsidR="00511177">
        <w:t>4</w:t>
      </w:r>
      <w:r w:rsidRPr="001B05C8">
        <w:t>-1</w:t>
      </w:r>
      <w:r w:rsidR="00511177">
        <w:t>5</w:t>
      </w:r>
      <w:r w:rsidR="00433A3C">
        <w:t>,</w:t>
      </w:r>
      <w:r w:rsidRPr="001B05C8">
        <w:t xml:space="preserve"> the Department received no public interest disclosure reports. </w:t>
      </w:r>
    </w:p>
    <w:p w:rsidR="006C0A46" w:rsidRPr="001B05C8" w:rsidRDefault="006C0A46" w:rsidP="00CE0B2D">
      <w:r w:rsidRPr="001B05C8">
        <w:t xml:space="preserve">The </w:t>
      </w:r>
      <w:r w:rsidRPr="001B05C8">
        <w:rPr>
          <w:i/>
        </w:rPr>
        <w:t>Public Interest Disclosures Act 2002</w:t>
      </w:r>
      <w:r w:rsidRPr="001B05C8">
        <w:t xml:space="preserve"> allows for disclosed matters to be properly investigated and resolved, while protecting natural justice for all parties involved.  It is legislated to encourage and facilitate disclosures of improper conduct by public officers and public bodies, while protecting those making the disclosures and others from reprisals.</w:t>
      </w:r>
    </w:p>
    <w:p w:rsidR="006C0A46" w:rsidRPr="001B05C8" w:rsidRDefault="006C0A46" w:rsidP="00CE0B2D">
      <w:r w:rsidRPr="001B05C8">
        <w:t>The Department does not tolerate improper conduct by its workers, or the taking of reprisals against those who come forward to disclose such conduct</w:t>
      </w:r>
      <w:r w:rsidR="00D75742">
        <w:t xml:space="preserve">. DHHS </w:t>
      </w:r>
      <w:r w:rsidRPr="001B05C8">
        <w:t xml:space="preserve">works together with the Ombudsman and Integrity Commission to ensure that all reasonable steps are taken to protect people who make such disclosures from any detrimental action in reprisal for making the disclosure. </w:t>
      </w:r>
      <w:r w:rsidR="00511177">
        <w:t xml:space="preserve">DHHS </w:t>
      </w:r>
      <w:r w:rsidRPr="001B05C8">
        <w:t>will also afford natural justice to any person who is the subject of a disclosure.</w:t>
      </w:r>
    </w:p>
    <w:p w:rsidR="006C0A46" w:rsidRPr="001B05C8" w:rsidRDefault="00976354" w:rsidP="00CE0B2D">
      <w:r>
        <w:br w:type="column"/>
      </w:r>
      <w:r w:rsidR="006C0A46" w:rsidRPr="001B05C8">
        <w:lastRenderedPageBreak/>
        <w:t xml:space="preserve">The </w:t>
      </w:r>
      <w:r w:rsidR="00D75742">
        <w:t xml:space="preserve">DHHS </w:t>
      </w:r>
      <w:r w:rsidR="006C0A46" w:rsidRPr="001B05C8">
        <w:t xml:space="preserve">recognises the value of transparency and accountability in administrative and management practices. </w:t>
      </w:r>
      <w:r w:rsidR="00511177">
        <w:t xml:space="preserve">DHHS </w:t>
      </w:r>
      <w:r w:rsidR="006C0A46" w:rsidRPr="001B05C8">
        <w:t>also supports persons making disclosures that reveal corrupt conduct, conduct involving a substantial mismanagement of public resources, or conduct involving a substantial risk to public health and safety or the environment.</w:t>
      </w:r>
    </w:p>
    <w:p w:rsidR="006C0A46" w:rsidRPr="001B05C8" w:rsidRDefault="006C0A46" w:rsidP="00CE0B2D">
      <w:r w:rsidRPr="001B05C8">
        <w:t xml:space="preserve">Further information on the </w:t>
      </w:r>
      <w:r w:rsidRPr="001B05C8">
        <w:rPr>
          <w:i/>
        </w:rPr>
        <w:t>Public Interest Disclosures Act 2002</w:t>
      </w:r>
      <w:r w:rsidRPr="001B05C8">
        <w:t xml:space="preserve"> can be found on the Tasmanian </w:t>
      </w:r>
      <w:r w:rsidR="00511177">
        <w:t>l</w:t>
      </w:r>
      <w:r w:rsidRPr="001B05C8">
        <w:t xml:space="preserve">egislation website at </w:t>
      </w:r>
      <w:hyperlink r:id="rId22" w:history="1">
        <w:r w:rsidRPr="001B05C8">
          <w:rPr>
            <w:rStyle w:val="Hyperlink"/>
          </w:rPr>
          <w:t>http://www.thelaw.tas.gov.au</w:t>
        </w:r>
      </w:hyperlink>
      <w:r w:rsidRPr="001B05C8">
        <w:t>.</w:t>
      </w:r>
    </w:p>
    <w:p w:rsidR="006C0A46" w:rsidRPr="001B05C8" w:rsidRDefault="006C0A46" w:rsidP="006C0A46"/>
    <w:p w:rsidR="006C0A46" w:rsidRPr="001B05C8" w:rsidRDefault="006C0A46" w:rsidP="006C0A46"/>
    <w:p w:rsidR="006C0A46" w:rsidRPr="001B05C8" w:rsidRDefault="006C0A46" w:rsidP="006C0A46">
      <w:pPr>
        <w:sectPr w:rsidR="006C0A46" w:rsidRPr="001B05C8" w:rsidSect="00CB41D0">
          <w:type w:val="continuous"/>
          <w:pgSz w:w="11906" w:h="16838"/>
          <w:pgMar w:top="967" w:right="1134" w:bottom="720" w:left="1134" w:header="709" w:footer="709" w:gutter="0"/>
          <w:cols w:num="2" w:space="708"/>
          <w:docGrid w:linePitch="360"/>
        </w:sectPr>
      </w:pPr>
    </w:p>
    <w:p w:rsidR="006C0A46" w:rsidRPr="001B05C8" w:rsidRDefault="006C0A46" w:rsidP="006C0A46"/>
    <w:p w:rsidR="006C0A46" w:rsidRPr="001B05C8" w:rsidRDefault="006C0A46" w:rsidP="006C0A46">
      <w:pPr>
        <w:sectPr w:rsidR="006C0A46" w:rsidRPr="001B05C8" w:rsidSect="00CB41D0">
          <w:type w:val="continuous"/>
          <w:pgSz w:w="11906" w:h="16838"/>
          <w:pgMar w:top="967" w:right="1134" w:bottom="720" w:left="1134" w:header="709" w:footer="709" w:gutter="0"/>
          <w:cols w:space="708"/>
          <w:docGrid w:linePitch="360"/>
        </w:sectPr>
      </w:pPr>
    </w:p>
    <w:p w:rsidR="00C064B1" w:rsidRPr="00163500" w:rsidRDefault="00C064B1" w:rsidP="00163500">
      <w:pPr>
        <w:pStyle w:val="Heading1"/>
      </w:pPr>
      <w:bookmarkStart w:id="79" w:name="_Toc430351458"/>
      <w:r w:rsidRPr="00163500">
        <w:lastRenderedPageBreak/>
        <w:t>Right to Information</w:t>
      </w:r>
      <w:bookmarkEnd w:id="79"/>
      <w:r w:rsidRPr="00163500">
        <w:t xml:space="preserve"> </w:t>
      </w:r>
    </w:p>
    <w:p w:rsidR="00854935" w:rsidRPr="001B05C8" w:rsidRDefault="00854935" w:rsidP="00854935">
      <w:pPr>
        <w:pStyle w:val="Heading4"/>
        <w:spacing w:before="120"/>
        <w:sectPr w:rsidR="00854935" w:rsidRPr="001B05C8" w:rsidSect="00CB41D0">
          <w:pgSz w:w="11906" w:h="16838"/>
          <w:pgMar w:top="967" w:right="1134" w:bottom="720" w:left="1134" w:header="709" w:footer="709" w:gutter="0"/>
          <w:cols w:num="2" w:space="708"/>
          <w:docGrid w:linePitch="360"/>
        </w:sectPr>
      </w:pPr>
    </w:p>
    <w:p w:rsidR="00175D45" w:rsidRPr="004E453D" w:rsidRDefault="00175D45" w:rsidP="00175D45">
      <w:pPr>
        <w:pStyle w:val="Heading2"/>
        <w:rPr>
          <w:i/>
          <w:sz w:val="28"/>
          <w:szCs w:val="28"/>
        </w:rPr>
      </w:pPr>
      <w:r w:rsidRPr="004E453D">
        <w:rPr>
          <w:sz w:val="28"/>
          <w:szCs w:val="28"/>
        </w:rPr>
        <w:lastRenderedPageBreak/>
        <w:t xml:space="preserve">Number of Applications </w:t>
      </w:r>
    </w:p>
    <w:tbl>
      <w:tblPr>
        <w:tblW w:w="9680"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550"/>
        <w:gridCol w:w="8250"/>
        <w:gridCol w:w="880"/>
      </w:tblGrid>
      <w:tr w:rsidR="00175D45" w:rsidRPr="004E453D" w:rsidTr="00BF3DB7">
        <w:trPr>
          <w:trHeight w:val="300"/>
        </w:trPr>
        <w:tc>
          <w:tcPr>
            <w:tcW w:w="550" w:type="dxa"/>
            <w:vAlign w:val="center"/>
          </w:tcPr>
          <w:p w:rsidR="00175D45" w:rsidRPr="004E453D" w:rsidRDefault="00175D45" w:rsidP="00BF3DB7">
            <w:pPr>
              <w:spacing w:before="60" w:after="60" w:line="260" w:lineRule="atLeast"/>
              <w:rPr>
                <w:sz w:val="20"/>
                <w:szCs w:val="20"/>
              </w:rPr>
            </w:pPr>
            <w:r w:rsidRPr="004E453D">
              <w:rPr>
                <w:sz w:val="20"/>
                <w:szCs w:val="20"/>
              </w:rPr>
              <w:t>1</w:t>
            </w:r>
          </w:p>
        </w:tc>
        <w:tc>
          <w:tcPr>
            <w:tcW w:w="8250" w:type="dxa"/>
            <w:vAlign w:val="center"/>
          </w:tcPr>
          <w:p w:rsidR="00175D45" w:rsidRPr="004E453D" w:rsidRDefault="00175D45" w:rsidP="00BF3DB7">
            <w:pPr>
              <w:spacing w:before="60" w:after="60" w:line="260" w:lineRule="atLeast"/>
              <w:rPr>
                <w:sz w:val="20"/>
                <w:szCs w:val="20"/>
              </w:rPr>
            </w:pPr>
            <w:r w:rsidRPr="004E453D">
              <w:rPr>
                <w:sz w:val="20"/>
                <w:szCs w:val="20"/>
              </w:rPr>
              <w:t xml:space="preserve">Number of applications for assessed disclosure received </w:t>
            </w:r>
          </w:p>
        </w:tc>
        <w:tc>
          <w:tcPr>
            <w:tcW w:w="88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73</w:t>
            </w:r>
          </w:p>
        </w:tc>
      </w:tr>
      <w:tr w:rsidR="00175D45" w:rsidRPr="004E453D" w:rsidTr="00BF3DB7">
        <w:trPr>
          <w:trHeight w:val="300"/>
        </w:trPr>
        <w:tc>
          <w:tcPr>
            <w:tcW w:w="550" w:type="dxa"/>
            <w:vAlign w:val="center"/>
          </w:tcPr>
          <w:p w:rsidR="00175D45" w:rsidRPr="004E453D" w:rsidRDefault="00175D45" w:rsidP="00175D45">
            <w:pPr>
              <w:spacing w:before="60" w:after="60" w:line="260" w:lineRule="atLeast"/>
              <w:rPr>
                <w:sz w:val="20"/>
                <w:szCs w:val="20"/>
              </w:rPr>
            </w:pPr>
            <w:r w:rsidRPr="004E453D">
              <w:rPr>
                <w:sz w:val="20"/>
                <w:szCs w:val="20"/>
              </w:rPr>
              <w:t>2</w:t>
            </w:r>
          </w:p>
        </w:tc>
        <w:tc>
          <w:tcPr>
            <w:tcW w:w="8250" w:type="dxa"/>
            <w:vAlign w:val="center"/>
          </w:tcPr>
          <w:p w:rsidR="00175D45" w:rsidRPr="004E453D" w:rsidRDefault="00175D45" w:rsidP="00BF3DB7">
            <w:pPr>
              <w:spacing w:before="60" w:after="60" w:line="260" w:lineRule="atLeast"/>
              <w:rPr>
                <w:sz w:val="20"/>
                <w:szCs w:val="20"/>
              </w:rPr>
            </w:pPr>
            <w:r w:rsidRPr="004E453D">
              <w:rPr>
                <w:sz w:val="20"/>
                <w:szCs w:val="20"/>
              </w:rPr>
              <w:t xml:space="preserve">Number of applications for assessed disclosure accepted </w:t>
            </w:r>
          </w:p>
        </w:tc>
        <w:tc>
          <w:tcPr>
            <w:tcW w:w="88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72</w:t>
            </w:r>
          </w:p>
        </w:tc>
      </w:tr>
      <w:tr w:rsidR="00175D45" w:rsidRPr="004E453D" w:rsidTr="00BF3DB7">
        <w:trPr>
          <w:trHeight w:val="300"/>
        </w:trPr>
        <w:tc>
          <w:tcPr>
            <w:tcW w:w="550" w:type="dxa"/>
            <w:vAlign w:val="center"/>
          </w:tcPr>
          <w:p w:rsidR="00175D45" w:rsidRPr="004E453D" w:rsidRDefault="00175D45" w:rsidP="00175D45">
            <w:pPr>
              <w:spacing w:before="60" w:after="60" w:line="260" w:lineRule="atLeast"/>
              <w:rPr>
                <w:sz w:val="20"/>
                <w:szCs w:val="20"/>
              </w:rPr>
            </w:pPr>
            <w:r w:rsidRPr="004E453D">
              <w:rPr>
                <w:sz w:val="20"/>
                <w:szCs w:val="20"/>
              </w:rPr>
              <w:t>3</w:t>
            </w:r>
          </w:p>
        </w:tc>
        <w:tc>
          <w:tcPr>
            <w:tcW w:w="8250" w:type="dxa"/>
            <w:vAlign w:val="center"/>
          </w:tcPr>
          <w:p w:rsidR="00175D45" w:rsidRPr="004E453D" w:rsidRDefault="00175D45" w:rsidP="00BF3DB7">
            <w:pPr>
              <w:spacing w:before="60" w:after="60" w:line="260" w:lineRule="atLeast"/>
              <w:rPr>
                <w:sz w:val="20"/>
                <w:szCs w:val="20"/>
              </w:rPr>
            </w:pPr>
            <w:r w:rsidRPr="004E453D">
              <w:rPr>
                <w:sz w:val="20"/>
                <w:szCs w:val="20"/>
              </w:rPr>
              <w:t>Number of applications for assessed disclosure transferred or part transferred to another public authority</w:t>
            </w:r>
          </w:p>
        </w:tc>
        <w:tc>
          <w:tcPr>
            <w:tcW w:w="88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1</w:t>
            </w:r>
          </w:p>
        </w:tc>
      </w:tr>
      <w:tr w:rsidR="00175D45" w:rsidRPr="004E453D" w:rsidTr="00BF3DB7">
        <w:trPr>
          <w:trHeight w:val="300"/>
        </w:trPr>
        <w:tc>
          <w:tcPr>
            <w:tcW w:w="550" w:type="dxa"/>
            <w:vAlign w:val="center"/>
          </w:tcPr>
          <w:p w:rsidR="00175D45" w:rsidRPr="004E453D" w:rsidRDefault="00175D45" w:rsidP="00175D45">
            <w:pPr>
              <w:spacing w:before="60" w:after="60" w:line="260" w:lineRule="atLeast"/>
              <w:rPr>
                <w:sz w:val="20"/>
                <w:szCs w:val="20"/>
              </w:rPr>
            </w:pPr>
            <w:r w:rsidRPr="004E453D">
              <w:rPr>
                <w:sz w:val="20"/>
                <w:szCs w:val="20"/>
              </w:rPr>
              <w:t>4</w:t>
            </w:r>
          </w:p>
        </w:tc>
        <w:tc>
          <w:tcPr>
            <w:tcW w:w="8250" w:type="dxa"/>
            <w:vAlign w:val="center"/>
          </w:tcPr>
          <w:p w:rsidR="00175D45" w:rsidRPr="004E453D" w:rsidRDefault="00175D45" w:rsidP="00BF3DB7">
            <w:pPr>
              <w:spacing w:before="60" w:after="60" w:line="260" w:lineRule="atLeast"/>
              <w:rPr>
                <w:sz w:val="20"/>
                <w:szCs w:val="20"/>
              </w:rPr>
            </w:pPr>
            <w:r w:rsidRPr="004E453D">
              <w:rPr>
                <w:sz w:val="20"/>
                <w:szCs w:val="20"/>
              </w:rPr>
              <w:t>Number of applications withdrawn by the applicant</w:t>
            </w:r>
          </w:p>
        </w:tc>
        <w:tc>
          <w:tcPr>
            <w:tcW w:w="88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175D45">
            <w:pPr>
              <w:spacing w:before="60" w:after="60" w:line="260" w:lineRule="atLeast"/>
              <w:rPr>
                <w:sz w:val="20"/>
                <w:szCs w:val="20"/>
              </w:rPr>
            </w:pPr>
            <w:r w:rsidRPr="004E453D">
              <w:rPr>
                <w:sz w:val="20"/>
                <w:szCs w:val="20"/>
              </w:rPr>
              <w:t>5</w:t>
            </w:r>
          </w:p>
        </w:tc>
        <w:tc>
          <w:tcPr>
            <w:tcW w:w="8250" w:type="dxa"/>
            <w:vAlign w:val="center"/>
          </w:tcPr>
          <w:p w:rsidR="00175D45" w:rsidRPr="004E453D" w:rsidRDefault="00175D45" w:rsidP="00BF3DB7">
            <w:pPr>
              <w:spacing w:before="60" w:after="60" w:line="260" w:lineRule="atLeast"/>
              <w:rPr>
                <w:sz w:val="20"/>
                <w:szCs w:val="20"/>
              </w:rPr>
            </w:pPr>
            <w:r w:rsidRPr="004E453D">
              <w:rPr>
                <w:sz w:val="20"/>
                <w:szCs w:val="20"/>
              </w:rPr>
              <w:t>Number of applications for assessed disclosure determined</w:t>
            </w:r>
          </w:p>
        </w:tc>
        <w:tc>
          <w:tcPr>
            <w:tcW w:w="88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65</w:t>
            </w:r>
          </w:p>
        </w:tc>
      </w:tr>
    </w:tbl>
    <w:p w:rsidR="00175D45" w:rsidRPr="004E453D" w:rsidRDefault="00175D45" w:rsidP="00175D45">
      <w:pPr>
        <w:pStyle w:val="Heading2"/>
        <w:rPr>
          <w:i/>
          <w:sz w:val="28"/>
          <w:szCs w:val="28"/>
        </w:rPr>
      </w:pPr>
      <w:r w:rsidRPr="004E453D">
        <w:rPr>
          <w:sz w:val="28"/>
          <w:szCs w:val="28"/>
        </w:rPr>
        <w:t>Outcome of Applications</w:t>
      </w:r>
    </w:p>
    <w:tbl>
      <w:tblPr>
        <w:tblW w:w="9680"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550"/>
        <w:gridCol w:w="8250"/>
        <w:gridCol w:w="880"/>
      </w:tblGrid>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1</w:t>
            </w:r>
          </w:p>
        </w:tc>
        <w:tc>
          <w:tcPr>
            <w:tcW w:w="8250" w:type="dxa"/>
            <w:vAlign w:val="center"/>
          </w:tcPr>
          <w:p w:rsidR="00175D45" w:rsidRPr="004E453D" w:rsidRDefault="00175D45" w:rsidP="00BF3DB7">
            <w:pPr>
              <w:pStyle w:val="Header"/>
              <w:spacing w:before="60" w:after="60"/>
              <w:rPr>
                <w:sz w:val="20"/>
                <w:szCs w:val="20"/>
              </w:rPr>
            </w:pPr>
            <w:r w:rsidRPr="004E453D">
              <w:rPr>
                <w:sz w:val="20"/>
                <w:szCs w:val="20"/>
              </w:rPr>
              <w:t>Number of determinations where the information applied for was provided in full.</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25</w:t>
            </w:r>
          </w:p>
        </w:tc>
      </w:tr>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2</w:t>
            </w:r>
          </w:p>
        </w:tc>
        <w:tc>
          <w:tcPr>
            <w:tcW w:w="8250" w:type="dxa"/>
            <w:vAlign w:val="center"/>
          </w:tcPr>
          <w:p w:rsidR="00175D45" w:rsidRPr="004E453D" w:rsidRDefault="00175D45" w:rsidP="00BF3DB7">
            <w:pPr>
              <w:pStyle w:val="Header"/>
              <w:spacing w:before="60" w:after="60"/>
              <w:rPr>
                <w:sz w:val="20"/>
                <w:szCs w:val="20"/>
              </w:rPr>
            </w:pPr>
            <w:r w:rsidRPr="004E453D">
              <w:rPr>
                <w:sz w:val="20"/>
                <w:szCs w:val="20"/>
              </w:rPr>
              <w:t>Number of determinations where the information applied for was provided in part with the balance refused or claimed as exempt.</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32</w:t>
            </w:r>
          </w:p>
        </w:tc>
      </w:tr>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3</w:t>
            </w:r>
          </w:p>
        </w:tc>
        <w:tc>
          <w:tcPr>
            <w:tcW w:w="8250" w:type="dxa"/>
            <w:vAlign w:val="center"/>
          </w:tcPr>
          <w:p w:rsidR="00175D45" w:rsidRPr="004E453D" w:rsidRDefault="00175D45" w:rsidP="00BF3DB7">
            <w:pPr>
              <w:pStyle w:val="Header"/>
              <w:spacing w:before="60" w:after="60"/>
              <w:rPr>
                <w:sz w:val="20"/>
                <w:szCs w:val="20"/>
              </w:rPr>
            </w:pPr>
            <w:r w:rsidRPr="004E453D">
              <w:rPr>
                <w:sz w:val="20"/>
                <w:szCs w:val="20"/>
              </w:rPr>
              <w:t>Number of determinations where all the information applied for was refused or claimed as exempt.</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5</w:t>
            </w:r>
          </w:p>
        </w:tc>
      </w:tr>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4</w:t>
            </w:r>
          </w:p>
        </w:tc>
        <w:tc>
          <w:tcPr>
            <w:tcW w:w="8250" w:type="dxa"/>
            <w:vAlign w:val="center"/>
          </w:tcPr>
          <w:p w:rsidR="00175D45" w:rsidRPr="004E453D" w:rsidRDefault="00175D45" w:rsidP="00BF3DB7">
            <w:pPr>
              <w:pStyle w:val="Header"/>
              <w:spacing w:before="60" w:after="60"/>
              <w:rPr>
                <w:sz w:val="20"/>
                <w:szCs w:val="20"/>
              </w:rPr>
            </w:pPr>
            <w:r w:rsidRPr="004E453D">
              <w:rPr>
                <w:sz w:val="20"/>
                <w:szCs w:val="20"/>
              </w:rPr>
              <w:t>Number of applications where the information applied for was not in the possession of the public authority or Minister.</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3</w:t>
            </w:r>
          </w:p>
        </w:tc>
      </w:tr>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5</w:t>
            </w:r>
          </w:p>
        </w:tc>
        <w:tc>
          <w:tcPr>
            <w:tcW w:w="8250" w:type="dxa"/>
            <w:vAlign w:val="center"/>
          </w:tcPr>
          <w:p w:rsidR="00175D45" w:rsidRPr="004E453D" w:rsidRDefault="00175D45" w:rsidP="00BF3DB7">
            <w:pPr>
              <w:pStyle w:val="Header"/>
              <w:spacing w:before="60" w:after="60"/>
              <w:rPr>
                <w:sz w:val="20"/>
                <w:szCs w:val="20"/>
              </w:rPr>
            </w:pPr>
            <w:r w:rsidRPr="004E453D">
              <w:rPr>
                <w:sz w:val="20"/>
                <w:szCs w:val="20"/>
              </w:rPr>
              <w:t xml:space="preserve">Number of applications where the information was not released as it was subject to an external party review under section 44 </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bl>
    <w:p w:rsidR="00175D45" w:rsidRPr="004E453D" w:rsidRDefault="00175D45" w:rsidP="00175D45">
      <w:pPr>
        <w:pStyle w:val="Heading2"/>
        <w:rPr>
          <w:i/>
          <w:sz w:val="28"/>
          <w:szCs w:val="28"/>
        </w:rPr>
      </w:pPr>
      <w:r w:rsidRPr="004E453D">
        <w:rPr>
          <w:sz w:val="28"/>
          <w:szCs w:val="28"/>
        </w:rPr>
        <w:t xml:space="preserve">Reasons for Refusal </w:t>
      </w:r>
    </w:p>
    <w:tbl>
      <w:tblPr>
        <w:tblW w:w="9639"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709"/>
        <w:gridCol w:w="7480"/>
        <w:gridCol w:w="1450"/>
      </w:tblGrid>
      <w:tr w:rsidR="00175D45" w:rsidRPr="004E453D" w:rsidTr="00BF3DB7">
        <w:trPr>
          <w:trHeight w:val="300"/>
        </w:trPr>
        <w:tc>
          <w:tcPr>
            <w:tcW w:w="709" w:type="dxa"/>
            <w:vAlign w:val="center"/>
          </w:tcPr>
          <w:p w:rsidR="00175D45" w:rsidRPr="004E453D" w:rsidRDefault="00175D45" w:rsidP="00BF3DB7">
            <w:pPr>
              <w:keepNext/>
              <w:spacing w:before="60" w:after="60" w:line="260" w:lineRule="atLeast"/>
              <w:rPr>
                <w:sz w:val="20"/>
                <w:szCs w:val="20"/>
              </w:rPr>
            </w:pPr>
            <w:r w:rsidRPr="004E453D">
              <w:rPr>
                <w:sz w:val="20"/>
                <w:szCs w:val="20"/>
              </w:rPr>
              <w:t>s.5 s.11 s.17</w:t>
            </w:r>
          </w:p>
        </w:tc>
        <w:tc>
          <w:tcPr>
            <w:tcW w:w="7480" w:type="dxa"/>
            <w:vAlign w:val="center"/>
          </w:tcPr>
          <w:p w:rsidR="00175D45" w:rsidRPr="004E453D" w:rsidRDefault="00175D45" w:rsidP="00BF3DB7">
            <w:pPr>
              <w:pStyle w:val="Header"/>
              <w:keepNext/>
              <w:spacing w:before="60" w:after="60" w:line="260" w:lineRule="atLeast"/>
              <w:rPr>
                <w:sz w:val="20"/>
                <w:szCs w:val="20"/>
              </w:rPr>
            </w:pPr>
            <w:r w:rsidRPr="004E453D">
              <w:rPr>
                <w:sz w:val="20"/>
                <w:szCs w:val="20"/>
              </w:rPr>
              <w:t xml:space="preserve">Refusal where information requested was not within the scope of the Act </w:t>
            </w:r>
            <w:r w:rsidRPr="004E453D">
              <w:rPr>
                <w:sz w:val="20"/>
                <w:szCs w:val="20"/>
              </w:rPr>
              <w:br/>
              <w:t>(s.5 – Not official business; s.11 – available at Archives Office and s.17 – Deferred) </w:t>
            </w:r>
          </w:p>
        </w:tc>
        <w:tc>
          <w:tcPr>
            <w:tcW w:w="1450" w:type="dxa"/>
            <w:shd w:val="clear" w:color="auto" w:fill="auto"/>
            <w:noWrap/>
            <w:vAlign w:val="center"/>
          </w:tcPr>
          <w:p w:rsidR="00175D45" w:rsidRPr="004E453D" w:rsidRDefault="00175D45" w:rsidP="00BF3DB7">
            <w:pPr>
              <w:keepNext/>
              <w:spacing w:before="60" w:after="60" w:line="260" w:lineRule="atLeast"/>
              <w:jc w:val="right"/>
              <w:rPr>
                <w:sz w:val="20"/>
                <w:szCs w:val="20"/>
              </w:rPr>
            </w:pPr>
            <w:r w:rsidRPr="004E453D">
              <w:rPr>
                <w:sz w:val="20"/>
                <w:szCs w:val="20"/>
              </w:rPr>
              <w:t>1</w:t>
            </w:r>
          </w:p>
        </w:tc>
      </w:tr>
      <w:tr w:rsidR="00175D45" w:rsidRPr="004E453D" w:rsidTr="00BF3DB7">
        <w:trPr>
          <w:trHeight w:val="300"/>
        </w:trPr>
        <w:tc>
          <w:tcPr>
            <w:tcW w:w="709" w:type="dxa"/>
            <w:vAlign w:val="center"/>
          </w:tcPr>
          <w:p w:rsidR="00175D45" w:rsidRPr="004E453D" w:rsidRDefault="00175D45" w:rsidP="00BF3DB7">
            <w:pPr>
              <w:keepNext/>
              <w:spacing w:before="60" w:after="60" w:line="260" w:lineRule="atLeast"/>
              <w:rPr>
                <w:sz w:val="20"/>
                <w:szCs w:val="20"/>
              </w:rPr>
            </w:pPr>
            <w:r w:rsidRPr="004E453D">
              <w:rPr>
                <w:sz w:val="20"/>
                <w:szCs w:val="20"/>
              </w:rPr>
              <w:t>s.9 s.12</w:t>
            </w:r>
          </w:p>
        </w:tc>
        <w:tc>
          <w:tcPr>
            <w:tcW w:w="7480" w:type="dxa"/>
            <w:vAlign w:val="center"/>
          </w:tcPr>
          <w:p w:rsidR="00175D45" w:rsidRPr="004E453D" w:rsidRDefault="00175D45" w:rsidP="00BF3DB7">
            <w:pPr>
              <w:pStyle w:val="Header"/>
              <w:keepNext/>
              <w:spacing w:before="60" w:after="60" w:line="260" w:lineRule="atLeast"/>
              <w:rPr>
                <w:sz w:val="20"/>
                <w:szCs w:val="20"/>
              </w:rPr>
            </w:pPr>
            <w:r w:rsidRPr="004E453D">
              <w:rPr>
                <w:sz w:val="20"/>
                <w:szCs w:val="20"/>
              </w:rPr>
              <w:t>Refusal where information is otherwise available or will become otherwise available in the next 12 months</w:t>
            </w:r>
          </w:p>
        </w:tc>
        <w:tc>
          <w:tcPr>
            <w:tcW w:w="1450" w:type="dxa"/>
            <w:shd w:val="clear" w:color="auto" w:fill="auto"/>
            <w:noWrap/>
            <w:vAlign w:val="center"/>
          </w:tcPr>
          <w:p w:rsidR="00175D45" w:rsidRPr="004E453D" w:rsidRDefault="00175D45" w:rsidP="00BF3DB7">
            <w:pPr>
              <w:keepNext/>
              <w:spacing w:before="60" w:after="60" w:line="260" w:lineRule="atLeast"/>
              <w:jc w:val="right"/>
              <w:rPr>
                <w:sz w:val="20"/>
                <w:szCs w:val="20"/>
              </w:rPr>
            </w:pPr>
            <w:r w:rsidRPr="004E453D">
              <w:rPr>
                <w:sz w:val="20"/>
                <w:szCs w:val="20"/>
              </w:rPr>
              <w:t>0</w:t>
            </w:r>
          </w:p>
        </w:tc>
      </w:tr>
      <w:tr w:rsidR="00175D45" w:rsidRPr="004E453D" w:rsidTr="00BF3DB7">
        <w:trPr>
          <w:trHeight w:val="300"/>
        </w:trPr>
        <w:tc>
          <w:tcPr>
            <w:tcW w:w="709" w:type="dxa"/>
            <w:vAlign w:val="center"/>
          </w:tcPr>
          <w:p w:rsidR="00175D45" w:rsidRPr="004E453D" w:rsidRDefault="00175D45" w:rsidP="00BF3DB7">
            <w:pPr>
              <w:keepNext/>
              <w:spacing w:before="60" w:after="60" w:line="260" w:lineRule="atLeast"/>
              <w:rPr>
                <w:sz w:val="20"/>
                <w:szCs w:val="20"/>
              </w:rPr>
            </w:pPr>
            <w:r w:rsidRPr="004E453D">
              <w:rPr>
                <w:sz w:val="20"/>
                <w:szCs w:val="20"/>
              </w:rPr>
              <w:t>s.10 s.19</w:t>
            </w:r>
          </w:p>
        </w:tc>
        <w:tc>
          <w:tcPr>
            <w:tcW w:w="7480" w:type="dxa"/>
            <w:vAlign w:val="center"/>
          </w:tcPr>
          <w:p w:rsidR="00175D45" w:rsidRPr="004E453D" w:rsidRDefault="00175D45" w:rsidP="00BF3DB7">
            <w:pPr>
              <w:pStyle w:val="Header"/>
              <w:keepNext/>
              <w:spacing w:before="60" w:after="60" w:line="260" w:lineRule="atLeast"/>
              <w:rPr>
                <w:sz w:val="20"/>
                <w:szCs w:val="20"/>
              </w:rPr>
            </w:pPr>
            <w:r w:rsidRPr="004E453D">
              <w:rPr>
                <w:sz w:val="20"/>
                <w:szCs w:val="20"/>
              </w:rPr>
              <w:t>Refusal where resources of public authority unreasonably diverted</w:t>
            </w:r>
          </w:p>
        </w:tc>
        <w:tc>
          <w:tcPr>
            <w:tcW w:w="1450" w:type="dxa"/>
            <w:shd w:val="clear" w:color="auto" w:fill="auto"/>
            <w:noWrap/>
            <w:vAlign w:val="center"/>
          </w:tcPr>
          <w:p w:rsidR="00175D45" w:rsidRPr="004E453D" w:rsidRDefault="00175D45" w:rsidP="00BF3DB7">
            <w:pPr>
              <w:keepNext/>
              <w:spacing w:before="60" w:after="60" w:line="260" w:lineRule="atLeast"/>
              <w:jc w:val="right"/>
              <w:rPr>
                <w:sz w:val="20"/>
                <w:szCs w:val="20"/>
              </w:rPr>
            </w:pPr>
            <w:r w:rsidRPr="004E453D">
              <w:rPr>
                <w:sz w:val="20"/>
                <w:szCs w:val="20"/>
              </w:rPr>
              <w:t>0</w:t>
            </w:r>
          </w:p>
        </w:tc>
      </w:tr>
      <w:tr w:rsidR="00175D45" w:rsidRPr="004E453D" w:rsidTr="00BF3DB7">
        <w:trPr>
          <w:trHeight w:val="300"/>
        </w:trPr>
        <w:tc>
          <w:tcPr>
            <w:tcW w:w="709" w:type="dxa"/>
            <w:vAlign w:val="center"/>
          </w:tcPr>
          <w:p w:rsidR="00175D45" w:rsidRPr="004E453D" w:rsidRDefault="00175D45" w:rsidP="00BF3DB7">
            <w:pPr>
              <w:spacing w:before="60" w:after="60" w:line="260" w:lineRule="atLeast"/>
              <w:rPr>
                <w:sz w:val="20"/>
                <w:szCs w:val="20"/>
              </w:rPr>
            </w:pPr>
            <w:r w:rsidRPr="004E453D">
              <w:rPr>
                <w:sz w:val="20"/>
                <w:szCs w:val="20"/>
              </w:rPr>
              <w:t>s.20</w:t>
            </w:r>
          </w:p>
        </w:tc>
        <w:tc>
          <w:tcPr>
            <w:tcW w:w="7480" w:type="dxa"/>
            <w:vAlign w:val="center"/>
          </w:tcPr>
          <w:p w:rsidR="00175D45" w:rsidRPr="004E453D" w:rsidRDefault="00175D45" w:rsidP="00BF3DB7">
            <w:pPr>
              <w:pStyle w:val="Header"/>
              <w:spacing w:before="60" w:after="60" w:line="260" w:lineRule="atLeast"/>
              <w:rPr>
                <w:sz w:val="20"/>
                <w:szCs w:val="20"/>
              </w:rPr>
            </w:pPr>
            <w:r w:rsidRPr="004E453D">
              <w:rPr>
                <w:sz w:val="20"/>
                <w:szCs w:val="20"/>
              </w:rPr>
              <w:t>Refusal where application repeated; or Vexatious; or Lacking in definition after negotiation</w:t>
            </w:r>
          </w:p>
        </w:tc>
        <w:tc>
          <w:tcPr>
            <w:tcW w:w="1450" w:type="dxa"/>
            <w:shd w:val="clear" w:color="auto" w:fill="auto"/>
            <w:noWrap/>
            <w:vAlign w:val="center"/>
          </w:tcPr>
          <w:p w:rsidR="00175D45" w:rsidRPr="004E453D" w:rsidRDefault="00175D45" w:rsidP="00BF3DB7">
            <w:pPr>
              <w:spacing w:before="60" w:after="60" w:line="260" w:lineRule="atLeast"/>
              <w:jc w:val="right"/>
              <w:rPr>
                <w:sz w:val="20"/>
                <w:szCs w:val="20"/>
              </w:rPr>
            </w:pPr>
            <w:r w:rsidRPr="004E453D">
              <w:rPr>
                <w:sz w:val="20"/>
                <w:szCs w:val="20"/>
              </w:rPr>
              <w:t>0</w:t>
            </w:r>
          </w:p>
        </w:tc>
      </w:tr>
    </w:tbl>
    <w:p w:rsidR="00175D45" w:rsidRPr="004E453D" w:rsidRDefault="00175D45" w:rsidP="00175D45">
      <w:pPr>
        <w:pStyle w:val="Heading2"/>
        <w:rPr>
          <w:i/>
          <w:sz w:val="28"/>
          <w:szCs w:val="28"/>
        </w:rPr>
      </w:pPr>
      <w:r w:rsidRPr="004E453D">
        <w:rPr>
          <w:sz w:val="28"/>
          <w:szCs w:val="28"/>
        </w:rPr>
        <w:t>Exemptions</w:t>
      </w:r>
    </w:p>
    <w:tbl>
      <w:tblPr>
        <w:tblW w:w="9680"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550"/>
        <w:gridCol w:w="8250"/>
        <w:gridCol w:w="880"/>
      </w:tblGrid>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s.25</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Executive Council Information</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s.26</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Cabinet Information</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6</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s.27</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Internal briefing information of a Minister</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19</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s.28</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not relating to official business</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s.29</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affecting national or state security, defence or international relations</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s.30</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relating to the enforcement of the law</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s.31</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Legal professional privilege</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6</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s.32</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relating to closed meetings of council</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s.34</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communicated by other jurisdictions</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3</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s.35</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Internal deliberative information</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21</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s.36</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Personal information of a person other than the applicant</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13</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lastRenderedPageBreak/>
              <w:t>s.37</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relating to the business affairs of a third party</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5</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s.38</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relating to the business affairs of a public authority</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s.39</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obtained in confidence</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10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s.40</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on procedures and criteria used in certain negotiations of public authority</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s.41</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likely to affect the State economy</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s.42</w:t>
            </w:r>
          </w:p>
        </w:tc>
        <w:tc>
          <w:tcPr>
            <w:tcW w:w="8250" w:type="dxa"/>
            <w:vAlign w:val="center"/>
          </w:tcPr>
          <w:p w:rsidR="00175D45" w:rsidRPr="004E453D" w:rsidRDefault="00175D45" w:rsidP="00BF3DB7">
            <w:pPr>
              <w:spacing w:before="60" w:after="60" w:line="240" w:lineRule="auto"/>
              <w:rPr>
                <w:sz w:val="20"/>
                <w:szCs w:val="20"/>
              </w:rPr>
            </w:pPr>
            <w:r w:rsidRPr="004E453D">
              <w:rPr>
                <w:sz w:val="20"/>
                <w:szCs w:val="20"/>
              </w:rPr>
              <w:t>Information likely to affect cultural, heritage and natural resources of the State</w:t>
            </w:r>
          </w:p>
        </w:tc>
        <w:tc>
          <w:tcPr>
            <w:tcW w:w="880" w:type="dxa"/>
            <w:shd w:val="clear" w:color="auto" w:fill="auto"/>
            <w:noWrap/>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bl>
    <w:p w:rsidR="00175D45" w:rsidRPr="004E453D" w:rsidRDefault="00175D45" w:rsidP="00175D45">
      <w:pPr>
        <w:pStyle w:val="Heading2"/>
        <w:rPr>
          <w:sz w:val="28"/>
          <w:szCs w:val="28"/>
        </w:rPr>
      </w:pPr>
      <w:r w:rsidRPr="004E453D">
        <w:rPr>
          <w:sz w:val="28"/>
          <w:szCs w:val="28"/>
        </w:rPr>
        <w:t>Time to Make Decisions</w:t>
      </w:r>
    </w:p>
    <w:tbl>
      <w:tblPr>
        <w:tblW w:w="9680" w:type="dxa"/>
        <w:tblInd w:w="108"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550"/>
        <w:gridCol w:w="8250"/>
        <w:gridCol w:w="880"/>
      </w:tblGrid>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p>
        </w:tc>
        <w:tc>
          <w:tcPr>
            <w:tcW w:w="8250" w:type="dxa"/>
            <w:vAlign w:val="center"/>
          </w:tcPr>
          <w:p w:rsidR="00175D45" w:rsidRPr="004E453D" w:rsidRDefault="00175D45" w:rsidP="00175D45">
            <w:pPr>
              <w:spacing w:before="60" w:after="60" w:line="240" w:lineRule="auto"/>
              <w:jc w:val="both"/>
              <w:rPr>
                <w:sz w:val="20"/>
                <w:szCs w:val="20"/>
              </w:rPr>
            </w:pPr>
            <w:r w:rsidRPr="004E453D">
              <w:rPr>
                <w:sz w:val="20"/>
                <w:szCs w:val="20"/>
              </w:rPr>
              <w:t>Number of requests determined within the following timeframes.</w:t>
            </w:r>
          </w:p>
        </w:tc>
        <w:tc>
          <w:tcPr>
            <w:tcW w:w="880" w:type="dxa"/>
            <w:shd w:val="clear" w:color="auto" w:fill="auto"/>
            <w:noWrap/>
            <w:vAlign w:val="center"/>
          </w:tcPr>
          <w:p w:rsidR="00175D45" w:rsidRPr="004E453D" w:rsidRDefault="00175D45" w:rsidP="00BF3DB7">
            <w:pPr>
              <w:spacing w:before="60" w:after="60" w:line="240" w:lineRule="auto"/>
              <w:ind w:right="110"/>
              <w:jc w:val="right"/>
              <w:rPr>
                <w:sz w:val="20"/>
                <w:szCs w:val="20"/>
              </w:rPr>
            </w:pPr>
          </w:p>
        </w:tc>
      </w:tr>
      <w:tr w:rsidR="00175D45" w:rsidRPr="004E453D" w:rsidTr="00BF3DB7">
        <w:trPr>
          <w:trHeight w:val="300"/>
        </w:trPr>
        <w:tc>
          <w:tcPr>
            <w:tcW w:w="550" w:type="dxa"/>
            <w:vAlign w:val="center"/>
          </w:tcPr>
          <w:p w:rsidR="00175D45" w:rsidRPr="004E453D" w:rsidRDefault="00175D45" w:rsidP="00BF3DB7">
            <w:pPr>
              <w:spacing w:before="60" w:after="60" w:line="240" w:lineRule="auto"/>
              <w:rPr>
                <w:sz w:val="20"/>
                <w:szCs w:val="20"/>
              </w:rPr>
            </w:pPr>
            <w:r w:rsidRPr="004E453D">
              <w:rPr>
                <w:sz w:val="20"/>
                <w:szCs w:val="20"/>
              </w:rPr>
              <w:t>1</w:t>
            </w:r>
          </w:p>
        </w:tc>
        <w:tc>
          <w:tcPr>
            <w:tcW w:w="8250" w:type="dxa"/>
          </w:tcPr>
          <w:p w:rsidR="00175D45" w:rsidRPr="004E453D" w:rsidRDefault="00175D45" w:rsidP="00BF3DB7">
            <w:pPr>
              <w:spacing w:before="60" w:after="60" w:line="240" w:lineRule="auto"/>
              <w:rPr>
                <w:sz w:val="20"/>
                <w:szCs w:val="20"/>
              </w:rPr>
            </w:pPr>
            <w:r w:rsidRPr="004E453D">
              <w:rPr>
                <w:sz w:val="20"/>
                <w:szCs w:val="20"/>
              </w:rPr>
              <w:t>1 - 20 working days of the application being accepted.</w:t>
            </w:r>
          </w:p>
        </w:tc>
        <w:tc>
          <w:tcPr>
            <w:tcW w:w="880" w:type="dxa"/>
            <w:shd w:val="clear" w:color="auto" w:fill="auto"/>
            <w:noWrap/>
          </w:tcPr>
          <w:p w:rsidR="00175D45" w:rsidRPr="004E453D" w:rsidRDefault="00175D45" w:rsidP="00BF3DB7">
            <w:pPr>
              <w:spacing w:before="60" w:after="60" w:line="240" w:lineRule="auto"/>
              <w:jc w:val="right"/>
              <w:rPr>
                <w:sz w:val="20"/>
                <w:szCs w:val="20"/>
              </w:rPr>
            </w:pPr>
            <w:r w:rsidRPr="004E453D">
              <w:rPr>
                <w:sz w:val="20"/>
                <w:szCs w:val="20"/>
              </w:rPr>
              <w:t>20</w:t>
            </w:r>
          </w:p>
        </w:tc>
      </w:tr>
      <w:tr w:rsidR="00175D45" w:rsidRPr="004E453D" w:rsidTr="00BF3DB7">
        <w:trPr>
          <w:trHeight w:val="300"/>
        </w:trPr>
        <w:tc>
          <w:tcPr>
            <w:tcW w:w="550" w:type="dxa"/>
            <w:vAlign w:val="center"/>
          </w:tcPr>
          <w:p w:rsidR="00175D45" w:rsidRPr="004E453D" w:rsidRDefault="00175D45" w:rsidP="00175D45">
            <w:pPr>
              <w:spacing w:before="60" w:after="60" w:line="240" w:lineRule="auto"/>
              <w:rPr>
                <w:sz w:val="20"/>
                <w:szCs w:val="20"/>
              </w:rPr>
            </w:pPr>
            <w:r w:rsidRPr="004E453D">
              <w:rPr>
                <w:sz w:val="20"/>
                <w:szCs w:val="20"/>
              </w:rPr>
              <w:t>2</w:t>
            </w:r>
          </w:p>
        </w:tc>
        <w:tc>
          <w:tcPr>
            <w:tcW w:w="8250" w:type="dxa"/>
          </w:tcPr>
          <w:p w:rsidR="00175D45" w:rsidRPr="004E453D" w:rsidRDefault="00175D45" w:rsidP="00BF3DB7">
            <w:pPr>
              <w:spacing w:before="60" w:after="60" w:line="240" w:lineRule="auto"/>
              <w:rPr>
                <w:sz w:val="20"/>
                <w:szCs w:val="20"/>
              </w:rPr>
            </w:pPr>
            <w:r w:rsidRPr="004E453D">
              <w:rPr>
                <w:sz w:val="20"/>
                <w:szCs w:val="20"/>
              </w:rPr>
              <w:t>More than 20 working days of the application being accepted.</w:t>
            </w:r>
          </w:p>
        </w:tc>
        <w:tc>
          <w:tcPr>
            <w:tcW w:w="880" w:type="dxa"/>
            <w:shd w:val="clear" w:color="auto" w:fill="auto"/>
            <w:noWrap/>
          </w:tcPr>
          <w:p w:rsidR="00175D45" w:rsidRPr="004E453D" w:rsidRDefault="00175D45" w:rsidP="00BF3DB7">
            <w:pPr>
              <w:spacing w:before="60" w:after="60" w:line="240" w:lineRule="auto"/>
              <w:jc w:val="right"/>
              <w:rPr>
                <w:sz w:val="20"/>
                <w:szCs w:val="20"/>
              </w:rPr>
            </w:pPr>
            <w:r w:rsidRPr="004E453D">
              <w:rPr>
                <w:sz w:val="20"/>
                <w:szCs w:val="20"/>
              </w:rPr>
              <w:t>45</w:t>
            </w:r>
          </w:p>
        </w:tc>
      </w:tr>
      <w:tr w:rsidR="00175D45" w:rsidRPr="004E453D" w:rsidTr="00BF3DB7">
        <w:trPr>
          <w:trHeight w:val="300"/>
        </w:trPr>
        <w:tc>
          <w:tcPr>
            <w:tcW w:w="550" w:type="dxa"/>
          </w:tcPr>
          <w:p w:rsidR="00175D45" w:rsidRPr="004E453D" w:rsidRDefault="00175D45" w:rsidP="00175D45">
            <w:pPr>
              <w:spacing w:before="60" w:after="60" w:line="240" w:lineRule="auto"/>
              <w:rPr>
                <w:sz w:val="20"/>
                <w:szCs w:val="20"/>
              </w:rPr>
            </w:pPr>
            <w:r w:rsidRPr="004E453D">
              <w:rPr>
                <w:sz w:val="20"/>
                <w:szCs w:val="20"/>
              </w:rPr>
              <w:t>3</w:t>
            </w:r>
          </w:p>
        </w:tc>
        <w:tc>
          <w:tcPr>
            <w:tcW w:w="8250" w:type="dxa"/>
          </w:tcPr>
          <w:p w:rsidR="00175D45" w:rsidRPr="004E453D" w:rsidRDefault="00175D45" w:rsidP="00BF3DB7">
            <w:pPr>
              <w:spacing w:before="60" w:after="60" w:line="240" w:lineRule="auto"/>
              <w:rPr>
                <w:sz w:val="20"/>
                <w:szCs w:val="20"/>
              </w:rPr>
            </w:pPr>
            <w:r w:rsidRPr="004E453D">
              <w:rPr>
                <w:sz w:val="20"/>
                <w:szCs w:val="20"/>
              </w:rPr>
              <w:t>Number of requests which took more than 20 working days to decide that involved an extension negotiated under s.15(4)(a).</w:t>
            </w:r>
          </w:p>
        </w:tc>
        <w:tc>
          <w:tcPr>
            <w:tcW w:w="880" w:type="dxa"/>
            <w:shd w:val="clear" w:color="auto" w:fill="auto"/>
            <w:noWrap/>
          </w:tcPr>
          <w:p w:rsidR="00175D45" w:rsidRPr="004E453D" w:rsidRDefault="00175D45" w:rsidP="00BF3DB7">
            <w:pPr>
              <w:spacing w:before="60" w:after="60" w:line="240" w:lineRule="auto"/>
              <w:jc w:val="right"/>
              <w:rPr>
                <w:sz w:val="20"/>
                <w:szCs w:val="20"/>
              </w:rPr>
            </w:pPr>
            <w:r w:rsidRPr="004E453D">
              <w:rPr>
                <w:sz w:val="20"/>
                <w:szCs w:val="20"/>
              </w:rPr>
              <w:t>7</w:t>
            </w:r>
          </w:p>
        </w:tc>
      </w:tr>
      <w:tr w:rsidR="00175D45" w:rsidRPr="004E453D" w:rsidTr="00BF3DB7">
        <w:trPr>
          <w:trHeight w:val="300"/>
        </w:trPr>
        <w:tc>
          <w:tcPr>
            <w:tcW w:w="550" w:type="dxa"/>
          </w:tcPr>
          <w:p w:rsidR="00175D45" w:rsidRPr="004E453D" w:rsidRDefault="00175D45" w:rsidP="00175D45">
            <w:pPr>
              <w:spacing w:before="60" w:after="60" w:line="240" w:lineRule="auto"/>
              <w:rPr>
                <w:sz w:val="20"/>
                <w:szCs w:val="20"/>
              </w:rPr>
            </w:pPr>
            <w:r w:rsidRPr="004E453D">
              <w:rPr>
                <w:sz w:val="20"/>
                <w:szCs w:val="20"/>
              </w:rPr>
              <w:t>4</w:t>
            </w:r>
          </w:p>
        </w:tc>
        <w:tc>
          <w:tcPr>
            <w:tcW w:w="8250" w:type="dxa"/>
          </w:tcPr>
          <w:p w:rsidR="00175D45" w:rsidRPr="004E453D" w:rsidRDefault="00175D45" w:rsidP="00BF3DB7">
            <w:pPr>
              <w:spacing w:before="60" w:after="60" w:line="240" w:lineRule="auto"/>
              <w:rPr>
                <w:sz w:val="20"/>
                <w:szCs w:val="20"/>
              </w:rPr>
            </w:pPr>
            <w:r w:rsidRPr="004E453D">
              <w:rPr>
                <w:sz w:val="20"/>
                <w:szCs w:val="20"/>
              </w:rPr>
              <w:t>Number of requests which took more than 20 working days to decide that involved an extension gained through an application to the Ombudsman under s.15(4)(b).</w:t>
            </w:r>
          </w:p>
        </w:tc>
        <w:tc>
          <w:tcPr>
            <w:tcW w:w="880" w:type="dxa"/>
            <w:shd w:val="clear" w:color="auto" w:fill="auto"/>
            <w:noWrap/>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550" w:type="dxa"/>
          </w:tcPr>
          <w:p w:rsidR="00175D45" w:rsidRPr="004E453D" w:rsidRDefault="00175D45" w:rsidP="00175D45">
            <w:pPr>
              <w:spacing w:before="60" w:after="60" w:line="240" w:lineRule="auto"/>
              <w:rPr>
                <w:sz w:val="20"/>
                <w:szCs w:val="20"/>
              </w:rPr>
            </w:pPr>
            <w:r w:rsidRPr="004E453D">
              <w:rPr>
                <w:sz w:val="20"/>
                <w:szCs w:val="20"/>
              </w:rPr>
              <w:t>5</w:t>
            </w:r>
          </w:p>
        </w:tc>
        <w:tc>
          <w:tcPr>
            <w:tcW w:w="8250" w:type="dxa"/>
          </w:tcPr>
          <w:p w:rsidR="00175D45" w:rsidRPr="004E453D" w:rsidRDefault="00175D45" w:rsidP="00BF3DB7">
            <w:pPr>
              <w:spacing w:before="60" w:after="60" w:line="240" w:lineRule="auto"/>
              <w:rPr>
                <w:sz w:val="20"/>
                <w:szCs w:val="20"/>
              </w:rPr>
            </w:pPr>
            <w:r w:rsidRPr="004E453D">
              <w:rPr>
                <w:sz w:val="20"/>
                <w:szCs w:val="20"/>
              </w:rPr>
              <w:t>Number of requests which took more than 20 working days to decide that involved consultation with a third party under s.15(5)</w:t>
            </w:r>
          </w:p>
        </w:tc>
        <w:tc>
          <w:tcPr>
            <w:tcW w:w="880" w:type="dxa"/>
            <w:shd w:val="clear" w:color="auto" w:fill="auto"/>
            <w:noWrap/>
          </w:tcPr>
          <w:p w:rsidR="00175D45" w:rsidRPr="004E453D" w:rsidRDefault="00175D45" w:rsidP="00BF3DB7">
            <w:pPr>
              <w:spacing w:before="60" w:after="60" w:line="240" w:lineRule="auto"/>
              <w:jc w:val="right"/>
              <w:rPr>
                <w:sz w:val="20"/>
                <w:szCs w:val="20"/>
              </w:rPr>
            </w:pPr>
            <w:r w:rsidRPr="004E453D">
              <w:rPr>
                <w:sz w:val="20"/>
                <w:szCs w:val="20"/>
              </w:rPr>
              <w:t>0</w:t>
            </w:r>
          </w:p>
        </w:tc>
      </w:tr>
    </w:tbl>
    <w:p w:rsidR="00175D45" w:rsidRPr="004E453D" w:rsidRDefault="00175D45" w:rsidP="00175D45">
      <w:pPr>
        <w:pStyle w:val="Heading2"/>
        <w:rPr>
          <w:i/>
          <w:sz w:val="28"/>
          <w:szCs w:val="28"/>
        </w:rPr>
      </w:pPr>
      <w:r w:rsidRPr="004E453D">
        <w:rPr>
          <w:sz w:val="28"/>
          <w:szCs w:val="28"/>
        </w:rPr>
        <w:t>Reviews</w:t>
      </w:r>
    </w:p>
    <w:p w:rsidR="00175D45" w:rsidRPr="004E453D" w:rsidRDefault="00175D45" w:rsidP="00175D45">
      <w:pPr>
        <w:pStyle w:val="Heading3"/>
        <w:rPr>
          <w:szCs w:val="28"/>
        </w:rPr>
      </w:pPr>
      <w:r w:rsidRPr="004E453D">
        <w:rPr>
          <w:szCs w:val="28"/>
        </w:rPr>
        <w:t>Internal Reviews</w:t>
      </w:r>
    </w:p>
    <w:tbl>
      <w:tblPr>
        <w:tblW w:w="9695" w:type="dxa"/>
        <w:tblInd w:w="93" w:type="dxa"/>
        <w:tblBorders>
          <w:top w:val="single" w:sz="2" w:space="0" w:color="808080"/>
          <w:bottom w:val="single" w:sz="2" w:space="0" w:color="808080"/>
          <w:insideH w:val="single" w:sz="2" w:space="0" w:color="808080"/>
        </w:tblBorders>
        <w:tblLook w:val="0000" w:firstRow="0" w:lastRow="0" w:firstColumn="0" w:lastColumn="0" w:noHBand="0" w:noVBand="0"/>
      </w:tblPr>
      <w:tblGrid>
        <w:gridCol w:w="7935"/>
        <w:gridCol w:w="1760"/>
      </w:tblGrid>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of internal reviews were requested in 2013-14</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of internal reviews determined in this 2013-14</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upheld in full</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upheld in part</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reversed in full</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bl>
    <w:p w:rsidR="00175D45" w:rsidRPr="004E453D" w:rsidRDefault="00175D45" w:rsidP="00175D45">
      <w:pPr>
        <w:pStyle w:val="Heading3"/>
        <w:rPr>
          <w:bCs w:val="0"/>
          <w:iCs/>
          <w:szCs w:val="28"/>
        </w:rPr>
      </w:pPr>
      <w:r w:rsidRPr="004E453D">
        <w:rPr>
          <w:szCs w:val="28"/>
        </w:rPr>
        <w:t xml:space="preserve">External </w:t>
      </w:r>
      <w:r w:rsidRPr="004E453D">
        <w:rPr>
          <w:bCs w:val="0"/>
          <w:iCs/>
          <w:szCs w:val="28"/>
        </w:rPr>
        <w:t>Reviews (Reviews by the Ombudsman)</w:t>
      </w:r>
    </w:p>
    <w:tbl>
      <w:tblPr>
        <w:tblW w:w="9695" w:type="dxa"/>
        <w:tblInd w:w="93" w:type="dxa"/>
        <w:tblBorders>
          <w:top w:val="single" w:sz="2" w:space="0" w:color="808080"/>
          <w:insideH w:val="single" w:sz="2" w:space="0" w:color="808080"/>
        </w:tblBorders>
        <w:tblLook w:val="0000" w:firstRow="0" w:lastRow="0" w:firstColumn="0" w:lastColumn="0" w:noHBand="0" w:noVBand="0"/>
      </w:tblPr>
      <w:tblGrid>
        <w:gridCol w:w="7935"/>
        <w:gridCol w:w="1760"/>
      </w:tblGrid>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of external reviews requested in 2013-14</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of external reviews determined in 2013-14</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upheld in full</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upheld in part</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0</w:t>
            </w:r>
          </w:p>
        </w:tc>
      </w:tr>
      <w:tr w:rsidR="00175D45" w:rsidRPr="004E453D" w:rsidTr="00BF3DB7">
        <w:trPr>
          <w:trHeight w:val="300"/>
        </w:trPr>
        <w:tc>
          <w:tcPr>
            <w:tcW w:w="7935" w:type="dxa"/>
            <w:vAlign w:val="center"/>
          </w:tcPr>
          <w:p w:rsidR="00175D45" w:rsidRPr="004E453D" w:rsidRDefault="00175D45" w:rsidP="00BF3DB7">
            <w:pPr>
              <w:spacing w:before="60" w:after="60" w:line="240" w:lineRule="auto"/>
              <w:rPr>
                <w:sz w:val="20"/>
                <w:szCs w:val="20"/>
              </w:rPr>
            </w:pPr>
            <w:r w:rsidRPr="004E453D">
              <w:rPr>
                <w:sz w:val="20"/>
                <w:szCs w:val="20"/>
              </w:rPr>
              <w:t>Number where the original decision was reversed in full</w:t>
            </w:r>
          </w:p>
        </w:tc>
        <w:tc>
          <w:tcPr>
            <w:tcW w:w="1760" w:type="dxa"/>
            <w:vAlign w:val="center"/>
          </w:tcPr>
          <w:p w:rsidR="00175D45" w:rsidRPr="004E453D" w:rsidRDefault="00175D45" w:rsidP="00BF3DB7">
            <w:pPr>
              <w:spacing w:before="60" w:after="60" w:line="240" w:lineRule="auto"/>
              <w:jc w:val="right"/>
              <w:rPr>
                <w:sz w:val="20"/>
                <w:szCs w:val="20"/>
              </w:rPr>
            </w:pPr>
            <w:r w:rsidRPr="004E453D">
              <w:rPr>
                <w:sz w:val="20"/>
                <w:szCs w:val="20"/>
              </w:rPr>
              <w:t>1</w:t>
            </w:r>
          </w:p>
        </w:tc>
      </w:tr>
      <w:tr w:rsidR="00175D45" w:rsidRPr="00691A47" w:rsidTr="00BF3DB7">
        <w:tc>
          <w:tcPr>
            <w:tcW w:w="9695" w:type="dxa"/>
            <w:gridSpan w:val="2"/>
            <w:vAlign w:val="center"/>
          </w:tcPr>
          <w:p w:rsidR="00175D45" w:rsidRPr="00175D45" w:rsidRDefault="00175D45" w:rsidP="00D75742">
            <w:pPr>
              <w:spacing w:before="120" w:after="120" w:line="240" w:lineRule="auto"/>
              <w:rPr>
                <w:sz w:val="18"/>
                <w:szCs w:val="18"/>
              </w:rPr>
            </w:pPr>
            <w:r w:rsidRPr="00175D45">
              <w:rPr>
                <w:sz w:val="18"/>
                <w:szCs w:val="18"/>
              </w:rPr>
              <w:t>Note</w:t>
            </w:r>
            <w:r>
              <w:rPr>
                <w:sz w:val="18"/>
                <w:szCs w:val="18"/>
              </w:rPr>
              <w:t>:</w:t>
            </w:r>
            <w:r w:rsidRPr="00175D45">
              <w:rPr>
                <w:sz w:val="18"/>
                <w:szCs w:val="18"/>
              </w:rPr>
              <w:t xml:space="preserve"> separate statistics for RTI applications for the </w:t>
            </w:r>
            <w:r w:rsidR="00D75742">
              <w:rPr>
                <w:sz w:val="18"/>
                <w:szCs w:val="18"/>
              </w:rPr>
              <w:t>THOs</w:t>
            </w:r>
            <w:r w:rsidRPr="00175D45">
              <w:rPr>
                <w:sz w:val="18"/>
                <w:szCs w:val="18"/>
              </w:rPr>
              <w:t xml:space="preserve"> have been included in their Annual Reports.</w:t>
            </w:r>
          </w:p>
        </w:tc>
      </w:tr>
    </w:tbl>
    <w:p w:rsidR="00854935" w:rsidRPr="001B05C8" w:rsidRDefault="00854935" w:rsidP="00854935">
      <w:pPr>
        <w:spacing w:before="120" w:after="120" w:line="240" w:lineRule="auto"/>
        <w:rPr>
          <w:sz w:val="20"/>
          <w:szCs w:val="20"/>
        </w:rPr>
        <w:sectPr w:rsidR="00854935" w:rsidRPr="001B05C8" w:rsidSect="00175D45">
          <w:type w:val="continuous"/>
          <w:pgSz w:w="11906" w:h="16838"/>
          <w:pgMar w:top="967" w:right="1134" w:bottom="720" w:left="1134" w:header="709" w:footer="709" w:gutter="0"/>
          <w:cols w:space="708"/>
          <w:docGrid w:linePitch="360"/>
        </w:sectPr>
      </w:pPr>
    </w:p>
    <w:p w:rsidR="00C064B1" w:rsidRPr="009F322B" w:rsidRDefault="00C064B1" w:rsidP="009F322B">
      <w:pPr>
        <w:pStyle w:val="Heading1"/>
      </w:pPr>
      <w:bookmarkStart w:id="80" w:name="_Toc430351459"/>
      <w:r w:rsidRPr="009F322B">
        <w:lastRenderedPageBreak/>
        <w:t>Legislation</w:t>
      </w:r>
      <w:bookmarkEnd w:id="80"/>
    </w:p>
    <w:p w:rsidR="00C064B1" w:rsidRPr="001B05C8" w:rsidRDefault="00C064B1" w:rsidP="00C064B1">
      <w:pPr>
        <w:sectPr w:rsidR="00C064B1" w:rsidRPr="001B05C8" w:rsidSect="00CB41D0">
          <w:pgSz w:w="11906" w:h="16838"/>
          <w:pgMar w:top="967" w:right="1134" w:bottom="720" w:left="1134" w:header="709" w:footer="709" w:gutter="0"/>
          <w:cols w:space="708"/>
          <w:docGrid w:linePitch="360"/>
        </w:sectPr>
      </w:pPr>
    </w:p>
    <w:p w:rsidR="00C064B1" w:rsidRPr="001B05C8" w:rsidRDefault="00C064B1" w:rsidP="00CE0B2D">
      <w:r w:rsidRPr="001B05C8">
        <w:lastRenderedPageBreak/>
        <w:t xml:space="preserve">The </w:t>
      </w:r>
      <w:r w:rsidR="00D75742">
        <w:t>DHHS</w:t>
      </w:r>
      <w:r w:rsidRPr="001B05C8">
        <w:t xml:space="preserve"> administers a wide range of legislation as detailed in the </w:t>
      </w:r>
      <w:r w:rsidRPr="001B05C8">
        <w:rPr>
          <w:i/>
        </w:rPr>
        <w:t>Administrative Arrangements Order 2015</w:t>
      </w:r>
      <w:r w:rsidRPr="001B05C8">
        <w:t xml:space="preserve">, made under the </w:t>
      </w:r>
      <w:r w:rsidRPr="001B05C8">
        <w:rPr>
          <w:i/>
        </w:rPr>
        <w:t>Administrative Arrangements Act 1990</w:t>
      </w:r>
      <w:r w:rsidRPr="001B05C8">
        <w:t>.</w:t>
      </w:r>
    </w:p>
    <w:p w:rsidR="009F322B" w:rsidRDefault="00C064B1" w:rsidP="00CE0B2D">
      <w:r w:rsidRPr="001B05C8">
        <w:t xml:space="preserve">An Administrative Arrangements Order assigns portfolio responsibility for enactments to Ministers. The Order also assigns responsibility for administration of enactments to particular Departments. </w:t>
      </w:r>
    </w:p>
    <w:p w:rsidR="00C064B1" w:rsidRPr="001B05C8" w:rsidRDefault="00C064B1" w:rsidP="00CE0B2D">
      <w:r w:rsidRPr="001B05C8">
        <w:lastRenderedPageBreak/>
        <w:t>As at 30 June 2015, the Department administered 27 Acts and associated subordinate legislation for the Minister for Health, and 11 Acts and associated subordinate legisla</w:t>
      </w:r>
      <w:r w:rsidR="000F1905">
        <w:t>tion for the Minister for Human </w:t>
      </w:r>
      <w:r w:rsidRPr="001B05C8">
        <w:t xml:space="preserve">Services. </w:t>
      </w:r>
    </w:p>
    <w:p w:rsidR="009F322B" w:rsidRDefault="009F322B" w:rsidP="00C064B1"/>
    <w:p w:rsidR="009F322B" w:rsidRPr="001B05C8" w:rsidRDefault="009F322B" w:rsidP="00C064B1"/>
    <w:p w:rsidR="00C064B1" w:rsidRPr="001B05C8" w:rsidRDefault="00C064B1" w:rsidP="00C064B1">
      <w:pPr>
        <w:sectPr w:rsidR="00C064B1" w:rsidRPr="001B05C8" w:rsidSect="00CB41D0">
          <w:type w:val="continuous"/>
          <w:pgSz w:w="11906" w:h="16838"/>
          <w:pgMar w:top="967" w:right="1134" w:bottom="720" w:left="1134" w:header="709" w:footer="709" w:gutter="0"/>
          <w:cols w:num="2" w:space="708"/>
          <w:docGrid w:linePitch="360"/>
        </w:sectPr>
      </w:pPr>
    </w:p>
    <w:tbl>
      <w:tblPr>
        <w:tblW w:w="0" w:type="auto"/>
        <w:tblBorders>
          <w:top w:val="single" w:sz="4" w:space="0" w:color="808080"/>
          <w:bottom w:val="single" w:sz="4" w:space="0" w:color="808080"/>
          <w:insideH w:val="single" w:sz="4" w:space="0" w:color="808080"/>
          <w:insideV w:val="single" w:sz="4" w:space="0" w:color="A6A6A6"/>
        </w:tblBorders>
        <w:tblLook w:val="0000" w:firstRow="0" w:lastRow="0" w:firstColumn="0" w:lastColumn="0" w:noHBand="0" w:noVBand="0"/>
      </w:tblPr>
      <w:tblGrid>
        <w:gridCol w:w="9747"/>
      </w:tblGrid>
      <w:tr w:rsidR="00C064B1" w:rsidRPr="001B05C8" w:rsidTr="009F322B">
        <w:tc>
          <w:tcPr>
            <w:tcW w:w="9747" w:type="dxa"/>
            <w:tcBorders>
              <w:top w:val="nil"/>
              <w:bottom w:val="single" w:sz="4" w:space="0" w:color="808080"/>
            </w:tcBorders>
            <w:shd w:val="clear" w:color="auto" w:fill="FFFFFF"/>
            <w:vAlign w:val="center"/>
          </w:tcPr>
          <w:p w:rsidR="00C064B1" w:rsidRPr="009F322B" w:rsidRDefault="00C064B1" w:rsidP="009F322B">
            <w:pPr>
              <w:pStyle w:val="Heading4"/>
            </w:pPr>
            <w:r w:rsidRPr="001B05C8">
              <w:rPr>
                <w:b w:val="0"/>
                <w:bCs w:val="0"/>
              </w:rPr>
              <w:lastRenderedPageBreak/>
              <w:br w:type="page"/>
            </w:r>
            <w:r w:rsidRPr="001B05C8">
              <w:br w:type="page"/>
            </w:r>
            <w:r w:rsidRPr="009F322B">
              <w:t>Minister for Health</w:t>
            </w:r>
          </w:p>
        </w:tc>
      </w:tr>
      <w:tr w:rsidR="00C064B1" w:rsidRPr="001B05C8" w:rsidTr="009F322B">
        <w:tc>
          <w:tcPr>
            <w:tcW w:w="9747" w:type="dxa"/>
            <w:tcBorders>
              <w:top w:val="single" w:sz="4" w:space="0" w:color="808080"/>
            </w:tcBorders>
            <w:vAlign w:val="center"/>
          </w:tcPr>
          <w:p w:rsidR="00C064B1" w:rsidRPr="001B05C8" w:rsidRDefault="00C064B1" w:rsidP="00CE0B2D">
            <w:pPr>
              <w:pStyle w:val="Table-AnnualReport"/>
              <w:rPr>
                <w:i/>
              </w:rPr>
            </w:pPr>
            <w:r w:rsidRPr="001B05C8">
              <w:rPr>
                <w:i/>
              </w:rPr>
              <w:t>Alcohol and Drug Dependency Act 1968</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Ambulance Service Act 1982</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Anatomical Examinations Act 2006</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Blood Transfusion (Limitation of Liability) Act 1986</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Fluoridation Act 1968</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Food Act 2003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Health Act 1997</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Health Practitioner Regulation National Law (Tasmania) Act 2010</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Health Professionals (Special Events Exemption) Act 1998</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Health Service Establishments Act 2006</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HIV/AIDS Preventive Measures Act 1993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Human Cloning for Reproduction and Other Prohibited Practices Act 2003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Human Embryonic Research Regulation Act 2003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Human Tissue Act 1985</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 xml:space="preserve">Mental Health Act 2013 - </w:t>
            </w:r>
            <w:r w:rsidRPr="009F322B">
              <w:t xml:space="preserve">except Parts 2 and 3 of Chapter 3, and Schedules 3, 4 and 5 </w:t>
            </w:r>
            <w:r w:rsidR="009F322B">
              <w:t>(</w:t>
            </w:r>
            <w:r w:rsidRPr="009F322B">
              <w:t>which are administered by the Department of Justice</w:t>
            </w:r>
            <w:r w:rsidR="009F322B">
              <w:t xml:space="preserve"> under the Minister for Justice)</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Mental Health (Transitional and Consequential Provisions) Act 2013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National Health Funding Administration Act 2012</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Obstetric and Paediatric Mortality and Morbidity Act 1994</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Optometry Offences Act 2010</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Pharmacy Control Act 2001</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 xml:space="preserve">Poisons Act 1971 </w:t>
            </w:r>
            <w:r w:rsidR="009F322B">
              <w:t xml:space="preserve">- </w:t>
            </w:r>
            <w:r w:rsidRPr="009F322B">
              <w:t>except in so far as it relates to the Poppy Advisory and Control Board (see the Department of Justice</w:t>
            </w:r>
            <w:r w:rsidR="009F322B" w:rsidRPr="009F322B">
              <w:t xml:space="preserve"> under the Minister for Justice</w:t>
            </w:r>
            <w:r w:rsidR="009F322B">
              <w:t>)</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Public Health Act 1997</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Radiation Protection Act 2005</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Reproductive Health (Access to Terminations) Act 2013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Royal Derwent Hospital (Sale of Land) Act 1995</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lastRenderedPageBreak/>
              <w:t>Tasmanian Health Organisations Act 2011</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Therapeutic Goods Act 2001</w:t>
            </w:r>
          </w:p>
        </w:tc>
      </w:tr>
      <w:tr w:rsidR="00C064B1" w:rsidRPr="001B05C8" w:rsidTr="009F322B">
        <w:tc>
          <w:tcPr>
            <w:tcW w:w="9747" w:type="dxa"/>
            <w:tcBorders>
              <w:top w:val="nil"/>
              <w:bottom w:val="single" w:sz="4" w:space="0" w:color="808080"/>
            </w:tcBorders>
            <w:shd w:val="clear" w:color="auto" w:fill="FFFFFF"/>
            <w:vAlign w:val="center"/>
          </w:tcPr>
          <w:p w:rsidR="00C064B1" w:rsidRPr="009F322B" w:rsidRDefault="009F322B" w:rsidP="009F322B">
            <w:pPr>
              <w:pStyle w:val="Heading4"/>
            </w:pPr>
            <w:r>
              <w:t>Minister for Human Services</w:t>
            </w:r>
          </w:p>
        </w:tc>
      </w:tr>
      <w:tr w:rsidR="00C064B1" w:rsidRPr="001B05C8" w:rsidTr="009F322B">
        <w:tc>
          <w:tcPr>
            <w:tcW w:w="9747" w:type="dxa"/>
            <w:tcBorders>
              <w:top w:val="single" w:sz="4" w:space="0" w:color="808080"/>
            </w:tcBorders>
            <w:vAlign w:val="center"/>
          </w:tcPr>
          <w:p w:rsidR="00C064B1" w:rsidRPr="001B05C8" w:rsidRDefault="00C064B1" w:rsidP="00CE0B2D">
            <w:pPr>
              <w:pStyle w:val="Table-AnnualReport"/>
              <w:rPr>
                <w:i/>
              </w:rPr>
            </w:pPr>
            <w:r w:rsidRPr="001B05C8">
              <w:rPr>
                <w:i/>
              </w:rPr>
              <w:t>Adoption Act 1988</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Child Protection (International Measures) Act 2003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Children, Young Persons and Their Families Act 1997</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Children, Young Persons and Their Families (Transitional and Savings Provisions) Act 1998</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Community Housing Providers National Law (Tasmania) Act 2013</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Disability Services Act 2011</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 xml:space="preserve">Fire Damage Relief Act 1967 </w:t>
            </w:r>
            <w:r w:rsidRPr="001B05C8">
              <w:t xml:space="preserve">- in so far as it relates to the erection of dwellings for renting to eligible persons under the </w:t>
            </w:r>
            <w:hyperlink r:id="rId23" w:tgtFrame="_parent" w:history="1">
              <w:r w:rsidR="009F322B">
                <w:rPr>
                  <w:i/>
                </w:rPr>
                <w:t>Homes Act </w:t>
              </w:r>
              <w:r w:rsidRPr="009F322B">
                <w:rPr>
                  <w:i/>
                </w:rPr>
                <w:t>1935</w:t>
              </w:r>
            </w:hyperlink>
            <w:r w:rsidRPr="001B05C8">
              <w:t xml:space="preserve"> (otherwise see Department of Economic Development, Tourism and the Arts under the Minister for Economic Development)</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Guide Dogs and Hearing Dogs Act 1967</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 xml:space="preserve">Homes Act 1935 - </w:t>
            </w:r>
            <w:r w:rsidRPr="001B05C8">
              <w:t>except in so far as it relates to the lending of funds for home ownership (see Department of Treasury and Finance under the Treasurer)</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Pensioners (Heating Allowances) Act 1971</w:t>
            </w:r>
          </w:p>
        </w:tc>
      </w:tr>
      <w:tr w:rsidR="00C064B1" w:rsidRPr="001B05C8" w:rsidTr="009F322B">
        <w:tc>
          <w:tcPr>
            <w:tcW w:w="9747" w:type="dxa"/>
            <w:vAlign w:val="center"/>
          </w:tcPr>
          <w:p w:rsidR="00C064B1" w:rsidRPr="001B05C8" w:rsidRDefault="00C064B1" w:rsidP="00CE0B2D">
            <w:pPr>
              <w:pStyle w:val="Table-AnnualReport"/>
              <w:rPr>
                <w:i/>
              </w:rPr>
            </w:pPr>
            <w:r w:rsidRPr="001B05C8">
              <w:rPr>
                <w:i/>
              </w:rPr>
              <w:t>Youth Justice Act 1997</w:t>
            </w:r>
          </w:p>
        </w:tc>
      </w:tr>
    </w:tbl>
    <w:p w:rsidR="00B17900" w:rsidRPr="001B05C8" w:rsidRDefault="00B17900">
      <w:pPr>
        <w:tabs>
          <w:tab w:val="clear" w:pos="567"/>
        </w:tabs>
        <w:spacing w:after="200" w:line="276" w:lineRule="auto"/>
      </w:pPr>
    </w:p>
    <w:p w:rsidR="00B17900" w:rsidRPr="001B05C8" w:rsidRDefault="00B17900">
      <w:pPr>
        <w:tabs>
          <w:tab w:val="clear" w:pos="567"/>
        </w:tabs>
        <w:spacing w:after="200" w:line="276" w:lineRule="auto"/>
      </w:pPr>
    </w:p>
    <w:p w:rsidR="00B17900" w:rsidRPr="001B05C8" w:rsidRDefault="00B17900">
      <w:pPr>
        <w:tabs>
          <w:tab w:val="clear" w:pos="567"/>
        </w:tabs>
        <w:spacing w:after="200" w:line="276" w:lineRule="auto"/>
        <w:sectPr w:rsidR="00B17900" w:rsidRPr="001B05C8" w:rsidSect="00CB41D0">
          <w:type w:val="continuous"/>
          <w:pgSz w:w="11906" w:h="16838"/>
          <w:pgMar w:top="967" w:right="1134" w:bottom="720" w:left="1134" w:header="709" w:footer="709" w:gutter="0"/>
          <w:cols w:space="708"/>
          <w:docGrid w:linePitch="360"/>
        </w:sectPr>
      </w:pPr>
    </w:p>
    <w:p w:rsidR="00C064B1" w:rsidRPr="001B05C8" w:rsidRDefault="00C064B1" w:rsidP="009F322B">
      <w:pPr>
        <w:pStyle w:val="Heading2"/>
      </w:pPr>
      <w:r w:rsidRPr="001B05C8">
        <w:lastRenderedPageBreak/>
        <w:t>Bills Tabled in 2014-15</w:t>
      </w:r>
    </w:p>
    <w:p w:rsidR="00C064B1" w:rsidRPr="001B05C8" w:rsidRDefault="00C064B1" w:rsidP="009F322B">
      <w:pPr>
        <w:widowControl w:val="0"/>
        <w:tabs>
          <w:tab w:val="clear" w:pos="567"/>
        </w:tabs>
        <w:ind w:right="95"/>
        <w:rPr>
          <w:i/>
        </w:rPr>
      </w:pPr>
      <w:r w:rsidRPr="001B05C8">
        <w:t>During 2014-15 the following Bills were tabled in Parliament:</w:t>
      </w:r>
      <w:r w:rsidRPr="001B05C8">
        <w:rPr>
          <w:i/>
        </w:rPr>
        <w:t xml:space="preserve"> </w:t>
      </w:r>
      <w:r w:rsidR="0027276B" w:rsidRPr="001B05C8">
        <w:rPr>
          <w:i/>
        </w:rPr>
        <w:t>Public </w:t>
      </w:r>
      <w:r w:rsidRPr="001B05C8">
        <w:rPr>
          <w:i/>
        </w:rPr>
        <w:t>Health</w:t>
      </w:r>
      <w:r w:rsidR="0027276B" w:rsidRPr="001B05C8">
        <w:rPr>
          <w:i/>
        </w:rPr>
        <w:t> </w:t>
      </w:r>
      <w:r w:rsidRPr="001B05C8">
        <w:rPr>
          <w:i/>
        </w:rPr>
        <w:t>(Miscellaneous Amendments) Bill 2015</w:t>
      </w:r>
      <w:r w:rsidR="000F1905">
        <w:rPr>
          <w:i/>
        </w:rPr>
        <w:t>.</w:t>
      </w:r>
    </w:p>
    <w:p w:rsidR="00C064B1" w:rsidRPr="001B05C8" w:rsidRDefault="00C064B1" w:rsidP="0027276B">
      <w:pPr>
        <w:pStyle w:val="Heading2"/>
      </w:pPr>
      <w:r w:rsidRPr="001B05C8">
        <w:t>Key changes to legislation commencing in 2014-15</w:t>
      </w:r>
    </w:p>
    <w:p w:rsidR="0027276B" w:rsidRPr="001B05C8" w:rsidRDefault="0027276B" w:rsidP="00C064B1">
      <w:pPr>
        <w:widowControl w:val="0"/>
        <w:tabs>
          <w:tab w:val="clear" w:pos="567"/>
        </w:tabs>
        <w:rPr>
          <w:lang w:eastAsia="en-AU"/>
        </w:rPr>
        <w:sectPr w:rsidR="0027276B" w:rsidRPr="001B05C8" w:rsidSect="00CB41D0">
          <w:pgSz w:w="11906" w:h="16838"/>
          <w:pgMar w:top="1440" w:right="1440" w:bottom="1440" w:left="1440" w:header="708" w:footer="708" w:gutter="0"/>
          <w:cols w:space="708"/>
          <w:docGrid w:linePitch="360"/>
        </w:sectPr>
      </w:pPr>
    </w:p>
    <w:p w:rsidR="00C064B1" w:rsidRPr="001B05C8" w:rsidRDefault="00C064B1" w:rsidP="0027276B">
      <w:pPr>
        <w:rPr>
          <w:lang w:eastAsia="en-AU"/>
        </w:rPr>
      </w:pPr>
      <w:r w:rsidRPr="001B05C8">
        <w:rPr>
          <w:lang w:eastAsia="en-AU"/>
        </w:rPr>
        <w:lastRenderedPageBreak/>
        <w:t xml:space="preserve">The </w:t>
      </w:r>
      <w:r w:rsidRPr="001B05C8">
        <w:rPr>
          <w:i/>
          <w:lang w:eastAsia="en-AU"/>
        </w:rPr>
        <w:t>Ambulance Service Amendment Act 2013</w:t>
      </w:r>
      <w:r w:rsidRPr="001B05C8">
        <w:rPr>
          <w:lang w:eastAsia="en-AU"/>
        </w:rPr>
        <w:t xml:space="preserve"> amended the </w:t>
      </w:r>
      <w:r w:rsidRPr="001B05C8">
        <w:rPr>
          <w:i/>
          <w:lang w:eastAsia="en-AU"/>
        </w:rPr>
        <w:t xml:space="preserve">Ambulance Service Act 1982 </w:t>
      </w:r>
      <w:r w:rsidRPr="001B05C8">
        <w:rPr>
          <w:lang w:eastAsia="en-AU"/>
        </w:rPr>
        <w:t>and commenced on 1 July 2014</w:t>
      </w:r>
      <w:r w:rsidRPr="001B05C8">
        <w:rPr>
          <w:i/>
          <w:lang w:eastAsia="en-AU"/>
        </w:rPr>
        <w:t xml:space="preserve">.  </w:t>
      </w:r>
      <w:r w:rsidRPr="001B05C8">
        <w:rPr>
          <w:lang w:eastAsia="en-AU"/>
        </w:rPr>
        <w:t>The amendments include improved provisions to reflect contemporary ambulance practice and provide a comprehensive licensing regime for existing and potential commercial providers of non</w:t>
      </w:r>
      <w:r w:rsidRPr="001B05C8">
        <w:rPr>
          <w:lang w:eastAsia="en-AU"/>
        </w:rPr>
        <w:noBreakHyphen/>
        <w:t>emergency patient transport. Regulations are currently being prepared to support the Act’s revised provisions for non-emergency patient transport.</w:t>
      </w:r>
    </w:p>
    <w:p w:rsidR="00C064B1" w:rsidRPr="001B05C8" w:rsidRDefault="00C064B1" w:rsidP="0027276B">
      <w:r w:rsidRPr="001B05C8">
        <w:rPr>
          <w:lang w:eastAsia="en-AU"/>
        </w:rPr>
        <w:t xml:space="preserve">The </w:t>
      </w:r>
      <w:r w:rsidRPr="001B05C8">
        <w:rPr>
          <w:i/>
          <w:lang w:eastAsia="en-AU"/>
        </w:rPr>
        <w:t>Children, Young Persons and Their Families Amendment Bill 2013</w:t>
      </w:r>
      <w:r w:rsidRPr="001B05C8">
        <w:rPr>
          <w:lang w:eastAsia="en-AU"/>
        </w:rPr>
        <w:t xml:space="preserve"> amended</w:t>
      </w:r>
      <w:r w:rsidR="009F322B">
        <w:rPr>
          <w:lang w:eastAsia="en-AU"/>
        </w:rPr>
        <w:t xml:space="preserve"> the</w:t>
      </w:r>
      <w:r w:rsidRPr="001B05C8">
        <w:rPr>
          <w:lang w:eastAsia="en-AU"/>
        </w:rPr>
        <w:t xml:space="preserve"> </w:t>
      </w:r>
      <w:r w:rsidRPr="001B05C8">
        <w:rPr>
          <w:i/>
          <w:lang w:eastAsia="en-AU"/>
        </w:rPr>
        <w:t>Children, Young Persons and Their Families Act 1997</w:t>
      </w:r>
      <w:r w:rsidRPr="001B05C8">
        <w:rPr>
          <w:lang w:eastAsia="en-AU"/>
        </w:rPr>
        <w:t xml:space="preserve"> and received Royal Assent on 13 December 2013. Minor amendments from that </w:t>
      </w:r>
      <w:r w:rsidR="007776D6">
        <w:rPr>
          <w:lang w:eastAsia="en-AU"/>
        </w:rPr>
        <w:t xml:space="preserve">Act </w:t>
      </w:r>
      <w:r w:rsidRPr="001B05C8">
        <w:rPr>
          <w:lang w:eastAsia="en-AU"/>
        </w:rPr>
        <w:t xml:space="preserve">were proclaimed, including </w:t>
      </w:r>
      <w:r w:rsidRPr="001B05C8">
        <w:t xml:space="preserve">allowing the appointment of the Commissioner for Children to be for up to </w:t>
      </w:r>
      <w:r w:rsidR="007776D6">
        <w:t>five</w:t>
      </w:r>
      <w:r w:rsidRPr="001B05C8">
        <w:t xml:space="preserve"> years. The remainder of the provisions are subject to implementation planning. </w:t>
      </w:r>
    </w:p>
    <w:p w:rsidR="00EA4CFA" w:rsidRDefault="00C064B1" w:rsidP="0027276B">
      <w:pPr>
        <w:rPr>
          <w:lang w:eastAsia="en-AU"/>
        </w:rPr>
      </w:pPr>
      <w:r w:rsidRPr="001B05C8">
        <w:rPr>
          <w:lang w:eastAsia="en-AU"/>
        </w:rPr>
        <w:t>The</w:t>
      </w:r>
      <w:r w:rsidRPr="001B05C8">
        <w:rPr>
          <w:i/>
          <w:lang w:eastAsia="en-AU"/>
        </w:rPr>
        <w:t xml:space="preserve"> Registration to Work with Vulnerable People Act 2013 </w:t>
      </w:r>
      <w:r w:rsidRPr="001B05C8">
        <w:rPr>
          <w:lang w:eastAsia="en-AU"/>
        </w:rPr>
        <w:t xml:space="preserve">commenced on 1 July 2014. </w:t>
      </w:r>
    </w:p>
    <w:p w:rsidR="00EA4CFA" w:rsidRDefault="00EA4CFA" w:rsidP="0027276B">
      <w:pPr>
        <w:rPr>
          <w:lang w:eastAsia="en-AU"/>
        </w:rPr>
      </w:pPr>
    </w:p>
    <w:p w:rsidR="00EA4CFA" w:rsidRDefault="00EA4CFA" w:rsidP="0027276B">
      <w:pPr>
        <w:rPr>
          <w:lang w:eastAsia="en-AU"/>
        </w:rPr>
      </w:pPr>
    </w:p>
    <w:p w:rsidR="00C064B1" w:rsidRPr="001B05C8" w:rsidRDefault="00C064B1" w:rsidP="0027276B">
      <w:pPr>
        <w:rPr>
          <w:lang w:eastAsia="en-AU"/>
        </w:rPr>
      </w:pPr>
      <w:r w:rsidRPr="001B05C8">
        <w:rPr>
          <w:lang w:eastAsia="en-AU"/>
        </w:rPr>
        <w:lastRenderedPageBreak/>
        <w:t xml:space="preserve">The Act creates a framework to enable the building of a regulatory scheme that is the primary law in Tasmania which provides for background checking as part of a risk assessment of people working with, or wanting to work with, children or vulnerable adults in Tasmania. The Act was introduced by the Minister for Human Services, and is now administered by the Department of Justice. </w:t>
      </w:r>
    </w:p>
    <w:p w:rsidR="00C064B1" w:rsidRDefault="00C064B1" w:rsidP="0027276B">
      <w:pPr>
        <w:rPr>
          <w:lang w:eastAsia="en-AU"/>
        </w:rPr>
      </w:pPr>
      <w:r w:rsidRPr="001B05C8">
        <w:rPr>
          <w:lang w:eastAsia="en-AU"/>
        </w:rPr>
        <w:t xml:space="preserve">Section 18 of the </w:t>
      </w:r>
      <w:r w:rsidRPr="001B05C8">
        <w:rPr>
          <w:i/>
          <w:lang w:eastAsia="en-AU"/>
        </w:rPr>
        <w:t>Youth Justice (Miscellaneous Amendments) Act 2013</w:t>
      </w:r>
      <w:r w:rsidR="009F322B">
        <w:rPr>
          <w:lang w:eastAsia="en-AU"/>
        </w:rPr>
        <w:t xml:space="preserve"> commenced on 1 </w:t>
      </w:r>
      <w:r w:rsidRPr="001B05C8">
        <w:rPr>
          <w:lang w:eastAsia="en-AU"/>
        </w:rPr>
        <w:t xml:space="preserve">September 2014. It provides for duties of police officers where a youth is arrested, for conditions of </w:t>
      </w:r>
      <w:r w:rsidR="009F322B">
        <w:rPr>
          <w:lang w:eastAsia="en-AU"/>
        </w:rPr>
        <w:t>b</w:t>
      </w:r>
      <w:r w:rsidRPr="001B05C8">
        <w:rPr>
          <w:lang w:eastAsia="en-AU"/>
        </w:rPr>
        <w:t xml:space="preserve">ail, and for amendments that provide breach of most </w:t>
      </w:r>
      <w:r w:rsidR="009F322B">
        <w:rPr>
          <w:lang w:eastAsia="en-AU"/>
        </w:rPr>
        <w:t>b</w:t>
      </w:r>
      <w:r w:rsidRPr="001B05C8">
        <w:rPr>
          <w:lang w:eastAsia="en-AU"/>
        </w:rPr>
        <w:t>ail conditions is not a separate offence but can be taken into account in sentencing.</w:t>
      </w:r>
    </w:p>
    <w:p w:rsidR="00976354" w:rsidRPr="00F072EB" w:rsidRDefault="00976354" w:rsidP="00976354">
      <w:pPr>
        <w:pStyle w:val="BulletedListLevel1"/>
        <w:keepLines/>
        <w:numPr>
          <w:ilvl w:val="0"/>
          <w:numId w:val="0"/>
        </w:numPr>
        <w:rPr>
          <w:rFonts w:ascii="GillSans Light" w:hAnsi="GillSans Light"/>
        </w:rPr>
      </w:pPr>
      <w:r>
        <w:rPr>
          <w:rFonts w:ascii="GillSans Light" w:hAnsi="GillSans Light"/>
        </w:rPr>
        <w:t>Notably, in respect of 2015</w:t>
      </w:r>
      <w:r w:rsidR="00ED559D">
        <w:rPr>
          <w:rFonts w:ascii="GillSans Light" w:hAnsi="GillSans Light"/>
        </w:rPr>
        <w:t>-</w:t>
      </w:r>
      <w:r>
        <w:rPr>
          <w:rFonts w:ascii="GillSans Light" w:hAnsi="GillSans Light"/>
        </w:rPr>
        <w:t>16, t</w:t>
      </w:r>
      <w:r w:rsidRPr="00F072EB">
        <w:rPr>
          <w:rFonts w:ascii="GillSans Light" w:hAnsi="GillSans Light"/>
        </w:rPr>
        <w:t xml:space="preserve">he </w:t>
      </w:r>
      <w:r w:rsidRPr="00F072EB">
        <w:rPr>
          <w:rFonts w:ascii="GillSans Light" w:hAnsi="GillSans Light"/>
          <w:i/>
        </w:rPr>
        <w:t>Public Health (Miscellaneous Amendments) Act 2015</w:t>
      </w:r>
      <w:r w:rsidRPr="00F072EB">
        <w:rPr>
          <w:rFonts w:ascii="GillSans Light" w:hAnsi="GillSans Light"/>
        </w:rPr>
        <w:t xml:space="preserve"> </w:t>
      </w:r>
      <w:r>
        <w:rPr>
          <w:rFonts w:ascii="GillSans Light" w:hAnsi="GillSans Light"/>
        </w:rPr>
        <w:t xml:space="preserve">commenced on 1 July 2015 and </w:t>
      </w:r>
      <w:r w:rsidRPr="00F072EB">
        <w:rPr>
          <w:rFonts w:ascii="GillSans Light" w:hAnsi="GillSans Light"/>
          <w:lang w:eastAsia="en-AU" w:bidi="en-US"/>
        </w:rPr>
        <w:t xml:space="preserve">repealed the </w:t>
      </w:r>
      <w:r w:rsidRPr="00F072EB">
        <w:rPr>
          <w:rFonts w:ascii="GillSans Light" w:hAnsi="GillSans Light"/>
          <w:i/>
          <w:lang w:eastAsia="en-AU" w:bidi="en-US"/>
        </w:rPr>
        <w:t>HIV/AIDS Preventive Measures Act 1993</w:t>
      </w:r>
      <w:r>
        <w:rPr>
          <w:rFonts w:ascii="GillSans Light" w:hAnsi="GillSans Light"/>
          <w:i/>
          <w:lang w:eastAsia="en-AU" w:bidi="en-US"/>
        </w:rPr>
        <w:t>,</w:t>
      </w:r>
      <w:r w:rsidRPr="00F072EB">
        <w:rPr>
          <w:rFonts w:ascii="GillSans Light" w:hAnsi="GillSans Light"/>
          <w:lang w:eastAsia="en-AU" w:bidi="en-US"/>
        </w:rPr>
        <w:t xml:space="preserve"> and </w:t>
      </w:r>
      <w:r w:rsidRPr="00F072EB">
        <w:rPr>
          <w:rFonts w:ascii="GillSans Light" w:hAnsi="GillSans Light"/>
        </w:rPr>
        <w:t xml:space="preserve">strengthened and clarified the scope of the Director of Public Health’s role, functions and powers. </w:t>
      </w:r>
    </w:p>
    <w:p w:rsidR="0027276B" w:rsidRPr="001B05C8" w:rsidRDefault="0027276B" w:rsidP="00B17900">
      <w:pPr>
        <w:pStyle w:val="Heading2"/>
        <w:sectPr w:rsidR="0027276B" w:rsidRPr="001B05C8" w:rsidSect="00CB41D0">
          <w:type w:val="continuous"/>
          <w:pgSz w:w="11906" w:h="16838"/>
          <w:pgMar w:top="1440" w:right="1440" w:bottom="1440" w:left="1440" w:header="708" w:footer="708" w:gutter="0"/>
          <w:cols w:num="2" w:space="708"/>
          <w:docGrid w:linePitch="360"/>
        </w:sectPr>
      </w:pPr>
    </w:p>
    <w:p w:rsidR="00C064B1" w:rsidRPr="001B05C8" w:rsidRDefault="00C064B1" w:rsidP="00B17900">
      <w:pPr>
        <w:pStyle w:val="Heading2"/>
      </w:pPr>
      <w:r w:rsidRPr="001B05C8">
        <w:lastRenderedPageBreak/>
        <w:t>Reviews</w:t>
      </w:r>
    </w:p>
    <w:p w:rsidR="0027276B" w:rsidRPr="001B05C8" w:rsidRDefault="0027276B" w:rsidP="00C064B1">
      <w:pPr>
        <w:pStyle w:val="Responselevel1"/>
        <w:keepLines w:val="0"/>
        <w:numPr>
          <w:ilvl w:val="0"/>
          <w:numId w:val="0"/>
        </w:numPr>
        <w:tabs>
          <w:tab w:val="left" w:pos="720"/>
        </w:tabs>
        <w:spacing w:before="0" w:after="140"/>
        <w:rPr>
          <w:sz w:val="22"/>
          <w:szCs w:val="22"/>
          <w:lang w:eastAsia="en-AU" w:bidi="en-US"/>
        </w:rPr>
        <w:sectPr w:rsidR="0027276B" w:rsidRPr="001B05C8" w:rsidSect="00CB41D0">
          <w:type w:val="continuous"/>
          <w:pgSz w:w="11906" w:h="16838"/>
          <w:pgMar w:top="1440" w:right="1440" w:bottom="1440" w:left="1440" w:header="708" w:footer="708" w:gutter="0"/>
          <w:cols w:space="708"/>
          <w:docGrid w:linePitch="360"/>
        </w:sectPr>
      </w:pPr>
    </w:p>
    <w:p w:rsidR="00ED559D" w:rsidRDefault="00C064B1" w:rsidP="0027276B">
      <w:r w:rsidRPr="001B05C8">
        <w:rPr>
          <w:lang w:eastAsia="en-AU" w:bidi="en-US"/>
        </w:rPr>
        <w:lastRenderedPageBreak/>
        <w:t xml:space="preserve">During the year, the Department continued work on the legislative project that clarifies </w:t>
      </w:r>
      <w:r w:rsidRPr="001B05C8">
        <w:t xml:space="preserve">the powers and functions of the Commissioner for Children. The changes arise from the 15 recommendations made by the Advocacy for Children in Tasmania Committee. </w:t>
      </w:r>
    </w:p>
    <w:p w:rsidR="00C064B1" w:rsidRPr="001B05C8" w:rsidRDefault="00ED559D" w:rsidP="0027276B">
      <w:r>
        <w:br w:type="column"/>
      </w:r>
      <w:r w:rsidR="00C064B1" w:rsidRPr="001B05C8">
        <w:lastRenderedPageBreak/>
        <w:t xml:space="preserve">One of these recommendations is the development of standalone legislation.  The legislation is required as it is considered the role of the Commissioner for Children supports all Tasmanian children and there may be benefits in distancing this position from the statutory services provided through the </w:t>
      </w:r>
      <w:r w:rsidR="00C064B1" w:rsidRPr="001B05C8">
        <w:rPr>
          <w:i/>
          <w:iCs/>
        </w:rPr>
        <w:t>Children, Young Persons and Their Families Act 1997.</w:t>
      </w:r>
      <w:r w:rsidR="00C064B1" w:rsidRPr="001B05C8">
        <w:t xml:space="preserve"> The proposal has been endorsed and the legislation is being drafted.</w:t>
      </w:r>
    </w:p>
    <w:p w:rsidR="00ED559D" w:rsidRDefault="00ED559D">
      <w:pPr>
        <w:tabs>
          <w:tab w:val="clear" w:pos="567"/>
        </w:tabs>
        <w:spacing w:after="200" w:line="276" w:lineRule="auto"/>
      </w:pPr>
      <w:r>
        <w:br w:type="page"/>
      </w:r>
    </w:p>
    <w:p w:rsidR="00C064B1" w:rsidRPr="001B05C8" w:rsidRDefault="00C064B1" w:rsidP="0027276B">
      <w:pPr>
        <w:rPr>
          <w:lang w:eastAsia="en-AU" w:bidi="en-US"/>
        </w:rPr>
      </w:pPr>
      <w:r w:rsidRPr="001B05C8">
        <w:lastRenderedPageBreak/>
        <w:t xml:space="preserve">A proposal to extend single, statewide registration under the </w:t>
      </w:r>
      <w:r w:rsidRPr="001B05C8">
        <w:rPr>
          <w:i/>
          <w:iCs/>
        </w:rPr>
        <w:t>Food Act 2003</w:t>
      </w:r>
      <w:r w:rsidRPr="001B05C8">
        <w:t xml:space="preserve"> </w:t>
      </w:r>
      <w:r w:rsidR="00867278">
        <w:t xml:space="preserve">(the Act) </w:t>
      </w:r>
      <w:r w:rsidRPr="001B05C8">
        <w:t xml:space="preserve">to a greater range of mobile food businesses was endorsed in June 2015, and a Bill is currently being prepared.  Other amendments to the </w:t>
      </w:r>
      <w:r w:rsidR="00867278" w:rsidRPr="00867278">
        <w:rPr>
          <w:iCs/>
        </w:rPr>
        <w:t>Act</w:t>
      </w:r>
      <w:r w:rsidR="00867278">
        <w:rPr>
          <w:i/>
          <w:iCs/>
        </w:rPr>
        <w:t xml:space="preserve"> </w:t>
      </w:r>
      <w:r w:rsidRPr="001B05C8">
        <w:t>were identified and will progress in 2016.</w:t>
      </w:r>
      <w:r w:rsidRPr="001B05C8">
        <w:rPr>
          <w:lang w:eastAsia="en-AU" w:bidi="en-US"/>
        </w:rPr>
        <w:t xml:space="preserve"> </w:t>
      </w:r>
    </w:p>
    <w:p w:rsidR="00C064B1" w:rsidRPr="001B05C8" w:rsidRDefault="00C064B1" w:rsidP="0027276B">
      <w:pPr>
        <w:rPr>
          <w:lang w:eastAsia="en-AU" w:bidi="en-US"/>
        </w:rPr>
      </w:pPr>
      <w:r w:rsidRPr="001B05C8">
        <w:t xml:space="preserve">The </w:t>
      </w:r>
      <w:r w:rsidRPr="001B05C8">
        <w:rPr>
          <w:i/>
        </w:rPr>
        <w:t xml:space="preserve">Pharmacy Control Act 2001 </w:t>
      </w:r>
      <w:r w:rsidRPr="001B05C8">
        <w:t xml:space="preserve">has been reviewed and </w:t>
      </w:r>
      <w:r w:rsidRPr="001B05C8">
        <w:rPr>
          <w:lang w:eastAsia="en-AU" w:bidi="en-US"/>
        </w:rPr>
        <w:t xml:space="preserve">miscellaneous </w:t>
      </w:r>
      <w:r w:rsidRPr="001B05C8">
        <w:t xml:space="preserve">amendments were endorsed, and are now being drafted </w:t>
      </w:r>
      <w:r w:rsidRPr="001B05C8">
        <w:rPr>
          <w:lang w:eastAsia="en-AU" w:bidi="en-US"/>
        </w:rPr>
        <w:t xml:space="preserve">to make a number of ‘housekeeping’ changes.  </w:t>
      </w:r>
    </w:p>
    <w:p w:rsidR="00EA4CFA" w:rsidRDefault="00EA4CFA" w:rsidP="0027276B"/>
    <w:p w:rsidR="00C064B1" w:rsidRPr="001B05C8" w:rsidRDefault="00C064B1" w:rsidP="0027276B">
      <w:r w:rsidRPr="001B05C8">
        <w:lastRenderedPageBreak/>
        <w:t xml:space="preserve">The </w:t>
      </w:r>
      <w:r w:rsidRPr="001B05C8">
        <w:rPr>
          <w:i/>
        </w:rPr>
        <w:t>Poisons Act 1971</w:t>
      </w:r>
      <w:r w:rsidRPr="001B05C8">
        <w:t xml:space="preserve"> has had a minor review regarding the regulatory regime for manufacturing and wholesale chemists. Planned legislative changes will proceed concurrently with the Department of Justice which is proposing to amend the Act in respect of the provisions for poppy industry regulation.</w:t>
      </w:r>
    </w:p>
    <w:p w:rsidR="00947634" w:rsidRPr="001B05C8" w:rsidRDefault="00C064B1" w:rsidP="00947634">
      <w:pPr>
        <w:sectPr w:rsidR="00947634" w:rsidRPr="001B05C8" w:rsidSect="00947634">
          <w:type w:val="continuous"/>
          <w:pgSz w:w="11906" w:h="16838"/>
          <w:pgMar w:top="1440" w:right="1440" w:bottom="1440" w:left="1440" w:header="708" w:footer="708" w:gutter="0"/>
          <w:cols w:num="2" w:space="708"/>
          <w:docGrid w:linePitch="360"/>
        </w:sectPr>
      </w:pPr>
      <w:r w:rsidRPr="001B05C8">
        <w:t>A proposal for youth justice amendments was prepared in respect of issues relating to supervised release orders, the treatment of time in remand as time served under sentence, and access to detention centres. The amendments are now being drafted</w:t>
      </w:r>
      <w:r w:rsidR="00947634" w:rsidRPr="001B05C8">
        <w:t>.</w:t>
      </w:r>
    </w:p>
    <w:p w:rsidR="00C064B1" w:rsidRPr="001B05C8" w:rsidRDefault="00C064B1" w:rsidP="00F70D86">
      <w:pPr>
        <w:pStyle w:val="Heading4"/>
      </w:pPr>
      <w:r w:rsidRPr="001B05C8">
        <w:lastRenderedPageBreak/>
        <w:t>Subordinate Legislation made in 2014-15</w:t>
      </w:r>
    </w:p>
    <w:p w:rsidR="00C064B1" w:rsidRPr="001B05C8" w:rsidRDefault="00C064B1" w:rsidP="0027276B">
      <w:pPr>
        <w:widowControl w:val="0"/>
        <w:numPr>
          <w:ilvl w:val="0"/>
          <w:numId w:val="32"/>
        </w:numPr>
        <w:tabs>
          <w:tab w:val="clear" w:pos="567"/>
        </w:tabs>
        <w:ind w:left="567" w:right="4915" w:hanging="567"/>
        <w:jc w:val="both"/>
        <w:rPr>
          <w:i/>
        </w:rPr>
      </w:pPr>
      <w:r w:rsidRPr="001B05C8">
        <w:rPr>
          <w:i/>
        </w:rPr>
        <w:t>Ambulance</w:t>
      </w:r>
      <w:r w:rsidR="0027276B" w:rsidRPr="001B05C8">
        <w:rPr>
          <w:i/>
        </w:rPr>
        <w:t> Service (Fees) </w:t>
      </w:r>
      <w:r w:rsidRPr="001B05C8">
        <w:rPr>
          <w:i/>
        </w:rPr>
        <w:t>Amendment Regulations 2014</w:t>
      </w:r>
    </w:p>
    <w:p w:rsidR="00C064B1" w:rsidRPr="001B05C8" w:rsidRDefault="0027276B" w:rsidP="0027276B">
      <w:pPr>
        <w:widowControl w:val="0"/>
        <w:numPr>
          <w:ilvl w:val="0"/>
          <w:numId w:val="32"/>
        </w:numPr>
        <w:tabs>
          <w:tab w:val="clear" w:pos="567"/>
        </w:tabs>
        <w:ind w:left="567" w:right="4915" w:hanging="567"/>
        <w:jc w:val="both"/>
        <w:rPr>
          <w:i/>
        </w:rPr>
      </w:pPr>
      <w:r w:rsidRPr="001B05C8">
        <w:rPr>
          <w:i/>
        </w:rPr>
        <w:t>Ambulance </w:t>
      </w:r>
      <w:r w:rsidR="00C064B1" w:rsidRPr="001B05C8">
        <w:rPr>
          <w:i/>
        </w:rPr>
        <w:t>Service</w:t>
      </w:r>
      <w:r w:rsidRPr="001B05C8">
        <w:rPr>
          <w:i/>
        </w:rPr>
        <w:t> </w:t>
      </w:r>
      <w:r w:rsidR="00C064B1" w:rsidRPr="001B05C8">
        <w:rPr>
          <w:i/>
        </w:rPr>
        <w:t>(Paramedic) Amendment Regulations 2015</w:t>
      </w:r>
    </w:p>
    <w:p w:rsidR="00C064B1" w:rsidRPr="001B05C8" w:rsidRDefault="00C064B1" w:rsidP="0027276B">
      <w:pPr>
        <w:widowControl w:val="0"/>
        <w:numPr>
          <w:ilvl w:val="0"/>
          <w:numId w:val="32"/>
        </w:numPr>
        <w:tabs>
          <w:tab w:val="clear" w:pos="567"/>
        </w:tabs>
        <w:ind w:left="567" w:right="4915" w:hanging="567"/>
        <w:jc w:val="both"/>
        <w:rPr>
          <w:i/>
        </w:rPr>
      </w:pPr>
      <w:r w:rsidRPr="001B05C8">
        <w:rPr>
          <w:i/>
        </w:rPr>
        <w:t>Heal</w:t>
      </w:r>
      <w:r w:rsidR="0027276B" w:rsidRPr="001B05C8">
        <w:rPr>
          <w:i/>
        </w:rPr>
        <w:t>th (Fees) Amendment Regulations </w:t>
      </w:r>
      <w:r w:rsidRPr="001B05C8">
        <w:rPr>
          <w:i/>
        </w:rPr>
        <w:t>2014</w:t>
      </w:r>
    </w:p>
    <w:p w:rsidR="00B17900" w:rsidRDefault="0027276B" w:rsidP="00CA3AEA">
      <w:pPr>
        <w:widowControl w:val="0"/>
        <w:numPr>
          <w:ilvl w:val="0"/>
          <w:numId w:val="32"/>
        </w:numPr>
        <w:tabs>
          <w:tab w:val="clear" w:pos="567"/>
        </w:tabs>
        <w:ind w:left="567" w:right="4915" w:hanging="567"/>
        <w:rPr>
          <w:i/>
        </w:rPr>
      </w:pPr>
      <w:r w:rsidRPr="001B05C8">
        <w:rPr>
          <w:i/>
        </w:rPr>
        <w:t>Health </w:t>
      </w:r>
      <w:r w:rsidR="00C064B1" w:rsidRPr="001B05C8">
        <w:rPr>
          <w:i/>
        </w:rPr>
        <w:t>(Fees)</w:t>
      </w:r>
      <w:r w:rsidRPr="001B05C8">
        <w:rPr>
          <w:i/>
        </w:rPr>
        <w:t> Amendment </w:t>
      </w:r>
      <w:r w:rsidR="00C064B1" w:rsidRPr="001B05C8">
        <w:rPr>
          <w:i/>
        </w:rPr>
        <w:t>Regulations (No.2) 2014</w:t>
      </w:r>
    </w:p>
    <w:p w:rsidR="007776D6" w:rsidRDefault="007776D6" w:rsidP="00CA3AEA">
      <w:pPr>
        <w:widowControl w:val="0"/>
        <w:numPr>
          <w:ilvl w:val="0"/>
          <w:numId w:val="32"/>
        </w:numPr>
        <w:tabs>
          <w:tab w:val="clear" w:pos="567"/>
        </w:tabs>
        <w:ind w:left="567" w:right="4915" w:hanging="567"/>
        <w:rPr>
          <w:i/>
        </w:rPr>
      </w:pPr>
      <w:r>
        <w:rPr>
          <w:i/>
        </w:rPr>
        <w:t>Poisons Amendment Regulations 2015</w:t>
      </w:r>
    </w:p>
    <w:p w:rsidR="007776D6" w:rsidRDefault="007776D6" w:rsidP="00CA3AEA">
      <w:pPr>
        <w:widowControl w:val="0"/>
        <w:numPr>
          <w:ilvl w:val="0"/>
          <w:numId w:val="32"/>
        </w:numPr>
        <w:tabs>
          <w:tab w:val="clear" w:pos="567"/>
        </w:tabs>
        <w:ind w:left="567" w:right="4915" w:hanging="567"/>
        <w:rPr>
          <w:i/>
        </w:rPr>
      </w:pPr>
      <w:r w:rsidRPr="0024069A">
        <w:rPr>
          <w:i/>
        </w:rPr>
        <w:t>Poisons Amendment Regulations (No.2) 2014</w:t>
      </w:r>
    </w:p>
    <w:p w:rsidR="007776D6" w:rsidRDefault="007776D6" w:rsidP="00CA3AEA">
      <w:pPr>
        <w:widowControl w:val="0"/>
        <w:numPr>
          <w:ilvl w:val="0"/>
          <w:numId w:val="32"/>
        </w:numPr>
        <w:tabs>
          <w:tab w:val="clear" w:pos="567"/>
        </w:tabs>
        <w:ind w:left="567" w:right="4915" w:hanging="567"/>
        <w:rPr>
          <w:i/>
        </w:rPr>
      </w:pPr>
      <w:r w:rsidRPr="0024069A">
        <w:rPr>
          <w:i/>
        </w:rPr>
        <w:t>Poisons Amendment (Dangerous Substances) Regulations 2014</w:t>
      </w:r>
    </w:p>
    <w:p w:rsidR="007776D6" w:rsidRDefault="007776D6" w:rsidP="00CA3AEA">
      <w:pPr>
        <w:widowControl w:val="0"/>
        <w:numPr>
          <w:ilvl w:val="0"/>
          <w:numId w:val="32"/>
        </w:numPr>
        <w:tabs>
          <w:tab w:val="clear" w:pos="567"/>
        </w:tabs>
        <w:ind w:left="567" w:right="4915" w:hanging="567"/>
        <w:rPr>
          <w:i/>
        </w:rPr>
      </w:pPr>
      <w:r w:rsidRPr="0024069A">
        <w:rPr>
          <w:i/>
        </w:rPr>
        <w:t>Public Health (Tobacco Seller’s Licence) Amendment Regulations 2015</w:t>
      </w:r>
    </w:p>
    <w:p w:rsidR="007776D6" w:rsidRDefault="007776D6" w:rsidP="00CA3AEA">
      <w:pPr>
        <w:widowControl w:val="0"/>
        <w:numPr>
          <w:ilvl w:val="0"/>
          <w:numId w:val="32"/>
        </w:numPr>
        <w:tabs>
          <w:tab w:val="clear" w:pos="567"/>
        </w:tabs>
        <w:ind w:left="567" w:right="4915" w:hanging="567"/>
        <w:rPr>
          <w:i/>
        </w:rPr>
      </w:pPr>
      <w:r w:rsidRPr="0024069A">
        <w:rPr>
          <w:i/>
        </w:rPr>
        <w:t>Radiation Protection Amendment Regulations 2014</w:t>
      </w:r>
    </w:p>
    <w:p w:rsidR="007776D6" w:rsidRPr="007776D6" w:rsidRDefault="007776D6" w:rsidP="00CA3AEA">
      <w:pPr>
        <w:pStyle w:val="ListParagraph"/>
        <w:numPr>
          <w:ilvl w:val="0"/>
          <w:numId w:val="32"/>
        </w:numPr>
        <w:ind w:left="567" w:right="4915" w:hanging="567"/>
        <w:rPr>
          <w:i/>
        </w:rPr>
      </w:pPr>
      <w:r w:rsidRPr="007776D6">
        <w:rPr>
          <w:i/>
        </w:rPr>
        <w:t>Youth Justice Amendment Regulations 2014</w:t>
      </w:r>
      <w:r w:rsidR="004E453D">
        <w:rPr>
          <w:i/>
        </w:rPr>
        <w:t>.</w:t>
      </w:r>
    </w:p>
    <w:p w:rsidR="007776D6" w:rsidRDefault="007776D6" w:rsidP="007776D6">
      <w:pPr>
        <w:widowControl w:val="0"/>
        <w:tabs>
          <w:tab w:val="clear" w:pos="567"/>
        </w:tabs>
        <w:ind w:right="4915"/>
        <w:jc w:val="both"/>
        <w:rPr>
          <w:i/>
        </w:rPr>
      </w:pPr>
    </w:p>
    <w:p w:rsidR="007776D6" w:rsidRDefault="007776D6" w:rsidP="007776D6">
      <w:pPr>
        <w:widowControl w:val="0"/>
        <w:tabs>
          <w:tab w:val="clear" w:pos="567"/>
        </w:tabs>
        <w:ind w:right="4915"/>
        <w:jc w:val="both"/>
        <w:rPr>
          <w:i/>
        </w:rPr>
      </w:pPr>
    </w:p>
    <w:p w:rsidR="007776D6" w:rsidRPr="001B05C8" w:rsidRDefault="007776D6" w:rsidP="007776D6">
      <w:pPr>
        <w:widowControl w:val="0"/>
        <w:tabs>
          <w:tab w:val="clear" w:pos="567"/>
        </w:tabs>
        <w:ind w:right="4915"/>
        <w:jc w:val="both"/>
        <w:rPr>
          <w:i/>
        </w:rPr>
      </w:pPr>
    </w:p>
    <w:p w:rsidR="00B17900" w:rsidRPr="001B05C8" w:rsidRDefault="00B17900" w:rsidP="0027276B">
      <w:pPr>
        <w:ind w:right="4915"/>
        <w:sectPr w:rsidR="00B17900" w:rsidRPr="001B05C8" w:rsidSect="00CB41D0">
          <w:type w:val="continuous"/>
          <w:pgSz w:w="11906" w:h="16838"/>
          <w:pgMar w:top="1440" w:right="1440" w:bottom="1440" w:left="1440" w:header="708" w:footer="708" w:gutter="0"/>
          <w:cols w:space="708"/>
          <w:docGrid w:linePitch="360"/>
        </w:sectPr>
      </w:pPr>
    </w:p>
    <w:p w:rsidR="00912891" w:rsidRPr="00912891" w:rsidRDefault="00912891" w:rsidP="00912891">
      <w:pPr>
        <w:pStyle w:val="Heading1"/>
      </w:pPr>
      <w:bookmarkStart w:id="81" w:name="_Toc430351460"/>
      <w:r w:rsidRPr="00912891">
        <w:lastRenderedPageBreak/>
        <w:t>Other Annual Reports</w:t>
      </w:r>
      <w:bookmarkEnd w:id="81"/>
    </w:p>
    <w:p w:rsidR="00381287" w:rsidRDefault="00381287" w:rsidP="00381287">
      <w:pPr>
        <w:sectPr w:rsidR="00381287" w:rsidSect="00CB41D0">
          <w:pgSz w:w="11906" w:h="16838"/>
          <w:pgMar w:top="1440" w:right="1440" w:bottom="1440" w:left="1440" w:header="708" w:footer="708" w:gutter="0"/>
          <w:cols w:space="708"/>
          <w:docGrid w:linePitch="360"/>
        </w:sectPr>
      </w:pPr>
    </w:p>
    <w:p w:rsidR="00381287" w:rsidRPr="00C14E70" w:rsidRDefault="00381287" w:rsidP="00381287">
      <w:r>
        <w:lastRenderedPageBreak/>
        <w:t>Each year, t</w:t>
      </w:r>
      <w:r w:rsidRPr="00C14E70">
        <w:t xml:space="preserve">he Department of Health and Human Services Annual Report </w:t>
      </w:r>
      <w:r>
        <w:t xml:space="preserve">hosts within </w:t>
      </w:r>
      <w:r w:rsidR="00433A3C">
        <w:t>it</w:t>
      </w:r>
      <w:r>
        <w:t xml:space="preserve"> the </w:t>
      </w:r>
      <w:r w:rsidRPr="00C14E70">
        <w:t>publication of the Annual Reports</w:t>
      </w:r>
      <w:r>
        <w:t xml:space="preserve"> of three other bodies as follows</w:t>
      </w:r>
      <w:r w:rsidR="00433A3C">
        <w:t>.</w:t>
      </w:r>
    </w:p>
    <w:p w:rsidR="00381287" w:rsidRPr="002C0504" w:rsidRDefault="00381287" w:rsidP="00381287">
      <w:r>
        <w:t>An annual report must be prepared u</w:t>
      </w:r>
      <w:r w:rsidRPr="002C0504">
        <w:t xml:space="preserve">nder the </w:t>
      </w:r>
      <w:r w:rsidRPr="00381287">
        <w:rPr>
          <w:i/>
        </w:rPr>
        <w:t>Disability Services Act 2011</w:t>
      </w:r>
      <w:r w:rsidRPr="002C0504">
        <w:t xml:space="preserve"> </w:t>
      </w:r>
      <w:r>
        <w:t xml:space="preserve">each </w:t>
      </w:r>
      <w:r w:rsidRPr="002C0504">
        <w:t xml:space="preserve">financial year </w:t>
      </w:r>
      <w:r>
        <w:t xml:space="preserve">containing </w:t>
      </w:r>
      <w:r w:rsidRPr="002C0504">
        <w:t>a number of planning and reporting provisions.</w:t>
      </w:r>
    </w:p>
    <w:p w:rsidR="00381287" w:rsidRDefault="00381287" w:rsidP="00381287">
      <w:r>
        <w:t>T</w:t>
      </w:r>
      <w:r w:rsidRPr="002C0504">
        <w:t xml:space="preserve">he Council of Obstetric and Paediatric Mortality and Morbidity </w:t>
      </w:r>
      <w:r>
        <w:t xml:space="preserve">(COPMM) prepares an annual report under the </w:t>
      </w:r>
      <w:r w:rsidRPr="00381287">
        <w:rPr>
          <w:i/>
        </w:rPr>
        <w:t>Obstetric and Paediatric Mortality and Morbidity Act 1994</w:t>
      </w:r>
      <w:r>
        <w:rPr>
          <w:i/>
        </w:rPr>
        <w:t xml:space="preserve">. </w:t>
      </w:r>
      <w:r>
        <w:t xml:space="preserve">The report details the </w:t>
      </w:r>
      <w:r w:rsidRPr="002C0504">
        <w:t xml:space="preserve">operations of the Council for the past financial year. </w:t>
      </w:r>
      <w:r>
        <w:t xml:space="preserve"> </w:t>
      </w:r>
    </w:p>
    <w:p w:rsidR="00381287" w:rsidRPr="002C0504" w:rsidRDefault="00381287" w:rsidP="00381287">
      <w:r>
        <w:lastRenderedPageBreak/>
        <w:t xml:space="preserve">COPMM </w:t>
      </w:r>
      <w:r w:rsidRPr="002C0504">
        <w:rPr>
          <w:lang w:eastAsia="en-AU"/>
        </w:rPr>
        <w:t xml:space="preserve">may also prepare a report with </w:t>
      </w:r>
      <w:r w:rsidRPr="002C0504">
        <w:t>information and recommendations arising from the performance of the functions and the exercise of the powers of the Council and any committee, including the Council’s perinatal data collection,</w:t>
      </w:r>
      <w:r w:rsidRPr="002C0504">
        <w:rPr>
          <w:lang w:eastAsia="en-AU"/>
        </w:rPr>
        <w:t xml:space="preserve"> for a </w:t>
      </w:r>
      <w:r>
        <w:rPr>
          <w:lang w:eastAsia="en-AU"/>
        </w:rPr>
        <w:t>1</w:t>
      </w:r>
      <w:r w:rsidRPr="002C0504">
        <w:rPr>
          <w:lang w:eastAsia="en-AU"/>
        </w:rPr>
        <w:t>2</w:t>
      </w:r>
      <w:r>
        <w:rPr>
          <w:lang w:eastAsia="en-AU"/>
        </w:rPr>
        <w:t> month period, however</w:t>
      </w:r>
      <w:r w:rsidRPr="002C0504">
        <w:rPr>
          <w:lang w:eastAsia="en-AU"/>
        </w:rPr>
        <w:t xml:space="preserve"> </w:t>
      </w:r>
      <w:r>
        <w:rPr>
          <w:lang w:eastAsia="en-AU"/>
        </w:rPr>
        <w:t>t</w:t>
      </w:r>
      <w:r w:rsidRPr="002C0504">
        <w:rPr>
          <w:lang w:eastAsia="en-AU"/>
        </w:rPr>
        <w:t>his report is tabled and published separately.</w:t>
      </w:r>
    </w:p>
    <w:p w:rsidR="00381287" w:rsidRPr="002C0504" w:rsidRDefault="00381287" w:rsidP="00381287">
      <w:r>
        <w:t xml:space="preserve">The </w:t>
      </w:r>
      <w:r w:rsidRPr="002C0504">
        <w:t xml:space="preserve">Tasmanian Pharmacy Authority </w:t>
      </w:r>
      <w:r>
        <w:t xml:space="preserve">prepares an annual report under </w:t>
      </w:r>
      <w:r w:rsidRPr="002C0504">
        <w:t xml:space="preserve">the </w:t>
      </w:r>
      <w:r w:rsidRPr="002C0504">
        <w:rPr>
          <w:i/>
        </w:rPr>
        <w:t>Pharmacy Control Act 2001</w:t>
      </w:r>
      <w:r>
        <w:t xml:space="preserve">. The report details </w:t>
      </w:r>
      <w:r w:rsidRPr="002C0504">
        <w:t>its operations for each financial year</w:t>
      </w:r>
      <w:r>
        <w:t xml:space="preserve">, and </w:t>
      </w:r>
      <w:r w:rsidRPr="002C0504">
        <w:t xml:space="preserve">may be appended to the annual report of </w:t>
      </w:r>
      <w:r>
        <w:t>DHHS, as it has been this year</w:t>
      </w:r>
      <w:r w:rsidRPr="002C0504">
        <w:t xml:space="preserve">. </w:t>
      </w:r>
    </w:p>
    <w:p w:rsidR="00381287" w:rsidRDefault="00381287" w:rsidP="00381287">
      <w:pPr>
        <w:sectPr w:rsidR="00381287" w:rsidSect="00381287">
          <w:type w:val="continuous"/>
          <w:pgSz w:w="11906" w:h="16838"/>
          <w:pgMar w:top="1440" w:right="1440" w:bottom="1440" w:left="1440" w:header="708" w:footer="708" w:gutter="0"/>
          <w:cols w:num="2" w:space="708"/>
          <w:docGrid w:linePitch="360"/>
        </w:sectPr>
      </w:pPr>
    </w:p>
    <w:p w:rsidR="00912891" w:rsidRPr="00912891" w:rsidRDefault="00912891" w:rsidP="00381287">
      <w:pPr>
        <w:tabs>
          <w:tab w:val="clear" w:pos="567"/>
        </w:tabs>
        <w:spacing w:after="200" w:line="276" w:lineRule="auto"/>
        <w:rPr>
          <w:rFonts w:eastAsiaTheme="majorEastAsia" w:cstheme="majorBidi"/>
          <w:b/>
          <w:bCs/>
          <w:i/>
          <w:sz w:val="56"/>
          <w:szCs w:val="28"/>
        </w:rPr>
      </w:pPr>
      <w:r w:rsidRPr="00912891">
        <w:rPr>
          <w:b/>
          <w:i/>
          <w:sz w:val="36"/>
        </w:rPr>
        <w:lastRenderedPageBreak/>
        <w:br w:type="page"/>
      </w:r>
    </w:p>
    <w:p w:rsidR="00C064B1" w:rsidRPr="00AD70A7" w:rsidRDefault="00B17900" w:rsidP="00AD70A7">
      <w:pPr>
        <w:pStyle w:val="Heading1"/>
        <w:rPr>
          <w:i/>
        </w:rPr>
      </w:pPr>
      <w:bookmarkStart w:id="82" w:name="_Toc430351461"/>
      <w:r w:rsidRPr="00AD70A7">
        <w:rPr>
          <w:i/>
        </w:rPr>
        <w:lastRenderedPageBreak/>
        <w:t>Disability Services Act 2011</w:t>
      </w:r>
      <w:bookmarkEnd w:id="82"/>
    </w:p>
    <w:p w:rsidR="00B17900" w:rsidRPr="001B05C8" w:rsidRDefault="00B17900" w:rsidP="00B17900">
      <w:r w:rsidRPr="001B05C8">
        <w:t>Annual Report</w:t>
      </w:r>
    </w:p>
    <w:p w:rsidR="00B17900" w:rsidRPr="001B05C8" w:rsidRDefault="00B17900" w:rsidP="00B17900">
      <w:r w:rsidRPr="001B05C8">
        <w:t>For year ended 30 June 2015</w:t>
      </w:r>
    </w:p>
    <w:p w:rsidR="00B17900" w:rsidRPr="001B05C8" w:rsidRDefault="00B17900" w:rsidP="00B17900">
      <w:pPr>
        <w:pBdr>
          <w:bottom w:val="single" w:sz="4" w:space="1" w:color="auto"/>
        </w:pBdr>
      </w:pPr>
    </w:p>
    <w:p w:rsidR="00B17900" w:rsidRPr="001B05C8" w:rsidRDefault="00B17900" w:rsidP="0027276B">
      <w:pPr>
        <w:rPr>
          <w:b/>
        </w:rPr>
      </w:pPr>
      <w:r w:rsidRPr="001B05C8">
        <w:rPr>
          <w:b/>
        </w:rPr>
        <w:t>Contents</w:t>
      </w:r>
    </w:p>
    <w:p w:rsidR="00B17900" w:rsidRPr="001B05C8" w:rsidRDefault="00B17900" w:rsidP="00B17900">
      <w:r w:rsidRPr="001B05C8">
        <w:t>Budgetary Oversight</w:t>
      </w:r>
    </w:p>
    <w:p w:rsidR="00B17900" w:rsidRPr="001B05C8" w:rsidRDefault="00B17900" w:rsidP="00B17900">
      <w:r w:rsidRPr="001B05C8">
        <w:t>Budget 2014-15</w:t>
      </w:r>
    </w:p>
    <w:p w:rsidR="00B17900" w:rsidRPr="001B05C8" w:rsidRDefault="00B17900" w:rsidP="00B17900">
      <w:r w:rsidRPr="001B05C8">
        <w:br w:type="page"/>
      </w:r>
    </w:p>
    <w:p w:rsidR="001C4C07" w:rsidRPr="001B05C8" w:rsidRDefault="001C4C07" w:rsidP="001C4C07">
      <w:pPr>
        <w:pStyle w:val="Heading2"/>
      </w:pPr>
      <w:r w:rsidRPr="001B05C8">
        <w:rPr>
          <w:i/>
        </w:rPr>
        <w:lastRenderedPageBreak/>
        <w:t>Disability Services Act 2011</w:t>
      </w:r>
    </w:p>
    <w:p w:rsidR="001C4C07" w:rsidRPr="001B05C8" w:rsidRDefault="001C4C07" w:rsidP="001C4C07">
      <w:pPr>
        <w:rPr>
          <w:b/>
          <w:lang w:val="en-US"/>
        </w:rPr>
      </w:pPr>
      <w:r w:rsidRPr="001B05C8">
        <w:rPr>
          <w:b/>
          <w:lang w:val="en-US"/>
        </w:rPr>
        <w:t>For year ended 30 June 2015</w:t>
      </w:r>
    </w:p>
    <w:p w:rsidR="001C4C07" w:rsidRPr="001B05C8" w:rsidRDefault="001C4C07" w:rsidP="001C4C07">
      <w:r w:rsidRPr="001B05C8">
        <w:t xml:space="preserve">The </w:t>
      </w:r>
      <w:r w:rsidRPr="001B05C8">
        <w:rPr>
          <w:i/>
        </w:rPr>
        <w:t>Disability Services Act 2011</w:t>
      </w:r>
      <w:r w:rsidRPr="001B05C8">
        <w:t xml:space="preserve"> (the Act) came into effect on 1 January 2012 and contains a number of planning and reporting provisions.  This Annual Report is provided in accordance with the legislative requirements under the </w:t>
      </w:r>
      <w:r w:rsidRPr="001B05C8">
        <w:rPr>
          <w:i/>
        </w:rPr>
        <w:t>Disability Services Act 2011</w:t>
      </w:r>
      <w:r w:rsidRPr="001B05C8">
        <w:t>(Section 9 – Budgetary Oversight).</w:t>
      </w:r>
    </w:p>
    <w:p w:rsidR="001C4C07" w:rsidRPr="001B05C8" w:rsidRDefault="001C4C07" w:rsidP="001C4C07">
      <w:r w:rsidRPr="001B05C8">
        <w:t>In accordance with Section 9 of the Act this Annual Report specifies the amount appropriated by Parliament that was used for the purposes of the administration of the Act and the amount appropriated by Parliament that was used in the making of grants.</w:t>
      </w:r>
    </w:p>
    <w:p w:rsidR="001C4C07" w:rsidRPr="001B05C8" w:rsidRDefault="001C4C07" w:rsidP="001C4C07">
      <w:r w:rsidRPr="001B05C8">
        <w:t>For the purposes of this Report the State is regarded as one operational area.</w:t>
      </w:r>
    </w:p>
    <w:p w:rsidR="001C4C07" w:rsidRPr="001B05C8" w:rsidRDefault="001C4C07" w:rsidP="001C4C07">
      <w:r w:rsidRPr="001B05C8">
        <w:t>A Strategic Plan was approved by the Minister for Human Services in February 2015. The Operational Plan for Disability Services was approved by the Acting Secretary of DHHS in June 2015 and sets out clear goals, priority strategies and outcomes for the DCS program in 2015.  It describes the actions the program will take to create a sustainable, affordable, inclusive and responsive service system for Tasmanians requiring specialist disability support services.</w:t>
      </w:r>
    </w:p>
    <w:p w:rsidR="001C4C07" w:rsidRPr="001B05C8" w:rsidRDefault="001C4C07" w:rsidP="001C4C07">
      <w:r w:rsidRPr="001B05C8">
        <w:t>This Report provides details as to how the amount that was used for making grants was distributed during 2014-15 between different kinds of specialist disability services  research and development activities and grants to individuals under section 14(1)(c).</w:t>
      </w:r>
    </w:p>
    <w:p w:rsidR="001C4C07" w:rsidRPr="001B05C8" w:rsidRDefault="001C4C07" w:rsidP="001C4C07">
      <w:r w:rsidRPr="001B05C8">
        <w:t>The Report also provides, in relation to each funded entity, the amounts that were provided by way of grants under the Act.  In line with the requirement under section 9(3) this Report does not contain the name or address of a person with disability funded under the Act.</w:t>
      </w:r>
    </w:p>
    <w:p w:rsidR="001C4C07" w:rsidRPr="00F70D86" w:rsidRDefault="001C4C07" w:rsidP="00F70D86">
      <w:pPr>
        <w:pStyle w:val="Heading2"/>
      </w:pPr>
      <w:r w:rsidRPr="00F70D86">
        <w:t>Expenditure 2014-15</w:t>
      </w:r>
    </w:p>
    <w:tbl>
      <w:tblPr>
        <w:tblW w:w="9606" w:type="dxa"/>
        <w:tblBorders>
          <w:insideH w:val="single" w:sz="2" w:space="0" w:color="808080" w:themeColor="background1" w:themeShade="80"/>
        </w:tblBorders>
        <w:tblLook w:val="04A0" w:firstRow="1" w:lastRow="0" w:firstColumn="1" w:lastColumn="0" w:noHBand="0" w:noVBand="1"/>
      </w:tblPr>
      <w:tblGrid>
        <w:gridCol w:w="2835"/>
        <w:gridCol w:w="5211"/>
        <w:gridCol w:w="1560"/>
      </w:tblGrid>
      <w:tr w:rsidR="001C4C07" w:rsidRPr="00414E8B" w:rsidTr="00F70D86">
        <w:tc>
          <w:tcPr>
            <w:tcW w:w="8046" w:type="dxa"/>
            <w:gridSpan w:val="2"/>
            <w:shd w:val="clear" w:color="auto" w:fill="auto"/>
            <w:hideMark/>
          </w:tcPr>
          <w:p w:rsidR="001C4C07" w:rsidRPr="00912891" w:rsidRDefault="001C4C07" w:rsidP="00912891">
            <w:pPr>
              <w:rPr>
                <w:b/>
              </w:rPr>
            </w:pPr>
            <w:r w:rsidRPr="00912891">
              <w:rPr>
                <w:b/>
                <w:sz w:val="20"/>
              </w:rPr>
              <w:t>Services provided by Community Sector Organisations (Notes 1 2 3 4)</w:t>
            </w:r>
          </w:p>
        </w:tc>
        <w:tc>
          <w:tcPr>
            <w:tcW w:w="1560" w:type="dxa"/>
            <w:shd w:val="clear" w:color="auto" w:fill="auto"/>
            <w:vAlign w:val="center"/>
            <w:hideMark/>
          </w:tcPr>
          <w:p w:rsidR="001C4C07" w:rsidRPr="00414E8B" w:rsidRDefault="001C4C07" w:rsidP="00414E8B">
            <w:pPr>
              <w:jc w:val="right"/>
              <w:rPr>
                <w:b/>
                <w:sz w:val="20"/>
              </w:rPr>
            </w:pPr>
            <w:r w:rsidRPr="00414E8B">
              <w:rPr>
                <w:b/>
                <w:sz w:val="20"/>
              </w:rPr>
              <w:t>2014-15 ($)</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Accommodation Support</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106 873 473</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Community Access</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21 583 806</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sz w:val="18"/>
                <w:szCs w:val="18"/>
              </w:rPr>
              <w:t xml:space="preserve">Community Support  </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12 034 110</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Fair Work Australia ERO*</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Home and Community Care</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sz w:val="18"/>
                <w:szCs w:val="18"/>
              </w:rPr>
              <w:t>Information and Advocacy</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2 286 933</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Other</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3 100</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sz w:val="18"/>
                <w:szCs w:val="18"/>
              </w:rPr>
              <w:t>Peak Organisations</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181 812</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sz w:val="18"/>
                <w:szCs w:val="18"/>
              </w:rPr>
              <w:t>Respite</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10 473 374</w:t>
            </w:r>
          </w:p>
        </w:tc>
      </w:tr>
      <w:tr w:rsidR="001C4C07" w:rsidRPr="001B05C8" w:rsidTr="00F70D86">
        <w:tc>
          <w:tcPr>
            <w:tcW w:w="2835" w:type="dxa"/>
            <w:vAlign w:val="bottom"/>
          </w:tcPr>
          <w:p w:rsidR="001C4C07" w:rsidRPr="001B05C8" w:rsidRDefault="001C4C07" w:rsidP="001C4C07">
            <w:pPr>
              <w:spacing w:after="60"/>
              <w:rPr>
                <w:sz w:val="18"/>
                <w:szCs w:val="18"/>
              </w:rPr>
            </w:pPr>
            <w:r w:rsidRPr="001B05C8">
              <w:rPr>
                <w:sz w:val="18"/>
                <w:szCs w:val="18"/>
              </w:rPr>
              <w:t>Cash Contribution to NDIA</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9 790 000</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vAlign w:val="center"/>
          </w:tcPr>
          <w:p w:rsidR="001C4C07" w:rsidRPr="001B05C8" w:rsidRDefault="001C4C07" w:rsidP="001C4C07">
            <w:pPr>
              <w:spacing w:after="60"/>
              <w:jc w:val="right"/>
              <w:rPr>
                <w:b/>
                <w:sz w:val="18"/>
                <w:szCs w:val="18"/>
              </w:rPr>
            </w:pPr>
          </w:p>
        </w:tc>
        <w:tc>
          <w:tcPr>
            <w:tcW w:w="1560" w:type="dxa"/>
            <w:vAlign w:val="center"/>
            <w:hideMark/>
          </w:tcPr>
          <w:p w:rsidR="001C4C07" w:rsidRPr="001B05C8" w:rsidRDefault="001C4C07" w:rsidP="001C4C07">
            <w:pPr>
              <w:spacing w:after="60"/>
              <w:jc w:val="right"/>
              <w:rPr>
                <w:b/>
                <w:sz w:val="18"/>
                <w:szCs w:val="18"/>
              </w:rPr>
            </w:pPr>
            <w:r w:rsidRPr="001B05C8">
              <w:rPr>
                <w:b/>
                <w:sz w:val="18"/>
                <w:szCs w:val="18"/>
              </w:rPr>
              <w:t>163 226 608</w:t>
            </w:r>
          </w:p>
        </w:tc>
      </w:tr>
      <w:tr w:rsidR="00C44DD8" w:rsidRPr="001B05C8" w:rsidTr="0074113B">
        <w:tc>
          <w:tcPr>
            <w:tcW w:w="9606" w:type="dxa"/>
            <w:gridSpan w:val="3"/>
            <w:vAlign w:val="bottom"/>
          </w:tcPr>
          <w:p w:rsidR="00C44DD8" w:rsidRPr="001B05C8" w:rsidRDefault="00C44DD8" w:rsidP="00C44DD8">
            <w:pPr>
              <w:spacing w:after="60"/>
              <w:rPr>
                <w:b/>
                <w:sz w:val="18"/>
                <w:szCs w:val="18"/>
              </w:rPr>
            </w:pPr>
            <w:r w:rsidRPr="001B05C8">
              <w:rPr>
                <w:sz w:val="18"/>
                <w:szCs w:val="18"/>
              </w:rPr>
              <w:t>Aggregates above include ERO where applicable</w:t>
            </w:r>
          </w:p>
        </w:tc>
      </w:tr>
    </w:tbl>
    <w:p w:rsidR="00F70D86" w:rsidRDefault="00F70D86">
      <w:r>
        <w:br w:type="page"/>
      </w:r>
    </w:p>
    <w:tbl>
      <w:tblPr>
        <w:tblW w:w="9606" w:type="dxa"/>
        <w:tblBorders>
          <w:insideH w:val="single" w:sz="2" w:space="0" w:color="808080" w:themeColor="background1" w:themeShade="80"/>
        </w:tblBorders>
        <w:tblLook w:val="04A0" w:firstRow="1" w:lastRow="0" w:firstColumn="1" w:lastColumn="0" w:noHBand="0" w:noVBand="1"/>
      </w:tblPr>
      <w:tblGrid>
        <w:gridCol w:w="2835"/>
        <w:gridCol w:w="5211"/>
        <w:gridCol w:w="1560"/>
      </w:tblGrid>
      <w:tr w:rsidR="001C4C07" w:rsidRPr="001B05C8" w:rsidTr="00F70D86">
        <w:tc>
          <w:tcPr>
            <w:tcW w:w="8046" w:type="dxa"/>
            <w:gridSpan w:val="2"/>
            <w:shd w:val="clear" w:color="auto" w:fill="auto"/>
            <w:hideMark/>
          </w:tcPr>
          <w:p w:rsidR="001C4C07" w:rsidRPr="001B05C8" w:rsidRDefault="001C4C07" w:rsidP="001C4C07">
            <w:pPr>
              <w:tabs>
                <w:tab w:val="left" w:pos="6696"/>
              </w:tabs>
              <w:spacing w:after="60"/>
              <w:rPr>
                <w:rFonts w:cs="Arial"/>
                <w:b/>
                <w:sz w:val="18"/>
                <w:szCs w:val="18"/>
              </w:rPr>
            </w:pPr>
            <w:r w:rsidRPr="001B05C8">
              <w:rPr>
                <w:rFonts w:cs="Arial"/>
                <w:b/>
                <w:sz w:val="18"/>
                <w:szCs w:val="18"/>
              </w:rPr>
              <w:lastRenderedPageBreak/>
              <w:t>Initiatives</w:t>
            </w:r>
          </w:p>
        </w:tc>
        <w:tc>
          <w:tcPr>
            <w:tcW w:w="1560" w:type="dxa"/>
            <w:shd w:val="clear" w:color="auto" w:fill="auto"/>
            <w:vAlign w:val="center"/>
            <w:hideMark/>
          </w:tcPr>
          <w:p w:rsidR="001C4C07" w:rsidRPr="00414E8B" w:rsidRDefault="001C4C07" w:rsidP="00414E8B">
            <w:pPr>
              <w:jc w:val="right"/>
              <w:rPr>
                <w:b/>
              </w:rPr>
            </w:pPr>
            <w:r w:rsidRPr="00414E8B">
              <w:rPr>
                <w:b/>
                <w:sz w:val="18"/>
              </w:rPr>
              <w:t>2014-15 ($)</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rFonts w:cs="Arial"/>
                <w:sz w:val="18"/>
                <w:szCs w:val="18"/>
              </w:rPr>
              <w:t>Elder Abuse Strategy</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393 728</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rFonts w:cs="Arial"/>
                <w:sz w:val="18"/>
                <w:szCs w:val="18"/>
              </w:rPr>
              <w:t>TasEquip (Equipment Reform)</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914 874</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vAlign w:val="center"/>
          </w:tcPr>
          <w:p w:rsidR="001C4C07" w:rsidRPr="001B05C8" w:rsidRDefault="001C4C07" w:rsidP="001C4C07">
            <w:pPr>
              <w:spacing w:after="60"/>
              <w:rPr>
                <w:b/>
                <w:sz w:val="18"/>
                <w:szCs w:val="18"/>
              </w:rPr>
            </w:pPr>
          </w:p>
        </w:tc>
        <w:tc>
          <w:tcPr>
            <w:tcW w:w="1560" w:type="dxa"/>
            <w:vAlign w:val="center"/>
          </w:tcPr>
          <w:p w:rsidR="001C4C07" w:rsidRPr="001B05C8" w:rsidRDefault="001C4C07" w:rsidP="001C4C07">
            <w:pPr>
              <w:spacing w:after="60"/>
              <w:jc w:val="right"/>
              <w:rPr>
                <w:b/>
                <w:sz w:val="18"/>
                <w:szCs w:val="18"/>
              </w:rPr>
            </w:pPr>
            <w:r w:rsidRPr="001B05C8">
              <w:rPr>
                <w:b/>
                <w:sz w:val="18"/>
                <w:szCs w:val="18"/>
              </w:rPr>
              <w:t>1 308 602</w:t>
            </w:r>
          </w:p>
        </w:tc>
      </w:tr>
    </w:tbl>
    <w:p w:rsidR="001C4C07" w:rsidRPr="001B05C8" w:rsidRDefault="001C4C07" w:rsidP="001C4C07">
      <w:pPr>
        <w:spacing w:after="60"/>
        <w:rPr>
          <w:b/>
          <w:sz w:val="18"/>
          <w:szCs w:val="18"/>
        </w:rPr>
      </w:pPr>
    </w:p>
    <w:tbl>
      <w:tblPr>
        <w:tblW w:w="9606" w:type="dxa"/>
        <w:tblBorders>
          <w:insideH w:val="single" w:sz="2" w:space="0" w:color="808080" w:themeColor="background1" w:themeShade="80"/>
        </w:tblBorders>
        <w:tblLook w:val="04A0" w:firstRow="1" w:lastRow="0" w:firstColumn="1" w:lastColumn="0" w:noHBand="0" w:noVBand="1"/>
      </w:tblPr>
      <w:tblGrid>
        <w:gridCol w:w="2835"/>
        <w:gridCol w:w="5211"/>
        <w:gridCol w:w="1560"/>
      </w:tblGrid>
      <w:tr w:rsidR="001C4C07" w:rsidRPr="001B05C8" w:rsidTr="00F70D86">
        <w:tc>
          <w:tcPr>
            <w:tcW w:w="8046" w:type="dxa"/>
            <w:gridSpan w:val="2"/>
            <w:shd w:val="clear" w:color="auto" w:fill="auto"/>
            <w:hideMark/>
          </w:tcPr>
          <w:p w:rsidR="001C4C07" w:rsidRPr="001B05C8" w:rsidRDefault="001C4C07" w:rsidP="001C4C07">
            <w:pPr>
              <w:spacing w:after="60"/>
              <w:rPr>
                <w:rFonts w:cs="Arial"/>
                <w:b/>
                <w:sz w:val="18"/>
                <w:szCs w:val="18"/>
              </w:rPr>
            </w:pPr>
            <w:r w:rsidRPr="001B05C8">
              <w:rPr>
                <w:rFonts w:cs="Arial"/>
                <w:b/>
                <w:sz w:val="18"/>
                <w:szCs w:val="18"/>
              </w:rPr>
              <w:t>Services provided by Government</w:t>
            </w:r>
          </w:p>
        </w:tc>
        <w:tc>
          <w:tcPr>
            <w:tcW w:w="1560" w:type="dxa"/>
            <w:shd w:val="clear" w:color="auto" w:fill="auto"/>
            <w:vAlign w:val="center"/>
            <w:hideMark/>
          </w:tcPr>
          <w:p w:rsidR="001C4C07" w:rsidRPr="00414E8B" w:rsidRDefault="001C4C07" w:rsidP="00414E8B">
            <w:pPr>
              <w:jc w:val="right"/>
              <w:rPr>
                <w:b/>
                <w:sz w:val="18"/>
              </w:rPr>
            </w:pPr>
            <w:r w:rsidRPr="00414E8B">
              <w:rPr>
                <w:b/>
                <w:sz w:val="18"/>
              </w:rPr>
              <w:t>2014-15 ($)</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rFonts w:cs="Arial"/>
                <w:sz w:val="18"/>
                <w:szCs w:val="18"/>
              </w:rPr>
              <w:t>Area Management</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1 733 465</w:t>
            </w:r>
          </w:p>
        </w:tc>
      </w:tr>
      <w:tr w:rsidR="001C4C07" w:rsidRPr="001B05C8" w:rsidTr="00F70D86">
        <w:tc>
          <w:tcPr>
            <w:tcW w:w="8046" w:type="dxa"/>
            <w:gridSpan w:val="2"/>
            <w:vAlign w:val="bottom"/>
            <w:hideMark/>
          </w:tcPr>
          <w:p w:rsidR="001C4C07" w:rsidRPr="001B05C8" w:rsidRDefault="001C4C07" w:rsidP="001C4C07">
            <w:pPr>
              <w:spacing w:after="60"/>
              <w:rPr>
                <w:sz w:val="18"/>
                <w:szCs w:val="18"/>
              </w:rPr>
            </w:pPr>
            <w:r w:rsidRPr="001B05C8">
              <w:rPr>
                <w:rFonts w:cs="Arial"/>
                <w:sz w:val="18"/>
                <w:szCs w:val="18"/>
              </w:rPr>
              <w:t>Community Support (Disability Assessment and Advisory Team)</w:t>
            </w:r>
          </w:p>
        </w:tc>
        <w:tc>
          <w:tcPr>
            <w:tcW w:w="1560" w:type="dxa"/>
            <w:vAlign w:val="center"/>
          </w:tcPr>
          <w:p w:rsidR="001C4C07" w:rsidRPr="001B05C8" w:rsidRDefault="001C4C07" w:rsidP="001C4C07">
            <w:pPr>
              <w:spacing w:after="60"/>
              <w:jc w:val="right"/>
              <w:rPr>
                <w:sz w:val="18"/>
                <w:szCs w:val="18"/>
              </w:rPr>
            </w:pPr>
            <w:r w:rsidRPr="001B05C8">
              <w:rPr>
                <w:sz w:val="18"/>
                <w:szCs w:val="18"/>
              </w:rPr>
              <w:t>3 462 008</w:t>
            </w:r>
          </w:p>
        </w:tc>
      </w:tr>
      <w:tr w:rsidR="001C4C07" w:rsidRPr="001B05C8" w:rsidTr="00F70D86">
        <w:tc>
          <w:tcPr>
            <w:tcW w:w="8046" w:type="dxa"/>
            <w:gridSpan w:val="2"/>
            <w:vAlign w:val="bottom"/>
            <w:hideMark/>
          </w:tcPr>
          <w:p w:rsidR="001C4C07" w:rsidRPr="001B05C8" w:rsidRDefault="001C4C07" w:rsidP="001C4C07">
            <w:pPr>
              <w:spacing w:after="60"/>
              <w:rPr>
                <w:b/>
                <w:sz w:val="18"/>
                <w:szCs w:val="18"/>
              </w:rPr>
            </w:pPr>
            <w:r w:rsidRPr="001B05C8">
              <w:rPr>
                <w:rFonts w:cs="Arial"/>
                <w:sz w:val="18"/>
                <w:szCs w:val="18"/>
              </w:rPr>
              <w:t>Contract Management (Community Partnership Teams)</w:t>
            </w:r>
          </w:p>
        </w:tc>
        <w:tc>
          <w:tcPr>
            <w:tcW w:w="1560" w:type="dxa"/>
            <w:vAlign w:val="center"/>
          </w:tcPr>
          <w:p w:rsidR="001C4C07" w:rsidRPr="001B05C8" w:rsidRDefault="001C4C07" w:rsidP="001C4C07">
            <w:pPr>
              <w:spacing w:after="60"/>
              <w:jc w:val="right"/>
              <w:rPr>
                <w:sz w:val="18"/>
                <w:szCs w:val="18"/>
              </w:rPr>
            </w:pPr>
            <w:r w:rsidRPr="001B05C8">
              <w:rPr>
                <w:sz w:val="18"/>
                <w:szCs w:val="18"/>
              </w:rPr>
              <w:t>1 830 830</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rFonts w:cs="Arial"/>
                <w:sz w:val="18"/>
                <w:szCs w:val="18"/>
              </w:rPr>
              <w:t>Individual Funding Management</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387 200</w:t>
            </w:r>
          </w:p>
        </w:tc>
      </w:tr>
      <w:tr w:rsidR="001C4C07" w:rsidRPr="001B05C8" w:rsidTr="00F70D86">
        <w:tc>
          <w:tcPr>
            <w:tcW w:w="8046" w:type="dxa"/>
            <w:gridSpan w:val="2"/>
            <w:vAlign w:val="bottom"/>
            <w:hideMark/>
          </w:tcPr>
          <w:p w:rsidR="001C4C07" w:rsidRPr="001B05C8" w:rsidRDefault="001C4C07" w:rsidP="001C4C07">
            <w:pPr>
              <w:spacing w:after="60"/>
              <w:rPr>
                <w:sz w:val="18"/>
                <w:szCs w:val="18"/>
              </w:rPr>
            </w:pPr>
            <w:r w:rsidRPr="001B05C8">
              <w:rPr>
                <w:rFonts w:cs="Arial"/>
                <w:sz w:val="18"/>
                <w:szCs w:val="18"/>
              </w:rPr>
              <w:t>Tasmanian Autism Spectrum Diagnostic Assessment Services</w:t>
            </w:r>
          </w:p>
        </w:tc>
        <w:tc>
          <w:tcPr>
            <w:tcW w:w="1560" w:type="dxa"/>
            <w:vAlign w:val="center"/>
          </w:tcPr>
          <w:p w:rsidR="001C4C07" w:rsidRPr="001B05C8" w:rsidRDefault="001C4C07" w:rsidP="001C4C07">
            <w:pPr>
              <w:spacing w:after="60"/>
              <w:jc w:val="right"/>
              <w:rPr>
                <w:sz w:val="18"/>
                <w:szCs w:val="18"/>
              </w:rPr>
            </w:pPr>
            <w:r w:rsidRPr="001B05C8">
              <w:rPr>
                <w:sz w:val="18"/>
                <w:szCs w:val="18"/>
              </w:rPr>
              <w:t>545 509</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rFonts w:cs="Arial"/>
                <w:sz w:val="18"/>
                <w:szCs w:val="18"/>
              </w:rPr>
              <w:t>Workforce Development</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269 719</w:t>
            </w:r>
          </w:p>
        </w:tc>
      </w:tr>
      <w:tr w:rsidR="001C4C07" w:rsidRPr="001B05C8" w:rsidTr="00F70D86">
        <w:tc>
          <w:tcPr>
            <w:tcW w:w="2835" w:type="dxa"/>
            <w:vAlign w:val="bottom"/>
          </w:tcPr>
          <w:p w:rsidR="001C4C07" w:rsidRPr="001B05C8" w:rsidRDefault="001C4C07" w:rsidP="001C4C07">
            <w:pPr>
              <w:spacing w:after="60"/>
              <w:rPr>
                <w:sz w:val="18"/>
                <w:szCs w:val="18"/>
              </w:rPr>
            </w:pPr>
            <w:r w:rsidRPr="001B05C8">
              <w:rPr>
                <w:sz w:val="18"/>
                <w:szCs w:val="18"/>
              </w:rPr>
              <w:t>Reform Transition Costs</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877 691</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b/>
                <w:sz w:val="18"/>
                <w:szCs w:val="18"/>
              </w:rPr>
            </w:pPr>
            <w:r w:rsidRPr="001B05C8">
              <w:rPr>
                <w:b/>
                <w:sz w:val="18"/>
                <w:szCs w:val="18"/>
              </w:rPr>
              <w:t>9 106 422</w:t>
            </w:r>
          </w:p>
        </w:tc>
      </w:tr>
    </w:tbl>
    <w:p w:rsidR="001C4C07" w:rsidRPr="001B05C8" w:rsidRDefault="001C4C07" w:rsidP="001C4C07">
      <w:pPr>
        <w:spacing w:after="60"/>
        <w:rPr>
          <w:b/>
          <w:sz w:val="18"/>
          <w:szCs w:val="18"/>
        </w:rPr>
      </w:pPr>
    </w:p>
    <w:tbl>
      <w:tblPr>
        <w:tblW w:w="9606" w:type="dxa"/>
        <w:tblBorders>
          <w:insideH w:val="single" w:sz="2" w:space="0" w:color="808080" w:themeColor="background1" w:themeShade="80"/>
        </w:tblBorders>
        <w:tblLook w:val="04A0" w:firstRow="1" w:lastRow="0" w:firstColumn="1" w:lastColumn="0" w:noHBand="0" w:noVBand="1"/>
      </w:tblPr>
      <w:tblGrid>
        <w:gridCol w:w="2835"/>
        <w:gridCol w:w="5211"/>
        <w:gridCol w:w="1560"/>
      </w:tblGrid>
      <w:tr w:rsidR="001C4C07" w:rsidRPr="001B05C8" w:rsidTr="00F70D86">
        <w:tc>
          <w:tcPr>
            <w:tcW w:w="8046" w:type="dxa"/>
            <w:gridSpan w:val="2"/>
            <w:shd w:val="clear" w:color="auto" w:fill="auto"/>
            <w:hideMark/>
          </w:tcPr>
          <w:p w:rsidR="001C4C07" w:rsidRPr="001B05C8" w:rsidRDefault="001C4C07" w:rsidP="001C4C07">
            <w:pPr>
              <w:spacing w:after="60"/>
              <w:rPr>
                <w:rFonts w:cs="Arial"/>
                <w:b/>
                <w:sz w:val="18"/>
                <w:szCs w:val="18"/>
              </w:rPr>
            </w:pPr>
            <w:r w:rsidRPr="001B05C8">
              <w:rPr>
                <w:rFonts w:cs="Arial"/>
                <w:b/>
                <w:sz w:val="18"/>
                <w:szCs w:val="18"/>
              </w:rPr>
              <w:t>Administration and Overheads</w:t>
            </w:r>
          </w:p>
        </w:tc>
        <w:tc>
          <w:tcPr>
            <w:tcW w:w="1560" w:type="dxa"/>
            <w:shd w:val="clear" w:color="auto" w:fill="auto"/>
            <w:vAlign w:val="center"/>
            <w:hideMark/>
          </w:tcPr>
          <w:p w:rsidR="001C4C07" w:rsidRPr="00414E8B" w:rsidRDefault="001C4C07" w:rsidP="00414E8B">
            <w:pPr>
              <w:jc w:val="right"/>
              <w:rPr>
                <w:b/>
                <w:sz w:val="18"/>
              </w:rPr>
            </w:pPr>
            <w:r w:rsidRPr="00414E8B">
              <w:rPr>
                <w:b/>
                <w:sz w:val="18"/>
              </w:rPr>
              <w:t>2014-15 ($)</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rFonts w:cs="Arial"/>
                <w:sz w:val="18"/>
                <w:szCs w:val="18"/>
              </w:rPr>
              <w:t>Direct Overheads</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4 442 702</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b/>
                <w:sz w:val="18"/>
                <w:szCs w:val="18"/>
              </w:rPr>
            </w:pPr>
            <w:r w:rsidRPr="001B05C8">
              <w:rPr>
                <w:b/>
                <w:sz w:val="18"/>
                <w:szCs w:val="18"/>
              </w:rPr>
              <w:t>3 442 911</w:t>
            </w:r>
          </w:p>
        </w:tc>
      </w:tr>
      <w:tr w:rsidR="001C4C07" w:rsidRPr="001B05C8" w:rsidTr="00F70D86">
        <w:tc>
          <w:tcPr>
            <w:tcW w:w="8046" w:type="dxa"/>
            <w:gridSpan w:val="2"/>
            <w:vAlign w:val="bottom"/>
            <w:hideMark/>
          </w:tcPr>
          <w:p w:rsidR="001C4C07" w:rsidRPr="001B05C8" w:rsidRDefault="001C4C07" w:rsidP="001C4C07">
            <w:pPr>
              <w:spacing w:after="60"/>
              <w:rPr>
                <w:b/>
                <w:sz w:val="18"/>
                <w:szCs w:val="18"/>
              </w:rPr>
            </w:pPr>
            <w:r w:rsidRPr="001B05C8">
              <w:rPr>
                <w:rFonts w:cs="Arial"/>
                <w:b/>
                <w:sz w:val="18"/>
                <w:szCs w:val="18"/>
              </w:rPr>
              <w:t>Community Service Functions</w:t>
            </w:r>
          </w:p>
        </w:tc>
        <w:tc>
          <w:tcPr>
            <w:tcW w:w="1560" w:type="dxa"/>
            <w:vAlign w:val="center"/>
          </w:tcPr>
          <w:p w:rsidR="001C4C07" w:rsidRPr="001B05C8" w:rsidRDefault="001C4C07" w:rsidP="001C4C07">
            <w:pPr>
              <w:spacing w:after="60"/>
              <w:jc w:val="right"/>
              <w:rPr>
                <w:b/>
                <w:sz w:val="18"/>
                <w:szCs w:val="18"/>
              </w:rPr>
            </w:pPr>
            <w:r w:rsidRPr="001B05C8">
              <w:rPr>
                <w:b/>
                <w:sz w:val="18"/>
                <w:szCs w:val="18"/>
              </w:rPr>
              <w:t>3 442 911</w:t>
            </w:r>
          </w:p>
        </w:tc>
      </w:tr>
      <w:tr w:rsidR="001C4C07" w:rsidRPr="001B05C8" w:rsidTr="00F70D86">
        <w:tc>
          <w:tcPr>
            <w:tcW w:w="8046" w:type="dxa"/>
            <w:gridSpan w:val="2"/>
            <w:vAlign w:val="bottom"/>
            <w:hideMark/>
          </w:tcPr>
          <w:p w:rsidR="001C4C07" w:rsidRPr="001B05C8" w:rsidRDefault="001C4C07" w:rsidP="001C4C07">
            <w:pPr>
              <w:spacing w:after="60"/>
              <w:rPr>
                <w:b/>
                <w:sz w:val="18"/>
                <w:szCs w:val="18"/>
              </w:rPr>
            </w:pPr>
            <w:r w:rsidRPr="001B05C8">
              <w:rPr>
                <w:b/>
                <w:sz w:val="18"/>
                <w:szCs w:val="18"/>
              </w:rPr>
              <w:t>Total Expenditure</w:t>
            </w:r>
          </w:p>
        </w:tc>
        <w:tc>
          <w:tcPr>
            <w:tcW w:w="1560" w:type="dxa"/>
            <w:vAlign w:val="center"/>
          </w:tcPr>
          <w:p w:rsidR="001C4C07" w:rsidRPr="001B05C8" w:rsidRDefault="001C4C07" w:rsidP="001C4C07">
            <w:pPr>
              <w:spacing w:after="60"/>
              <w:jc w:val="right"/>
              <w:rPr>
                <w:b/>
                <w:sz w:val="18"/>
                <w:szCs w:val="18"/>
              </w:rPr>
            </w:pPr>
            <w:r w:rsidRPr="001B05C8">
              <w:rPr>
                <w:b/>
                <w:sz w:val="18"/>
                <w:szCs w:val="18"/>
              </w:rPr>
              <w:t>187 111 130</w:t>
            </w:r>
          </w:p>
        </w:tc>
      </w:tr>
    </w:tbl>
    <w:p w:rsidR="001C4C07" w:rsidRPr="001B05C8" w:rsidRDefault="001C4C07" w:rsidP="00B504A4">
      <w:pPr>
        <w:spacing w:afterLines="60" w:after="144"/>
        <w:rPr>
          <w:b/>
          <w:sz w:val="18"/>
          <w:szCs w:val="18"/>
        </w:rPr>
      </w:pPr>
    </w:p>
    <w:tbl>
      <w:tblPr>
        <w:tblW w:w="9606" w:type="dxa"/>
        <w:tblBorders>
          <w:insideH w:val="single" w:sz="2" w:space="0" w:color="808080" w:themeColor="background1" w:themeShade="80"/>
        </w:tblBorders>
        <w:tblLook w:val="04A0" w:firstRow="1" w:lastRow="0" w:firstColumn="1" w:lastColumn="0" w:noHBand="0" w:noVBand="1"/>
      </w:tblPr>
      <w:tblGrid>
        <w:gridCol w:w="2835"/>
        <w:gridCol w:w="5211"/>
        <w:gridCol w:w="1560"/>
      </w:tblGrid>
      <w:tr w:rsidR="001C4C07" w:rsidRPr="001B05C8" w:rsidTr="00F70D86">
        <w:tc>
          <w:tcPr>
            <w:tcW w:w="9606" w:type="dxa"/>
            <w:gridSpan w:val="3"/>
            <w:tcBorders>
              <w:top w:val="single" w:sz="4" w:space="0" w:color="808080" w:themeColor="background1" w:themeShade="80"/>
              <w:bottom w:val="single" w:sz="2" w:space="0" w:color="808080" w:themeColor="background1" w:themeShade="80"/>
            </w:tcBorders>
            <w:shd w:val="clear" w:color="auto" w:fill="auto"/>
            <w:hideMark/>
          </w:tcPr>
          <w:p w:rsidR="001C4C07" w:rsidRPr="001B05C8" w:rsidRDefault="001C4C07" w:rsidP="004E453D">
            <w:pPr>
              <w:spacing w:after="60"/>
              <w:rPr>
                <w:b/>
                <w:sz w:val="18"/>
                <w:szCs w:val="18"/>
              </w:rPr>
            </w:pPr>
            <w:r w:rsidRPr="001B05C8">
              <w:rPr>
                <w:b/>
                <w:sz w:val="18"/>
                <w:szCs w:val="18"/>
              </w:rPr>
              <w:t>Note 1</w:t>
            </w:r>
          </w:p>
          <w:p w:rsidR="00414E8B" w:rsidRPr="00043E2F" w:rsidRDefault="001C4C07" w:rsidP="004E453D">
            <w:pPr>
              <w:spacing w:after="60"/>
              <w:rPr>
                <w:b/>
                <w:sz w:val="18"/>
                <w:szCs w:val="18"/>
              </w:rPr>
            </w:pPr>
            <w:r w:rsidRPr="00043E2F">
              <w:rPr>
                <w:b/>
                <w:sz w:val="18"/>
                <w:szCs w:val="18"/>
              </w:rPr>
              <w:t>2013-14 Services provided by Community Sector Organisation Breakdown</w:t>
            </w:r>
          </w:p>
          <w:p w:rsidR="001C4C07" w:rsidRPr="00414E8B" w:rsidRDefault="001C4C07" w:rsidP="004E453D">
            <w:pPr>
              <w:spacing w:after="60"/>
              <w:rPr>
                <w:b/>
                <w:sz w:val="18"/>
                <w:szCs w:val="18"/>
              </w:rPr>
            </w:pPr>
            <w:r w:rsidRPr="004E453D">
              <w:rPr>
                <w:sz w:val="18"/>
                <w:szCs w:val="18"/>
              </w:rPr>
              <w:t>Services provided by Community Sector Organisations comprises the following aggregates:</w:t>
            </w:r>
          </w:p>
        </w:tc>
      </w:tr>
      <w:tr w:rsidR="001C4C07" w:rsidRPr="001B05C8" w:rsidTr="00F70D86">
        <w:tc>
          <w:tcPr>
            <w:tcW w:w="2835" w:type="dxa"/>
            <w:tcBorders>
              <w:top w:val="single" w:sz="2" w:space="0" w:color="808080" w:themeColor="background1" w:themeShade="80"/>
            </w:tcBorders>
            <w:vAlign w:val="bottom"/>
            <w:hideMark/>
          </w:tcPr>
          <w:p w:rsidR="001C4C07" w:rsidRPr="001B05C8" w:rsidRDefault="001C4C07" w:rsidP="001C4C07">
            <w:pPr>
              <w:spacing w:after="60"/>
              <w:rPr>
                <w:sz w:val="18"/>
                <w:szCs w:val="18"/>
              </w:rPr>
            </w:pPr>
            <w:r w:rsidRPr="001B05C8">
              <w:rPr>
                <w:sz w:val="18"/>
                <w:szCs w:val="18"/>
              </w:rPr>
              <w:t>Fair Work ERO</w:t>
            </w:r>
          </w:p>
        </w:tc>
        <w:tc>
          <w:tcPr>
            <w:tcW w:w="5211" w:type="dxa"/>
            <w:tcBorders>
              <w:top w:val="single" w:sz="2" w:space="0" w:color="808080" w:themeColor="background1" w:themeShade="80"/>
            </w:tcBorders>
            <w:vAlign w:val="center"/>
          </w:tcPr>
          <w:p w:rsidR="001C4C07" w:rsidRPr="001B05C8" w:rsidRDefault="001C4C07" w:rsidP="001C4C07">
            <w:pPr>
              <w:spacing w:after="60"/>
              <w:jc w:val="right"/>
              <w:rPr>
                <w:sz w:val="18"/>
                <w:szCs w:val="18"/>
              </w:rPr>
            </w:pPr>
          </w:p>
        </w:tc>
        <w:tc>
          <w:tcPr>
            <w:tcW w:w="1560" w:type="dxa"/>
            <w:tcBorders>
              <w:top w:val="single" w:sz="2" w:space="0" w:color="808080" w:themeColor="background1" w:themeShade="80"/>
            </w:tcBorders>
            <w:vAlign w:val="center"/>
          </w:tcPr>
          <w:p w:rsidR="001C4C07" w:rsidRPr="001B05C8" w:rsidRDefault="001C4C07" w:rsidP="001C4C07">
            <w:pPr>
              <w:spacing w:after="60"/>
              <w:jc w:val="right"/>
              <w:rPr>
                <w:sz w:val="18"/>
                <w:szCs w:val="18"/>
              </w:rPr>
            </w:pPr>
            <w:r w:rsidRPr="001B05C8">
              <w:rPr>
                <w:sz w:val="18"/>
                <w:szCs w:val="18"/>
              </w:rPr>
              <w:t>7 106 554</w:t>
            </w:r>
          </w:p>
        </w:tc>
      </w:tr>
      <w:tr w:rsidR="001C4C07" w:rsidRPr="001B05C8" w:rsidTr="00F70D86">
        <w:tc>
          <w:tcPr>
            <w:tcW w:w="2835" w:type="dxa"/>
            <w:vAlign w:val="bottom"/>
            <w:hideMark/>
          </w:tcPr>
          <w:p w:rsidR="001C4C07" w:rsidRPr="001B05C8" w:rsidRDefault="001C4C07" w:rsidP="001C4C07">
            <w:pPr>
              <w:spacing w:after="60"/>
              <w:rPr>
                <w:sz w:val="18"/>
                <w:szCs w:val="18"/>
              </w:rPr>
            </w:pPr>
            <w:r w:rsidRPr="001B05C8">
              <w:rPr>
                <w:sz w:val="18"/>
                <w:szCs w:val="18"/>
              </w:rPr>
              <w:t>Grants</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146 330 055</w:t>
            </w:r>
          </w:p>
        </w:tc>
      </w:tr>
      <w:tr w:rsidR="001C4C07" w:rsidRPr="001B05C8" w:rsidTr="00F70D86">
        <w:tc>
          <w:tcPr>
            <w:tcW w:w="2835" w:type="dxa"/>
            <w:vAlign w:val="bottom"/>
          </w:tcPr>
          <w:p w:rsidR="001C4C07" w:rsidRPr="001B05C8" w:rsidRDefault="001C4C07" w:rsidP="001C4C07">
            <w:pPr>
              <w:spacing w:after="60"/>
              <w:rPr>
                <w:sz w:val="18"/>
                <w:szCs w:val="18"/>
              </w:rPr>
            </w:pPr>
            <w:r w:rsidRPr="001B05C8">
              <w:rPr>
                <w:sz w:val="18"/>
                <w:szCs w:val="18"/>
              </w:rPr>
              <w:t>Cash Contribution to NDIA</w:t>
            </w:r>
          </w:p>
        </w:tc>
        <w:tc>
          <w:tcPr>
            <w:tcW w:w="5211" w:type="dxa"/>
            <w:vAlign w:val="center"/>
          </w:tcPr>
          <w:p w:rsidR="001C4C07" w:rsidRPr="001B05C8" w:rsidRDefault="001C4C07" w:rsidP="001C4C07">
            <w:pPr>
              <w:spacing w:after="60"/>
              <w:jc w:val="right"/>
              <w:rPr>
                <w:sz w:val="18"/>
                <w:szCs w:val="18"/>
              </w:rPr>
            </w:pPr>
          </w:p>
        </w:tc>
        <w:tc>
          <w:tcPr>
            <w:tcW w:w="1560" w:type="dxa"/>
            <w:vAlign w:val="center"/>
          </w:tcPr>
          <w:p w:rsidR="001C4C07" w:rsidRPr="001B05C8" w:rsidRDefault="001C4C07" w:rsidP="001C4C07">
            <w:pPr>
              <w:spacing w:after="60"/>
              <w:jc w:val="right"/>
              <w:rPr>
                <w:sz w:val="18"/>
                <w:szCs w:val="18"/>
              </w:rPr>
            </w:pPr>
            <w:r w:rsidRPr="001B05C8">
              <w:rPr>
                <w:sz w:val="18"/>
                <w:szCs w:val="18"/>
              </w:rPr>
              <w:t>9 790 000</w:t>
            </w:r>
          </w:p>
        </w:tc>
      </w:tr>
      <w:tr w:rsidR="001C4C07" w:rsidRPr="001B05C8" w:rsidTr="00F70D86">
        <w:tc>
          <w:tcPr>
            <w:tcW w:w="2835" w:type="dxa"/>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vAlign w:val="center"/>
          </w:tcPr>
          <w:p w:rsidR="001C4C07" w:rsidRPr="001B05C8" w:rsidRDefault="001C4C07" w:rsidP="001C4C07">
            <w:pPr>
              <w:spacing w:after="60"/>
              <w:jc w:val="right"/>
              <w:rPr>
                <w:b/>
                <w:sz w:val="18"/>
                <w:szCs w:val="18"/>
              </w:rPr>
            </w:pPr>
          </w:p>
        </w:tc>
        <w:tc>
          <w:tcPr>
            <w:tcW w:w="1560" w:type="dxa"/>
            <w:vAlign w:val="center"/>
          </w:tcPr>
          <w:p w:rsidR="001C4C07" w:rsidRPr="001B05C8" w:rsidRDefault="001C4C07" w:rsidP="001C4C07">
            <w:pPr>
              <w:spacing w:after="60"/>
              <w:jc w:val="right"/>
              <w:rPr>
                <w:b/>
                <w:sz w:val="18"/>
                <w:szCs w:val="18"/>
              </w:rPr>
            </w:pPr>
            <w:r w:rsidRPr="001B05C8">
              <w:rPr>
                <w:b/>
                <w:sz w:val="18"/>
                <w:szCs w:val="18"/>
              </w:rPr>
              <w:t>163 226 608</w:t>
            </w:r>
          </w:p>
        </w:tc>
      </w:tr>
    </w:tbl>
    <w:p w:rsidR="001C4C07" w:rsidRPr="001B05C8" w:rsidRDefault="001C4C07" w:rsidP="00B504A4">
      <w:pPr>
        <w:spacing w:afterLines="60" w:after="144"/>
        <w:rPr>
          <w:sz w:val="18"/>
          <w:szCs w:val="18"/>
        </w:rPr>
      </w:pPr>
    </w:p>
    <w:tbl>
      <w:tblPr>
        <w:tblW w:w="9606" w:type="dxa"/>
        <w:tblBorders>
          <w:top w:val="single" w:sz="2" w:space="0" w:color="auto"/>
          <w:bottom w:val="single" w:sz="2" w:space="0" w:color="auto"/>
          <w:insideH w:val="single" w:sz="4" w:space="0" w:color="808080" w:themeColor="background1" w:themeShade="80"/>
        </w:tblBorders>
        <w:tblLook w:val="04A0" w:firstRow="1" w:lastRow="0" w:firstColumn="1" w:lastColumn="0" w:noHBand="0" w:noVBand="1"/>
      </w:tblPr>
      <w:tblGrid>
        <w:gridCol w:w="2835"/>
        <w:gridCol w:w="5211"/>
        <w:gridCol w:w="1560"/>
      </w:tblGrid>
      <w:tr w:rsidR="001C4C07" w:rsidRPr="001B05C8" w:rsidTr="00F70D86">
        <w:tc>
          <w:tcPr>
            <w:tcW w:w="9606" w:type="dxa"/>
            <w:gridSpan w:val="3"/>
            <w:tcBorders>
              <w:top w:val="single" w:sz="4" w:space="0" w:color="808080" w:themeColor="background1" w:themeShade="80"/>
              <w:bottom w:val="nil"/>
            </w:tcBorders>
            <w:shd w:val="clear" w:color="auto" w:fill="auto"/>
            <w:hideMark/>
          </w:tcPr>
          <w:p w:rsidR="00414E8B" w:rsidRDefault="001C4C07" w:rsidP="004E453D">
            <w:pPr>
              <w:spacing w:afterLines="60" w:after="144"/>
              <w:rPr>
                <w:b/>
                <w:sz w:val="18"/>
                <w:szCs w:val="18"/>
              </w:rPr>
            </w:pPr>
            <w:r w:rsidRPr="001B05C8">
              <w:rPr>
                <w:b/>
                <w:sz w:val="18"/>
                <w:szCs w:val="18"/>
              </w:rPr>
              <w:t>Note 2</w:t>
            </w:r>
          </w:p>
          <w:p w:rsidR="001C4C07" w:rsidRPr="00043E2F" w:rsidRDefault="001C4C07" w:rsidP="00043E2F">
            <w:pPr>
              <w:spacing w:after="60"/>
              <w:rPr>
                <w:b/>
              </w:rPr>
            </w:pPr>
            <w:r w:rsidRPr="00043E2F">
              <w:rPr>
                <w:b/>
                <w:sz w:val="18"/>
              </w:rPr>
              <w:t>2013-14 Distribution of Grants Breakdown</w:t>
            </w:r>
          </w:p>
        </w:tc>
      </w:tr>
      <w:tr w:rsidR="001C4C07" w:rsidRPr="001B05C8" w:rsidTr="00F70D86">
        <w:tc>
          <w:tcPr>
            <w:tcW w:w="8046" w:type="dxa"/>
            <w:gridSpan w:val="2"/>
            <w:tcBorders>
              <w:top w:val="nil"/>
            </w:tcBorders>
            <w:vAlign w:val="bottom"/>
            <w:hideMark/>
          </w:tcPr>
          <w:p w:rsidR="001C4C07" w:rsidRPr="001B05C8" w:rsidRDefault="001C4C07" w:rsidP="001C4C07">
            <w:pPr>
              <w:spacing w:after="60"/>
              <w:rPr>
                <w:sz w:val="18"/>
                <w:szCs w:val="18"/>
              </w:rPr>
            </w:pPr>
            <w:r w:rsidRPr="001B05C8">
              <w:rPr>
                <w:sz w:val="18"/>
                <w:szCs w:val="18"/>
              </w:rPr>
              <w:t xml:space="preserve">Distributed to specialist disability services </w:t>
            </w:r>
          </w:p>
        </w:tc>
        <w:tc>
          <w:tcPr>
            <w:tcW w:w="1560" w:type="dxa"/>
            <w:tcBorders>
              <w:top w:val="nil"/>
            </w:tcBorders>
            <w:vAlign w:val="center"/>
          </w:tcPr>
          <w:p w:rsidR="001C4C07" w:rsidRPr="001B05C8" w:rsidRDefault="001C4C07" w:rsidP="00B504A4">
            <w:pPr>
              <w:spacing w:afterLines="60" w:after="144"/>
              <w:jc w:val="right"/>
              <w:rPr>
                <w:sz w:val="18"/>
                <w:szCs w:val="18"/>
              </w:rPr>
            </w:pPr>
            <w:r w:rsidRPr="001B05C8">
              <w:rPr>
                <w:sz w:val="18"/>
                <w:szCs w:val="18"/>
              </w:rPr>
              <w:t>162 439 613</w:t>
            </w:r>
          </w:p>
        </w:tc>
      </w:tr>
      <w:tr w:rsidR="001C4C07" w:rsidRPr="001B05C8" w:rsidTr="00F70D86">
        <w:tc>
          <w:tcPr>
            <w:tcW w:w="8046" w:type="dxa"/>
            <w:gridSpan w:val="2"/>
            <w:vAlign w:val="bottom"/>
            <w:hideMark/>
          </w:tcPr>
          <w:p w:rsidR="001C4C07" w:rsidRPr="001B05C8" w:rsidRDefault="001C4C07" w:rsidP="001C4C07">
            <w:pPr>
              <w:spacing w:after="60"/>
              <w:rPr>
                <w:sz w:val="18"/>
                <w:szCs w:val="18"/>
              </w:rPr>
            </w:pPr>
            <w:r w:rsidRPr="001B05C8">
              <w:rPr>
                <w:sz w:val="18"/>
                <w:szCs w:val="18"/>
              </w:rPr>
              <w:t xml:space="preserve">Distributed to research and development activities </w:t>
            </w:r>
          </w:p>
        </w:tc>
        <w:tc>
          <w:tcPr>
            <w:tcW w:w="1560" w:type="dxa"/>
            <w:vAlign w:val="center"/>
          </w:tcPr>
          <w:p w:rsidR="001C4C07" w:rsidRPr="001B05C8" w:rsidRDefault="001C4C07" w:rsidP="00B504A4">
            <w:pPr>
              <w:spacing w:afterLines="60" w:after="144"/>
              <w:jc w:val="right"/>
              <w:rPr>
                <w:sz w:val="18"/>
                <w:szCs w:val="18"/>
              </w:rPr>
            </w:pPr>
            <w:r w:rsidRPr="001B05C8">
              <w:rPr>
                <w:sz w:val="18"/>
                <w:szCs w:val="18"/>
              </w:rPr>
              <w:t>0</w:t>
            </w:r>
          </w:p>
        </w:tc>
      </w:tr>
      <w:tr w:rsidR="001C4C07" w:rsidRPr="001B05C8" w:rsidTr="00F70D86">
        <w:tc>
          <w:tcPr>
            <w:tcW w:w="8046" w:type="dxa"/>
            <w:gridSpan w:val="2"/>
            <w:tcBorders>
              <w:bottom w:val="single" w:sz="4" w:space="0" w:color="808080" w:themeColor="background1" w:themeShade="80"/>
            </w:tcBorders>
            <w:vAlign w:val="bottom"/>
            <w:hideMark/>
          </w:tcPr>
          <w:p w:rsidR="001C4C07" w:rsidRPr="001B05C8" w:rsidRDefault="001C4C07" w:rsidP="001C4C07">
            <w:pPr>
              <w:spacing w:after="60"/>
              <w:rPr>
                <w:sz w:val="18"/>
                <w:szCs w:val="18"/>
              </w:rPr>
            </w:pPr>
            <w:r w:rsidRPr="001B05C8">
              <w:rPr>
                <w:sz w:val="18"/>
                <w:szCs w:val="18"/>
              </w:rPr>
              <w:t>Distributed to individuals under section 14(1)(c)</w:t>
            </w:r>
          </w:p>
        </w:tc>
        <w:tc>
          <w:tcPr>
            <w:tcW w:w="1560" w:type="dxa"/>
            <w:tcBorders>
              <w:bottom w:val="single" w:sz="4" w:space="0" w:color="808080" w:themeColor="background1" w:themeShade="80"/>
            </w:tcBorders>
            <w:vAlign w:val="center"/>
          </w:tcPr>
          <w:p w:rsidR="001C4C07" w:rsidRPr="001B05C8" w:rsidRDefault="001C4C07" w:rsidP="00B504A4">
            <w:pPr>
              <w:spacing w:afterLines="60" w:after="144"/>
              <w:jc w:val="right"/>
              <w:rPr>
                <w:sz w:val="18"/>
                <w:szCs w:val="18"/>
              </w:rPr>
            </w:pPr>
            <w:r w:rsidRPr="001B05C8">
              <w:rPr>
                <w:sz w:val="18"/>
                <w:szCs w:val="18"/>
              </w:rPr>
              <w:t>786 995</w:t>
            </w:r>
          </w:p>
        </w:tc>
      </w:tr>
      <w:tr w:rsidR="001C4C07" w:rsidRPr="001B05C8" w:rsidTr="00F70D86">
        <w:tc>
          <w:tcPr>
            <w:tcW w:w="2835" w:type="dxa"/>
            <w:tcBorders>
              <w:top w:val="single" w:sz="4" w:space="0" w:color="808080" w:themeColor="background1" w:themeShade="80"/>
              <w:bottom w:val="nil"/>
            </w:tcBorders>
            <w:vAlign w:val="bottom"/>
            <w:hideMark/>
          </w:tcPr>
          <w:p w:rsidR="001C4C07" w:rsidRPr="001B05C8" w:rsidRDefault="001C4C07" w:rsidP="001C4C07">
            <w:pPr>
              <w:spacing w:after="60"/>
              <w:rPr>
                <w:b/>
                <w:sz w:val="18"/>
                <w:szCs w:val="18"/>
              </w:rPr>
            </w:pPr>
            <w:r w:rsidRPr="001B05C8">
              <w:rPr>
                <w:b/>
                <w:sz w:val="18"/>
                <w:szCs w:val="18"/>
              </w:rPr>
              <w:t>Total</w:t>
            </w:r>
          </w:p>
        </w:tc>
        <w:tc>
          <w:tcPr>
            <w:tcW w:w="5211" w:type="dxa"/>
            <w:tcBorders>
              <w:top w:val="single" w:sz="4" w:space="0" w:color="808080" w:themeColor="background1" w:themeShade="80"/>
              <w:bottom w:val="nil"/>
            </w:tcBorders>
            <w:vAlign w:val="center"/>
          </w:tcPr>
          <w:p w:rsidR="001C4C07" w:rsidRPr="001B05C8" w:rsidRDefault="001C4C07" w:rsidP="001C4C07">
            <w:pPr>
              <w:spacing w:after="60"/>
              <w:jc w:val="right"/>
              <w:rPr>
                <w:b/>
                <w:sz w:val="18"/>
                <w:szCs w:val="18"/>
              </w:rPr>
            </w:pPr>
          </w:p>
        </w:tc>
        <w:tc>
          <w:tcPr>
            <w:tcW w:w="1560" w:type="dxa"/>
            <w:tcBorders>
              <w:top w:val="single" w:sz="4" w:space="0" w:color="808080" w:themeColor="background1" w:themeShade="80"/>
              <w:bottom w:val="nil"/>
            </w:tcBorders>
            <w:vAlign w:val="center"/>
          </w:tcPr>
          <w:p w:rsidR="001C4C07" w:rsidRPr="001B05C8" w:rsidRDefault="001C4C07" w:rsidP="00B504A4">
            <w:pPr>
              <w:spacing w:afterLines="60" w:after="144"/>
              <w:jc w:val="right"/>
              <w:rPr>
                <w:b/>
                <w:sz w:val="18"/>
                <w:szCs w:val="18"/>
              </w:rPr>
            </w:pPr>
            <w:r w:rsidRPr="001B05C8">
              <w:rPr>
                <w:b/>
                <w:sz w:val="18"/>
                <w:szCs w:val="18"/>
              </w:rPr>
              <w:t>163 226 608</w:t>
            </w:r>
          </w:p>
        </w:tc>
      </w:tr>
    </w:tbl>
    <w:p w:rsidR="001C4C07" w:rsidRPr="001B05C8" w:rsidRDefault="001C4C07" w:rsidP="00B504A4">
      <w:pPr>
        <w:spacing w:afterLines="60" w:after="144"/>
        <w:rPr>
          <w:b/>
          <w:sz w:val="18"/>
          <w:szCs w:val="18"/>
        </w:rPr>
      </w:pPr>
    </w:p>
    <w:tbl>
      <w:tblPr>
        <w:tblW w:w="9606" w:type="dxa"/>
        <w:tblBorders>
          <w:top w:val="single" w:sz="2" w:space="0" w:color="auto"/>
          <w:bottom w:val="single" w:sz="2" w:space="0" w:color="auto"/>
          <w:insideH w:val="single" w:sz="2" w:space="0" w:color="auto"/>
        </w:tblBorders>
        <w:tblLook w:val="04A0" w:firstRow="1" w:lastRow="0" w:firstColumn="1" w:lastColumn="0" w:noHBand="0" w:noVBand="1"/>
      </w:tblPr>
      <w:tblGrid>
        <w:gridCol w:w="8046"/>
        <w:gridCol w:w="1560"/>
      </w:tblGrid>
      <w:tr w:rsidR="001C4C07" w:rsidRPr="001B05C8" w:rsidTr="00043E2F">
        <w:tc>
          <w:tcPr>
            <w:tcW w:w="9606" w:type="dxa"/>
            <w:gridSpan w:val="2"/>
            <w:tcBorders>
              <w:top w:val="single" w:sz="4" w:space="0" w:color="auto"/>
              <w:left w:val="nil"/>
              <w:bottom w:val="single" w:sz="4" w:space="0" w:color="auto"/>
              <w:right w:val="nil"/>
            </w:tcBorders>
            <w:shd w:val="clear" w:color="auto" w:fill="auto"/>
            <w:hideMark/>
          </w:tcPr>
          <w:p w:rsidR="001C4C07" w:rsidRPr="001B05C8" w:rsidRDefault="001C4C07" w:rsidP="004E453D">
            <w:pPr>
              <w:spacing w:after="60"/>
              <w:rPr>
                <w:b/>
                <w:sz w:val="18"/>
                <w:szCs w:val="18"/>
              </w:rPr>
            </w:pPr>
            <w:r w:rsidRPr="001B05C8">
              <w:rPr>
                <w:b/>
                <w:sz w:val="18"/>
                <w:szCs w:val="18"/>
              </w:rPr>
              <w:lastRenderedPageBreak/>
              <w:t>Note 3</w:t>
            </w:r>
          </w:p>
        </w:tc>
      </w:tr>
      <w:tr w:rsidR="001C4C07" w:rsidRPr="001B05C8" w:rsidTr="00043E2F">
        <w:tc>
          <w:tcPr>
            <w:tcW w:w="8046" w:type="dxa"/>
            <w:tcBorders>
              <w:top w:val="single" w:sz="4" w:space="0" w:color="auto"/>
              <w:left w:val="nil"/>
              <w:bottom w:val="single" w:sz="4" w:space="0" w:color="auto"/>
              <w:right w:val="nil"/>
            </w:tcBorders>
            <w:vAlign w:val="bottom"/>
            <w:hideMark/>
          </w:tcPr>
          <w:p w:rsidR="001C4C07" w:rsidRPr="001B05C8" w:rsidRDefault="001C4C07" w:rsidP="001C4C07">
            <w:pPr>
              <w:spacing w:after="60"/>
              <w:rPr>
                <w:sz w:val="18"/>
                <w:szCs w:val="18"/>
              </w:rPr>
            </w:pPr>
            <w:r w:rsidRPr="001B05C8">
              <w:rPr>
                <w:sz w:val="18"/>
                <w:szCs w:val="18"/>
              </w:rPr>
              <w:t>2</w:t>
            </w:r>
            <w:r w:rsidR="00731587">
              <w:rPr>
                <w:sz w:val="18"/>
                <w:szCs w:val="18"/>
              </w:rPr>
              <w:t>014-15  indexation of 2.25 per cent</w:t>
            </w:r>
          </w:p>
        </w:tc>
        <w:tc>
          <w:tcPr>
            <w:tcW w:w="1560" w:type="dxa"/>
            <w:tcBorders>
              <w:top w:val="single" w:sz="4" w:space="0" w:color="auto"/>
              <w:left w:val="nil"/>
              <w:bottom w:val="single" w:sz="4" w:space="0" w:color="auto"/>
              <w:right w:val="nil"/>
            </w:tcBorders>
            <w:vAlign w:val="center"/>
            <w:hideMark/>
          </w:tcPr>
          <w:p w:rsidR="001C4C07" w:rsidRPr="001B05C8" w:rsidRDefault="001C4C07" w:rsidP="00B504A4">
            <w:pPr>
              <w:spacing w:afterLines="60" w:after="144"/>
              <w:jc w:val="right"/>
              <w:rPr>
                <w:sz w:val="18"/>
                <w:szCs w:val="18"/>
              </w:rPr>
            </w:pPr>
            <w:r w:rsidRPr="001B05C8">
              <w:rPr>
                <w:sz w:val="18"/>
                <w:szCs w:val="18"/>
              </w:rPr>
              <w:t>2 758 000</w:t>
            </w:r>
          </w:p>
        </w:tc>
      </w:tr>
      <w:tr w:rsidR="001C4C07" w:rsidRPr="001B05C8" w:rsidTr="00043E2F">
        <w:tc>
          <w:tcPr>
            <w:tcW w:w="8046" w:type="dxa"/>
            <w:tcBorders>
              <w:top w:val="single" w:sz="4" w:space="0" w:color="auto"/>
              <w:left w:val="nil"/>
              <w:bottom w:val="nil"/>
              <w:right w:val="nil"/>
            </w:tcBorders>
            <w:vAlign w:val="bottom"/>
            <w:hideMark/>
          </w:tcPr>
          <w:p w:rsidR="001C4C07" w:rsidRPr="001B05C8" w:rsidRDefault="001C4C07" w:rsidP="00F70D86">
            <w:pPr>
              <w:spacing w:after="60"/>
              <w:rPr>
                <w:sz w:val="18"/>
                <w:szCs w:val="18"/>
              </w:rPr>
            </w:pPr>
            <w:r w:rsidRPr="001B05C8">
              <w:rPr>
                <w:sz w:val="18"/>
                <w:szCs w:val="18"/>
              </w:rPr>
              <w:t>Applied to Services provided by C</w:t>
            </w:r>
            <w:r w:rsidR="00731587">
              <w:rPr>
                <w:sz w:val="18"/>
                <w:szCs w:val="18"/>
              </w:rPr>
              <w:t xml:space="preserve">ommunity Sector Organisations excluding HACC </w:t>
            </w:r>
            <w:r w:rsidRPr="001B05C8">
              <w:rPr>
                <w:sz w:val="18"/>
                <w:szCs w:val="18"/>
              </w:rPr>
              <w:t>Fair Work ERO</w:t>
            </w:r>
            <w:r w:rsidR="00F70D86">
              <w:rPr>
                <w:sz w:val="18"/>
                <w:szCs w:val="18"/>
              </w:rPr>
              <w:br/>
            </w:r>
            <w:r w:rsidRPr="001B05C8">
              <w:rPr>
                <w:sz w:val="18"/>
                <w:szCs w:val="18"/>
              </w:rPr>
              <w:t xml:space="preserve">Also excludes funding transferred to NDIA  </w:t>
            </w:r>
          </w:p>
        </w:tc>
        <w:tc>
          <w:tcPr>
            <w:tcW w:w="1560" w:type="dxa"/>
            <w:tcBorders>
              <w:top w:val="nil"/>
              <w:left w:val="nil"/>
              <w:bottom w:val="nil"/>
              <w:right w:val="nil"/>
            </w:tcBorders>
            <w:vAlign w:val="center"/>
          </w:tcPr>
          <w:p w:rsidR="001C4C07" w:rsidRPr="001B05C8" w:rsidRDefault="001C4C07" w:rsidP="00B504A4">
            <w:pPr>
              <w:spacing w:afterLines="60" w:after="144"/>
              <w:rPr>
                <w:sz w:val="18"/>
                <w:szCs w:val="18"/>
              </w:rPr>
            </w:pPr>
          </w:p>
        </w:tc>
      </w:tr>
    </w:tbl>
    <w:p w:rsidR="001C4C07" w:rsidRPr="001B05C8" w:rsidRDefault="001C4C07" w:rsidP="00B504A4">
      <w:pPr>
        <w:spacing w:afterLines="60" w:after="144"/>
        <w:rPr>
          <w:b/>
          <w:sz w:val="18"/>
          <w:szCs w:val="18"/>
        </w:rPr>
      </w:pPr>
    </w:p>
    <w:tbl>
      <w:tblPr>
        <w:tblW w:w="9747" w:type="dxa"/>
        <w:tblBorders>
          <w:top w:val="single" w:sz="4" w:space="0" w:color="auto"/>
          <w:bottom w:val="single" w:sz="4" w:space="0" w:color="auto"/>
          <w:insideH w:val="single" w:sz="4" w:space="0" w:color="auto"/>
        </w:tblBorders>
        <w:tblLook w:val="04A0" w:firstRow="1" w:lastRow="0" w:firstColumn="1" w:lastColumn="0" w:noHBand="0" w:noVBand="1"/>
      </w:tblPr>
      <w:tblGrid>
        <w:gridCol w:w="7756"/>
        <w:gridCol w:w="1991"/>
      </w:tblGrid>
      <w:tr w:rsidR="001C4C07" w:rsidRPr="001B05C8" w:rsidTr="00F70D86">
        <w:tc>
          <w:tcPr>
            <w:tcW w:w="9747" w:type="dxa"/>
            <w:gridSpan w:val="2"/>
            <w:tcBorders>
              <w:top w:val="single" w:sz="4" w:space="0" w:color="auto"/>
              <w:left w:val="nil"/>
              <w:bottom w:val="nil"/>
              <w:right w:val="nil"/>
            </w:tcBorders>
            <w:shd w:val="clear" w:color="auto" w:fill="auto"/>
            <w:hideMark/>
          </w:tcPr>
          <w:p w:rsidR="001C4C07" w:rsidRPr="001B05C8" w:rsidRDefault="001C4C07" w:rsidP="004E453D">
            <w:pPr>
              <w:spacing w:afterLines="60" w:after="144"/>
              <w:rPr>
                <w:b/>
                <w:sz w:val="18"/>
                <w:szCs w:val="18"/>
              </w:rPr>
            </w:pPr>
            <w:r w:rsidRPr="001B05C8">
              <w:rPr>
                <w:b/>
                <w:sz w:val="18"/>
                <w:szCs w:val="18"/>
              </w:rPr>
              <w:t>Note 4</w:t>
            </w:r>
          </w:p>
          <w:p w:rsidR="001C4C07" w:rsidRPr="00043E2F" w:rsidRDefault="001C4C07" w:rsidP="004E453D">
            <w:pPr>
              <w:spacing w:afterLines="60" w:after="144"/>
              <w:rPr>
                <w:b/>
                <w:sz w:val="18"/>
                <w:szCs w:val="18"/>
              </w:rPr>
            </w:pPr>
            <w:r w:rsidRPr="00043E2F">
              <w:rPr>
                <w:b/>
                <w:sz w:val="18"/>
                <w:szCs w:val="18"/>
              </w:rPr>
              <w:t>2014-15 – Disability – Disability carer support</w:t>
            </w:r>
            <w:r w:rsidR="00F70D86" w:rsidRPr="00043E2F">
              <w:rPr>
                <w:b/>
                <w:sz w:val="18"/>
                <w:szCs w:val="18"/>
              </w:rPr>
              <w:t xml:space="preserve">; </w:t>
            </w:r>
            <w:r w:rsidRPr="00043E2F">
              <w:rPr>
                <w:b/>
                <w:sz w:val="18"/>
                <w:szCs w:val="18"/>
              </w:rPr>
              <w:t>respite</w:t>
            </w:r>
            <w:r w:rsidR="00F70D86" w:rsidRPr="00043E2F">
              <w:rPr>
                <w:b/>
                <w:sz w:val="18"/>
                <w:szCs w:val="18"/>
              </w:rPr>
              <w:t>;</w:t>
            </w:r>
            <w:r w:rsidRPr="00043E2F">
              <w:rPr>
                <w:b/>
                <w:sz w:val="18"/>
                <w:szCs w:val="18"/>
              </w:rPr>
              <w:t xml:space="preserve"> accommodation support</w:t>
            </w:r>
            <w:r w:rsidR="00F70D86" w:rsidRPr="00043E2F">
              <w:rPr>
                <w:b/>
                <w:sz w:val="18"/>
                <w:szCs w:val="18"/>
              </w:rPr>
              <w:t>;</w:t>
            </w:r>
            <w:r w:rsidRPr="00043E2F">
              <w:rPr>
                <w:b/>
                <w:sz w:val="18"/>
                <w:szCs w:val="18"/>
              </w:rPr>
              <w:t xml:space="preserve"> information</w:t>
            </w:r>
            <w:r w:rsidR="00F70D86" w:rsidRPr="00043E2F">
              <w:rPr>
                <w:b/>
                <w:sz w:val="18"/>
                <w:szCs w:val="18"/>
              </w:rPr>
              <w:t xml:space="preserve">; </w:t>
            </w:r>
            <w:r w:rsidRPr="00043E2F">
              <w:rPr>
                <w:b/>
                <w:sz w:val="18"/>
                <w:szCs w:val="18"/>
              </w:rPr>
              <w:t>advocacy</w:t>
            </w:r>
            <w:r w:rsidR="00F70D86" w:rsidRPr="00043E2F">
              <w:rPr>
                <w:b/>
                <w:sz w:val="18"/>
                <w:szCs w:val="18"/>
              </w:rPr>
              <w:t xml:space="preserve">; </w:t>
            </w:r>
            <w:r w:rsidRPr="00043E2F">
              <w:rPr>
                <w:b/>
                <w:sz w:val="18"/>
                <w:szCs w:val="18"/>
              </w:rPr>
              <w:t>education</w:t>
            </w:r>
            <w:r w:rsidR="00F70D86" w:rsidRPr="00043E2F">
              <w:rPr>
                <w:b/>
                <w:sz w:val="18"/>
                <w:szCs w:val="18"/>
              </w:rPr>
              <w:t xml:space="preserve">; </w:t>
            </w:r>
            <w:r w:rsidRPr="00043E2F">
              <w:rPr>
                <w:b/>
                <w:sz w:val="18"/>
                <w:szCs w:val="18"/>
              </w:rPr>
              <w:t>day support</w:t>
            </w:r>
            <w:r w:rsidR="00F70D86" w:rsidRPr="00043E2F">
              <w:rPr>
                <w:b/>
                <w:sz w:val="18"/>
                <w:szCs w:val="18"/>
              </w:rPr>
              <w:t>;</w:t>
            </w:r>
            <w:r w:rsidRPr="00043E2F">
              <w:rPr>
                <w:b/>
                <w:sz w:val="18"/>
                <w:szCs w:val="18"/>
              </w:rPr>
              <w:t xml:space="preserve"> specialist equipment</w:t>
            </w:r>
            <w:r w:rsidR="00F70D86" w:rsidRPr="00043E2F">
              <w:rPr>
                <w:b/>
                <w:sz w:val="18"/>
                <w:szCs w:val="18"/>
              </w:rPr>
              <w:t>;</w:t>
            </w:r>
            <w:r w:rsidRPr="00043E2F">
              <w:rPr>
                <w:b/>
                <w:sz w:val="18"/>
                <w:szCs w:val="18"/>
              </w:rPr>
              <w:t xml:space="preserve"> personal care and other individual support services</w:t>
            </w:r>
            <w:r w:rsidR="00F70D86" w:rsidRPr="00043E2F">
              <w:rPr>
                <w:b/>
                <w:sz w:val="18"/>
                <w:szCs w:val="18"/>
              </w:rPr>
              <w:t>;</w:t>
            </w:r>
            <w:r w:rsidRPr="00043E2F">
              <w:rPr>
                <w:b/>
                <w:sz w:val="18"/>
                <w:szCs w:val="18"/>
              </w:rPr>
              <w:t xml:space="preserve"> also includes intensive support services</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nil"/>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A.Q.A Victoria Ltd</w:t>
            </w:r>
          </w:p>
        </w:tc>
        <w:tc>
          <w:tcPr>
            <w:tcW w:w="1991" w:type="dxa"/>
            <w:tcBorders>
              <w:top w:val="nil"/>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17 221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Ability Tasmania Group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736 992</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Able Australia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12 886 868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Advocacy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272 260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Anglicare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8 176 429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Association for Children with Disability (TAS)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290 915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Autism Tasmania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225 213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Baptcare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2 999 419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Better Hearing Australia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5 443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Brain Injury Association of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80 056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Coastal Residential Service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2 324 325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Connors  Rosemary</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25 793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D.G. Lewis Pty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288 015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Devonfield</w:t>
            </w:r>
            <w:proofErr w:type="spellEnd"/>
            <w:r w:rsidRPr="001B05C8">
              <w:rPr>
                <w:sz w:val="18"/>
                <w:szCs w:val="18"/>
              </w:rPr>
              <w:t xml:space="preserve"> Enterprises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5 118 405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Epilepsy Association of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168 729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Eskleigh</w:t>
            </w:r>
            <w:proofErr w:type="spellEnd"/>
            <w:r w:rsidRPr="001B05C8">
              <w:rPr>
                <w:sz w:val="18"/>
                <w:szCs w:val="18"/>
              </w:rPr>
              <w:t xml:space="preserve"> Foundation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5 664 670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GC Services Incorporated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356 637</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Giant Steps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66 228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Gog Range Retreat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261 308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Headway North West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101 404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Headway Support Services</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777 443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Hobart City Mission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2 066 260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HOPES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103 721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Independent Living Centre Tas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453 099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integratedliving</w:t>
            </w:r>
            <w:proofErr w:type="spellEnd"/>
            <w:r w:rsidRPr="001B05C8">
              <w:rPr>
                <w:sz w:val="18"/>
                <w:szCs w:val="18"/>
              </w:rPr>
              <w:t xml:space="preserve"> Australia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278 914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Jamieson  Barbara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13 003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Langford Support Services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3 086 442</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L'Arche</w:t>
            </w:r>
            <w:proofErr w:type="spellEnd"/>
            <w:r w:rsidRPr="001B05C8">
              <w:rPr>
                <w:sz w:val="18"/>
                <w:szCs w:val="18"/>
              </w:rPr>
              <w:t xml:space="preserve"> Beni-Abbes Community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1 179 273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Launceston Student Workshop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102 024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lastRenderedPageBreak/>
              <w:t>Life Without Barriers</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4 199 997</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Lifestyle Solutions (</w:t>
            </w:r>
            <w:proofErr w:type="spellStart"/>
            <w:r w:rsidRPr="001B05C8">
              <w:rPr>
                <w:sz w:val="18"/>
                <w:szCs w:val="18"/>
              </w:rPr>
              <w:t>Aust</w:t>
            </w:r>
            <w:proofErr w:type="spellEnd"/>
            <w:r w:rsidRPr="001B05C8">
              <w:rPr>
                <w:sz w:val="18"/>
                <w:szCs w:val="18"/>
              </w:rPr>
              <w:t>)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622 738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Liviende Incorporated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4 720 440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McMillan (Tas) Pty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246 657</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Mission Australia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2 675 953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Montagu Community Living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2 122 606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Multicap</w:t>
            </w:r>
            <w:proofErr w:type="spellEnd"/>
            <w:r w:rsidRPr="001B05C8">
              <w:rPr>
                <w:sz w:val="18"/>
                <w:szCs w:val="18"/>
              </w:rPr>
              <w:t xml:space="preserve">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5 999 173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National Disability Services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50 321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New Horizons Club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102 148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Nexus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5 634 049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North West Residential Support Services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6 534 870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NOSS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1 038 835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Oak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2 504 709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Optia</w:t>
            </w:r>
            <w:proofErr w:type="spellEnd"/>
            <w:r w:rsidRPr="001B05C8">
              <w:rPr>
                <w:sz w:val="18"/>
                <w:szCs w:val="18"/>
              </w:rPr>
              <w:t xml:space="preserve"> Incorporated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12 311 187</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Paraquad</w:t>
            </w:r>
            <w:proofErr w:type="spellEnd"/>
            <w:r w:rsidRPr="001B05C8">
              <w:rPr>
                <w:sz w:val="18"/>
                <w:szCs w:val="18"/>
              </w:rPr>
              <w:t xml:space="preserve"> Association of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26 156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Plane Tree Studio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66 068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Riding for the Disabled Association Tasmania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5 168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Royal Guide Dogs for the Blind Association of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410 174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RPH Print Radio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75 901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Speak Out Association of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260 516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Spina Bifida Association of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1 458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St Giles Society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10 051 532</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St Michaels Association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2 407 616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St Vincent De Paul Society (Tasmania)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77 178</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Supported Tenancy Accommodation and Respite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11 573 934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 xml:space="preserve">Susan </w:t>
            </w:r>
            <w:proofErr w:type="spellStart"/>
            <w:r w:rsidRPr="001B05C8">
              <w:rPr>
                <w:sz w:val="18"/>
                <w:szCs w:val="18"/>
              </w:rPr>
              <w:t>Kitchenham</w:t>
            </w:r>
            <w:proofErr w:type="spellEnd"/>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25 793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TADTAS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38 061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 Independent Nursing Pty Ltd</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247 644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Tasmanian Acquired Brain Injury Services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263 850</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Tasmanian Amputee Society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3 679</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Tasmanian Association of People with Disabilities and Their Advocates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727 487</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Tasmanian Deaf Society</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381 782</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Tasmanians with Disabilities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56 814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The Multiple Sclerosis Society of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478 201</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The Parkside Foundation</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2 080 594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 xml:space="preserve">The </w:t>
            </w:r>
            <w:proofErr w:type="spellStart"/>
            <w:r w:rsidRPr="001B05C8">
              <w:rPr>
                <w:sz w:val="18"/>
                <w:szCs w:val="18"/>
              </w:rPr>
              <w:t>Sunlea</w:t>
            </w:r>
            <w:proofErr w:type="spellEnd"/>
            <w:r w:rsidRPr="001B05C8">
              <w:rPr>
                <w:sz w:val="18"/>
                <w:szCs w:val="18"/>
              </w:rPr>
              <w:t xml:space="preserve"> Team Inc.</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672 785</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UCA Crossroads Tasmania</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3 343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lastRenderedPageBreak/>
              <w:t>Veranto</w:t>
            </w:r>
            <w:proofErr w:type="spellEnd"/>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8 027 323</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r w:rsidRPr="001B05C8">
              <w:rPr>
                <w:sz w:val="18"/>
                <w:szCs w:val="18"/>
              </w:rPr>
              <w:t>Voluntary Community Service - Visually Impaired Library</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4 536</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single" w:sz="4" w:space="0" w:color="808080" w:themeColor="background1" w:themeShade="80"/>
              <w:right w:val="nil"/>
            </w:tcBorders>
            <w:shd w:val="clear" w:color="auto" w:fill="auto"/>
            <w:noWrap/>
            <w:vAlign w:val="bottom"/>
          </w:tcPr>
          <w:p w:rsidR="001C4C07" w:rsidRPr="001B05C8" w:rsidRDefault="001C4C07" w:rsidP="001C4C07">
            <w:pPr>
              <w:spacing w:after="60"/>
              <w:rPr>
                <w:sz w:val="18"/>
                <w:szCs w:val="18"/>
              </w:rPr>
            </w:pPr>
            <w:proofErr w:type="spellStart"/>
            <w:r w:rsidRPr="001B05C8">
              <w:rPr>
                <w:sz w:val="18"/>
                <w:szCs w:val="18"/>
              </w:rPr>
              <w:t>Wyndarra</w:t>
            </w:r>
            <w:proofErr w:type="spellEnd"/>
            <w:r w:rsidRPr="001B05C8">
              <w:rPr>
                <w:sz w:val="18"/>
                <w:szCs w:val="18"/>
              </w:rPr>
              <w:t xml:space="preserve"> Centre Inc</w:t>
            </w:r>
            <w:r w:rsidR="00F70D86">
              <w:rPr>
                <w:sz w:val="18"/>
                <w:szCs w:val="18"/>
              </w:rPr>
              <w:t>.</w:t>
            </w:r>
          </w:p>
        </w:tc>
        <w:tc>
          <w:tcPr>
            <w:tcW w:w="1991" w:type="dxa"/>
            <w:tcBorders>
              <w:top w:val="single" w:sz="4" w:space="0" w:color="808080" w:themeColor="background1" w:themeShade="80"/>
              <w:left w:val="nil"/>
              <w:bottom w:val="single" w:sz="4" w:space="0" w:color="808080" w:themeColor="background1" w:themeShade="80"/>
            </w:tcBorders>
            <w:shd w:val="clear" w:color="auto" w:fill="auto"/>
            <w:noWrap/>
            <w:vAlign w:val="bottom"/>
          </w:tcPr>
          <w:p w:rsidR="001C4C07" w:rsidRPr="001B05C8" w:rsidRDefault="001C4C07" w:rsidP="001C4C07">
            <w:pPr>
              <w:spacing w:after="60"/>
              <w:jc w:val="right"/>
              <w:rPr>
                <w:sz w:val="18"/>
                <w:szCs w:val="18"/>
              </w:rPr>
            </w:pPr>
            <w:r w:rsidRPr="001B05C8">
              <w:rPr>
                <w:sz w:val="18"/>
                <w:szCs w:val="18"/>
              </w:rPr>
              <w:t>40 594</w:t>
            </w:r>
          </w:p>
        </w:tc>
      </w:tr>
      <w:tr w:rsidR="001C4C07" w:rsidRPr="001B05C8" w:rsidTr="00F70D86">
        <w:tblPrEx>
          <w:tblBorders>
            <w:top w:val="single" w:sz="4" w:space="0" w:color="808080"/>
            <w:bottom w:val="single" w:sz="4" w:space="0" w:color="808080"/>
            <w:insideH w:val="single" w:sz="4" w:space="0" w:color="808080"/>
          </w:tblBorders>
        </w:tblPrEx>
        <w:trPr>
          <w:trHeight w:val="315"/>
        </w:trPr>
        <w:tc>
          <w:tcPr>
            <w:tcW w:w="7756" w:type="dxa"/>
            <w:tcBorders>
              <w:top w:val="single" w:sz="4" w:space="0" w:color="808080" w:themeColor="background1" w:themeShade="80"/>
              <w:bottom w:val="nil"/>
            </w:tcBorders>
            <w:shd w:val="clear" w:color="auto" w:fill="auto"/>
            <w:noWrap/>
            <w:vAlign w:val="bottom"/>
            <w:hideMark/>
          </w:tcPr>
          <w:p w:rsidR="001C4C07" w:rsidRPr="001B05C8" w:rsidRDefault="001C4C07" w:rsidP="001C4C07">
            <w:pPr>
              <w:spacing w:after="60"/>
              <w:rPr>
                <w:b/>
                <w:bCs/>
                <w:sz w:val="18"/>
                <w:szCs w:val="18"/>
              </w:rPr>
            </w:pPr>
            <w:r w:rsidRPr="001B05C8">
              <w:rPr>
                <w:b/>
                <w:bCs/>
                <w:sz w:val="18"/>
                <w:szCs w:val="18"/>
              </w:rPr>
              <w:t>Sub Total</w:t>
            </w:r>
          </w:p>
        </w:tc>
        <w:tc>
          <w:tcPr>
            <w:tcW w:w="1991" w:type="dxa"/>
            <w:tcBorders>
              <w:top w:val="single" w:sz="4" w:space="0" w:color="808080" w:themeColor="background1" w:themeShade="80"/>
              <w:bottom w:val="nil"/>
            </w:tcBorders>
            <w:shd w:val="clear" w:color="auto" w:fill="auto"/>
            <w:noWrap/>
            <w:vAlign w:val="bottom"/>
            <w:hideMark/>
          </w:tcPr>
          <w:p w:rsidR="001C4C07" w:rsidRPr="001B05C8" w:rsidRDefault="001C4C07" w:rsidP="001C4C07">
            <w:pPr>
              <w:spacing w:after="60"/>
              <w:jc w:val="right"/>
              <w:rPr>
                <w:b/>
                <w:bCs/>
                <w:sz w:val="18"/>
                <w:szCs w:val="18"/>
              </w:rPr>
            </w:pPr>
            <w:r w:rsidRPr="001B05C8">
              <w:rPr>
                <w:b/>
                <w:bCs/>
                <w:sz w:val="18"/>
                <w:szCs w:val="18"/>
              </w:rPr>
              <w:t>134 898 382</w:t>
            </w:r>
          </w:p>
        </w:tc>
      </w:tr>
    </w:tbl>
    <w:p w:rsidR="001C4C07" w:rsidRPr="001B05C8" w:rsidRDefault="001C4C07" w:rsidP="00B504A4">
      <w:pPr>
        <w:spacing w:afterLines="60" w:after="144"/>
        <w:rPr>
          <w:sz w:val="18"/>
          <w:szCs w:val="18"/>
        </w:rPr>
      </w:pPr>
    </w:p>
    <w:tbl>
      <w:tblPr>
        <w:tblW w:w="9747" w:type="dxa"/>
        <w:tblBorders>
          <w:insideH w:val="single" w:sz="4" w:space="0" w:color="808080" w:themeColor="background1" w:themeShade="80"/>
        </w:tblBorders>
        <w:tblLook w:val="04A0" w:firstRow="1" w:lastRow="0" w:firstColumn="1" w:lastColumn="0" w:noHBand="0" w:noVBand="1"/>
      </w:tblPr>
      <w:tblGrid>
        <w:gridCol w:w="7763"/>
        <w:gridCol w:w="1984"/>
      </w:tblGrid>
      <w:tr w:rsidR="001C4C07" w:rsidRPr="001B05C8" w:rsidTr="00F70D86">
        <w:tc>
          <w:tcPr>
            <w:tcW w:w="9747" w:type="dxa"/>
            <w:gridSpan w:val="2"/>
            <w:shd w:val="clear" w:color="auto" w:fill="auto"/>
          </w:tcPr>
          <w:p w:rsidR="001C4C07" w:rsidRPr="001B05C8" w:rsidRDefault="001C4C07" w:rsidP="00433A3C">
            <w:pPr>
              <w:spacing w:before="60" w:after="60" w:line="240" w:lineRule="auto"/>
              <w:rPr>
                <w:b/>
                <w:sz w:val="18"/>
                <w:szCs w:val="18"/>
              </w:rPr>
            </w:pPr>
            <w:r w:rsidRPr="001B05C8">
              <w:rPr>
                <w:b/>
                <w:sz w:val="18"/>
                <w:szCs w:val="18"/>
              </w:rPr>
              <w:t>Disability Services – Payments to NGOs for individual funding arrangements for disability clients</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Ability Employment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142 066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Able Australia</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19 604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Access Hardware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3 500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Access Solutions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15 127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Aidacare</w:t>
            </w:r>
            <w:proofErr w:type="spellEnd"/>
            <w:r w:rsidRPr="001B05C8">
              <w:rPr>
                <w:color w:val="000000"/>
                <w:sz w:val="18"/>
                <w:szCs w:val="18"/>
              </w:rPr>
              <w:t xml:space="preserve"> Pty Ltd</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124 392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Anglicare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1 170 694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Arc Support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687 907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Baptcare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4 264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Circular Head Aboriginal Corporation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28 957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Coastal residential service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160 969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Combined Yellow</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232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Community Based Care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757 896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 xml:space="preserve">Cosmos </w:t>
            </w:r>
            <w:proofErr w:type="spellStart"/>
            <w:r w:rsidRPr="001B05C8">
              <w:rPr>
                <w:color w:val="000000"/>
                <w:sz w:val="18"/>
                <w:szCs w:val="18"/>
              </w:rPr>
              <w:t>Inc</w:t>
            </w:r>
            <w:proofErr w:type="spellEnd"/>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106 858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Devonfield</w:t>
            </w:r>
            <w:proofErr w:type="spellEnd"/>
            <w:r w:rsidRPr="001B05C8">
              <w:rPr>
                <w:color w:val="000000"/>
                <w:sz w:val="18"/>
                <w:szCs w:val="18"/>
              </w:rPr>
              <w:t xml:space="preserve"> Enterprises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229 202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Disability Community Care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19 745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Disability Services Queensland</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89 942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Eskleigh</w:t>
            </w:r>
            <w:proofErr w:type="spellEnd"/>
            <w:r w:rsidRPr="001B05C8">
              <w:rPr>
                <w:color w:val="000000"/>
                <w:sz w:val="18"/>
                <w:szCs w:val="18"/>
              </w:rPr>
              <w:t xml:space="preserve"> Foundation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355 669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Family Based Care North</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1 107 412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Family Based Care North West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788 489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FBC Tasmania Integrated Living</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12 067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Freedom Motors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2 458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GC Services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41 396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Glenhaven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42 422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Headway Support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370 586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Hobart City Mission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218 171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Hobart District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7 206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Independent Healthcare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2 185 365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Island Care Tas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3 280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Langford Support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339 836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L'arche</w:t>
            </w:r>
            <w:proofErr w:type="spellEnd"/>
            <w:r w:rsidRPr="001B05C8">
              <w:rPr>
                <w:color w:val="000000"/>
                <w:sz w:val="18"/>
                <w:szCs w:val="18"/>
              </w:rPr>
              <w:t xml:space="preserve"> Beni Abbes Community Support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82 185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Liberator Pty Ltd</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6 359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Life Without Barriers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140 691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Lifestyle Solutions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108 618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Medifab</w:t>
            </w:r>
            <w:proofErr w:type="spellEnd"/>
            <w:r w:rsidRPr="001B05C8">
              <w:rPr>
                <w:color w:val="000000"/>
                <w:sz w:val="18"/>
                <w:szCs w:val="18"/>
              </w:rPr>
              <w:t xml:space="preserve"> Medical</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4 040 </w:t>
            </w:r>
          </w:p>
        </w:tc>
      </w:tr>
      <w:tr w:rsidR="001C4C07" w:rsidRPr="001B05C8" w:rsidTr="00F70D86">
        <w:tc>
          <w:tcPr>
            <w:tcW w:w="7763" w:type="dxa"/>
            <w:vAlign w:val="bottom"/>
            <w:hideMark/>
          </w:tcPr>
          <w:p w:rsidR="001C4C07" w:rsidRPr="001B05C8" w:rsidRDefault="00556180" w:rsidP="00433A3C">
            <w:pPr>
              <w:spacing w:before="60" w:after="60" w:line="240" w:lineRule="auto"/>
              <w:rPr>
                <w:sz w:val="18"/>
                <w:szCs w:val="18"/>
              </w:rPr>
            </w:pPr>
            <w:r w:rsidRPr="001B05C8">
              <w:rPr>
                <w:color w:val="000000"/>
                <w:sz w:val="18"/>
                <w:szCs w:val="18"/>
              </w:rPr>
              <w:lastRenderedPageBreak/>
              <w:t>Mersey L</w:t>
            </w:r>
            <w:r w:rsidR="001C4C07" w:rsidRPr="001B05C8">
              <w:rPr>
                <w:color w:val="000000"/>
                <w:sz w:val="18"/>
                <w:szCs w:val="18"/>
              </w:rPr>
              <w:t>even child care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201 142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Montagu Community Living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98 950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Nextbyte</w:t>
            </w:r>
            <w:proofErr w:type="spellEnd"/>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699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Nexus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232 116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North West Residential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1 313 396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Northern Occupational Support Service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32 525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Northern Residential Support Group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184 651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Oak Tasmania</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61 742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Optia</w:t>
            </w:r>
            <w:proofErr w:type="spellEnd"/>
            <w:r w:rsidRPr="001B05C8">
              <w:rPr>
                <w:color w:val="000000"/>
                <w:sz w:val="18"/>
                <w:szCs w:val="18"/>
              </w:rPr>
              <w:t xml:space="preserve"> Inc</w:t>
            </w:r>
            <w:r w:rsidR="00F70D86">
              <w:rPr>
                <w:color w:val="000000"/>
                <w:sz w:val="18"/>
                <w:szCs w:val="18"/>
              </w:rPr>
              <w: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1 917 600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Parkside Foundation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127 489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Presbyterian care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8 518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Senior Helpers Northern Tasmania</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105 323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Society for Multiply Disabled People of Tasmania</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273 843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South Eastern Nursing and Home Care Association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66 289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St Giles Society</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658 968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St Michaels Association</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81 460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Supported Tenancy</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234 294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Tas Independent</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133 156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Tas Wheelchair</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4 139 </w:t>
            </w:r>
          </w:p>
        </w:tc>
      </w:tr>
      <w:tr w:rsidR="001C4C07" w:rsidRPr="001B05C8" w:rsidTr="00F70D86">
        <w:trPr>
          <w:trHeight w:val="60"/>
        </w:trPr>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Tasman Health</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3 876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Tasmanian Deaf Society Tas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5 936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Taxi Combined</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650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Ulverstone Taxi Services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651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Veranto</w:t>
            </w:r>
            <w:proofErr w:type="spellEnd"/>
            <w:r w:rsidRPr="001B05C8">
              <w:rPr>
                <w:color w:val="000000"/>
                <w:sz w:val="18"/>
                <w:szCs w:val="18"/>
              </w:rPr>
              <w:t xml:space="preserve"> Lifestyle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418 521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Watson Blanch Care Consultants</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21 360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r w:rsidRPr="001B05C8">
              <w:rPr>
                <w:color w:val="000000"/>
                <w:sz w:val="18"/>
                <w:szCs w:val="18"/>
              </w:rPr>
              <w:t>Westbury Community</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5 171 </w:t>
            </w:r>
          </w:p>
        </w:tc>
      </w:tr>
      <w:tr w:rsidR="001C4C07" w:rsidRPr="001B05C8" w:rsidTr="00F70D86">
        <w:tc>
          <w:tcPr>
            <w:tcW w:w="7763" w:type="dxa"/>
            <w:vAlign w:val="bottom"/>
            <w:hideMark/>
          </w:tcPr>
          <w:p w:rsidR="001C4C07" w:rsidRPr="001B05C8" w:rsidRDefault="001C4C07" w:rsidP="00433A3C">
            <w:pPr>
              <w:spacing w:before="60" w:after="60" w:line="240" w:lineRule="auto"/>
              <w:rPr>
                <w:sz w:val="18"/>
                <w:szCs w:val="18"/>
              </w:rPr>
            </w:pPr>
            <w:proofErr w:type="spellStart"/>
            <w:r w:rsidRPr="001B05C8">
              <w:rPr>
                <w:color w:val="000000"/>
                <w:sz w:val="18"/>
                <w:szCs w:val="18"/>
              </w:rPr>
              <w:t>Wyndarra</w:t>
            </w:r>
            <w:proofErr w:type="spellEnd"/>
            <w:r w:rsidRPr="001B05C8">
              <w:rPr>
                <w:color w:val="000000"/>
                <w:sz w:val="18"/>
                <w:szCs w:val="18"/>
              </w:rPr>
              <w:t xml:space="preserve"> Centre</w:t>
            </w:r>
          </w:p>
        </w:tc>
        <w:tc>
          <w:tcPr>
            <w:tcW w:w="1984" w:type="dxa"/>
            <w:vAlign w:val="bottom"/>
          </w:tcPr>
          <w:p w:rsidR="001C4C07" w:rsidRPr="001B05C8" w:rsidRDefault="001C4C07" w:rsidP="00433A3C">
            <w:pPr>
              <w:spacing w:before="60" w:after="60" w:line="240" w:lineRule="auto"/>
              <w:jc w:val="right"/>
              <w:rPr>
                <w:sz w:val="18"/>
                <w:szCs w:val="18"/>
              </w:rPr>
            </w:pPr>
            <w:r w:rsidRPr="001B05C8">
              <w:rPr>
                <w:color w:val="000000"/>
                <w:sz w:val="18"/>
                <w:szCs w:val="18"/>
              </w:rPr>
              <w:t xml:space="preserve"> 330 205 </w:t>
            </w:r>
          </w:p>
        </w:tc>
      </w:tr>
      <w:tr w:rsidR="001C4C07" w:rsidRPr="001B05C8" w:rsidTr="00F70D86">
        <w:tc>
          <w:tcPr>
            <w:tcW w:w="7763" w:type="dxa"/>
          </w:tcPr>
          <w:p w:rsidR="001C4C07" w:rsidRPr="001B05C8" w:rsidRDefault="001C4C07" w:rsidP="00433A3C">
            <w:pPr>
              <w:spacing w:before="60" w:after="60" w:line="240" w:lineRule="auto"/>
              <w:rPr>
                <w:color w:val="000000"/>
                <w:sz w:val="18"/>
                <w:szCs w:val="18"/>
              </w:rPr>
            </w:pPr>
            <w:r w:rsidRPr="001B05C8">
              <w:rPr>
                <w:color w:val="000000"/>
                <w:sz w:val="18"/>
                <w:szCs w:val="18"/>
              </w:rPr>
              <w:t>Intensive Support Services (*cannot be disaggregated by provider)</w:t>
            </w:r>
          </w:p>
        </w:tc>
        <w:tc>
          <w:tcPr>
            <w:tcW w:w="1984" w:type="dxa"/>
          </w:tcPr>
          <w:p w:rsidR="001C4C07" w:rsidRPr="001B05C8" w:rsidRDefault="001C4C07" w:rsidP="00433A3C">
            <w:pPr>
              <w:spacing w:before="60" w:after="60" w:line="240" w:lineRule="auto"/>
              <w:jc w:val="right"/>
              <w:rPr>
                <w:color w:val="000000"/>
                <w:sz w:val="18"/>
                <w:szCs w:val="18"/>
              </w:rPr>
            </w:pPr>
            <w:r w:rsidRPr="001B05C8">
              <w:rPr>
                <w:color w:val="000000"/>
                <w:sz w:val="18"/>
                <w:szCs w:val="18"/>
              </w:rPr>
              <w:t>823 328</w:t>
            </w:r>
          </w:p>
        </w:tc>
      </w:tr>
      <w:tr w:rsidR="001C4C07" w:rsidRPr="001B05C8" w:rsidTr="00F70D86">
        <w:tc>
          <w:tcPr>
            <w:tcW w:w="7763" w:type="dxa"/>
          </w:tcPr>
          <w:p w:rsidR="001C4C07" w:rsidRPr="001B05C8" w:rsidRDefault="001C4C07" w:rsidP="00433A3C">
            <w:pPr>
              <w:spacing w:before="60" w:after="60" w:line="240" w:lineRule="auto"/>
              <w:rPr>
                <w:color w:val="000000"/>
                <w:sz w:val="18"/>
                <w:szCs w:val="18"/>
              </w:rPr>
            </w:pPr>
            <w:r w:rsidRPr="001B05C8">
              <w:rPr>
                <w:color w:val="000000"/>
                <w:sz w:val="18"/>
                <w:szCs w:val="18"/>
              </w:rPr>
              <w:t>One-off support/equipment/modifications</w:t>
            </w:r>
          </w:p>
        </w:tc>
        <w:tc>
          <w:tcPr>
            <w:tcW w:w="1984" w:type="dxa"/>
          </w:tcPr>
          <w:p w:rsidR="001C4C07" w:rsidRPr="001B05C8" w:rsidRDefault="001C4C07" w:rsidP="00433A3C">
            <w:pPr>
              <w:spacing w:before="60" w:after="60" w:line="240" w:lineRule="auto"/>
              <w:jc w:val="right"/>
              <w:rPr>
                <w:color w:val="000000"/>
                <w:sz w:val="18"/>
                <w:szCs w:val="18"/>
              </w:rPr>
            </w:pPr>
            <w:r w:rsidRPr="001B05C8">
              <w:rPr>
                <w:color w:val="000000"/>
                <w:sz w:val="18"/>
                <w:szCs w:val="18"/>
              </w:rPr>
              <w:t>582 159</w:t>
            </w:r>
          </w:p>
        </w:tc>
      </w:tr>
      <w:tr w:rsidR="001C4C07" w:rsidRPr="001B05C8" w:rsidTr="00F70D86">
        <w:tc>
          <w:tcPr>
            <w:tcW w:w="7763" w:type="dxa"/>
            <w:hideMark/>
          </w:tcPr>
          <w:p w:rsidR="001C4C07" w:rsidRPr="001B05C8" w:rsidRDefault="001C4C07" w:rsidP="00433A3C">
            <w:pPr>
              <w:spacing w:before="60" w:after="60" w:line="240" w:lineRule="auto"/>
              <w:rPr>
                <w:b/>
                <w:sz w:val="18"/>
                <w:szCs w:val="18"/>
              </w:rPr>
            </w:pPr>
            <w:r w:rsidRPr="001B05C8">
              <w:rPr>
                <w:b/>
                <w:sz w:val="18"/>
                <w:szCs w:val="18"/>
              </w:rPr>
              <w:t>Sub</w:t>
            </w:r>
            <w:r w:rsidR="00E17F55">
              <w:rPr>
                <w:b/>
                <w:sz w:val="18"/>
                <w:szCs w:val="18"/>
              </w:rPr>
              <w:t xml:space="preserve"> </w:t>
            </w:r>
            <w:r w:rsidRPr="001B05C8">
              <w:rPr>
                <w:b/>
                <w:sz w:val="18"/>
                <w:szCs w:val="18"/>
              </w:rPr>
              <w:t>Total</w:t>
            </w:r>
          </w:p>
        </w:tc>
        <w:tc>
          <w:tcPr>
            <w:tcW w:w="1984" w:type="dxa"/>
          </w:tcPr>
          <w:p w:rsidR="001C4C07" w:rsidRPr="001B05C8" w:rsidRDefault="001C4C07" w:rsidP="00433A3C">
            <w:pPr>
              <w:spacing w:before="60" w:after="60" w:line="240" w:lineRule="auto"/>
              <w:jc w:val="right"/>
              <w:rPr>
                <w:b/>
                <w:sz w:val="18"/>
                <w:szCs w:val="18"/>
              </w:rPr>
            </w:pPr>
            <w:r w:rsidRPr="001B05C8">
              <w:rPr>
                <w:b/>
                <w:sz w:val="18"/>
                <w:szCs w:val="18"/>
              </w:rPr>
              <w:t>17 405 763</w:t>
            </w:r>
          </w:p>
        </w:tc>
      </w:tr>
    </w:tbl>
    <w:p w:rsidR="001C4C07" w:rsidRPr="001B05C8" w:rsidRDefault="001C4C07" w:rsidP="001C4C07">
      <w:pPr>
        <w:rPr>
          <w:sz w:val="18"/>
          <w:szCs w:val="18"/>
          <w:lang w:eastAsia="en-AU"/>
        </w:rPr>
      </w:pPr>
    </w:p>
    <w:p w:rsidR="001C4C07" w:rsidRPr="001B05C8" w:rsidRDefault="001C4C07" w:rsidP="001C4C07">
      <w:pPr>
        <w:rPr>
          <w:lang w:eastAsia="en-AU"/>
        </w:rPr>
      </w:pPr>
    </w:p>
    <w:p w:rsidR="001C4C07" w:rsidRPr="001B05C8" w:rsidRDefault="001C4C07">
      <w:pPr>
        <w:tabs>
          <w:tab w:val="clear" w:pos="567"/>
        </w:tabs>
        <w:spacing w:after="200" w:line="276" w:lineRule="auto"/>
        <w:rPr>
          <w:rFonts w:eastAsiaTheme="majorEastAsia" w:cstheme="majorBidi"/>
          <w:b/>
          <w:bCs/>
          <w:sz w:val="40"/>
          <w:szCs w:val="28"/>
        </w:rPr>
      </w:pPr>
      <w:r w:rsidRPr="001B05C8">
        <w:br w:type="page"/>
      </w:r>
    </w:p>
    <w:p w:rsidR="00B17900" w:rsidRPr="007D764A" w:rsidRDefault="00AF183F" w:rsidP="00AD70A7">
      <w:pPr>
        <w:pStyle w:val="Heading1"/>
      </w:pPr>
      <w:bookmarkStart w:id="83" w:name="_Toc430351462"/>
      <w:r w:rsidRPr="007D764A">
        <w:lastRenderedPageBreak/>
        <w:t>Council of Obstetric and Paediatric Mortality and Morbidity</w:t>
      </w:r>
      <w:bookmarkEnd w:id="83"/>
    </w:p>
    <w:p w:rsidR="00B17900" w:rsidRPr="007D764A" w:rsidRDefault="00B17900" w:rsidP="00B17900">
      <w:r w:rsidRPr="007D764A">
        <w:t>Annual Report</w:t>
      </w:r>
    </w:p>
    <w:p w:rsidR="00B17900" w:rsidRPr="007D764A" w:rsidRDefault="00AF183F" w:rsidP="00B17900">
      <w:r w:rsidRPr="007D764A">
        <w:t>For year ended 30 June 2015</w:t>
      </w:r>
    </w:p>
    <w:p w:rsidR="00B17900" w:rsidRPr="007D764A" w:rsidRDefault="00B17900" w:rsidP="00B17900">
      <w:pPr>
        <w:pBdr>
          <w:bottom w:val="single" w:sz="4" w:space="1" w:color="auto"/>
        </w:pBdr>
      </w:pPr>
    </w:p>
    <w:p w:rsidR="00B17900" w:rsidRPr="007D764A" w:rsidRDefault="00B17900" w:rsidP="00B17900">
      <w:pPr>
        <w:rPr>
          <w:b/>
        </w:rPr>
      </w:pPr>
      <w:r w:rsidRPr="007D764A">
        <w:rPr>
          <w:b/>
        </w:rPr>
        <w:t>Contents</w:t>
      </w:r>
    </w:p>
    <w:p w:rsidR="00410217" w:rsidRPr="007D764A" w:rsidRDefault="00410217" w:rsidP="00410217">
      <w:r w:rsidRPr="007D764A">
        <w:t>Establishment of the Council</w:t>
      </w:r>
    </w:p>
    <w:p w:rsidR="00410217" w:rsidRPr="007D764A" w:rsidRDefault="00410217" w:rsidP="00410217">
      <w:r w:rsidRPr="007D764A">
        <w:t>Council Role and Functions</w:t>
      </w:r>
    </w:p>
    <w:p w:rsidR="00410217" w:rsidRPr="007D764A" w:rsidRDefault="00410217" w:rsidP="00410217">
      <w:r w:rsidRPr="007D764A">
        <w:t>Council Membership</w:t>
      </w:r>
    </w:p>
    <w:p w:rsidR="00410217" w:rsidRPr="007D764A" w:rsidRDefault="00410217" w:rsidP="00410217">
      <w:r w:rsidRPr="007D764A">
        <w:t>Council Meetings</w:t>
      </w:r>
    </w:p>
    <w:p w:rsidR="00410217" w:rsidRPr="007D764A" w:rsidRDefault="00410217" w:rsidP="00410217">
      <w:r w:rsidRPr="007D764A">
        <w:t>Administration</w:t>
      </w:r>
    </w:p>
    <w:p w:rsidR="00410217" w:rsidRPr="007D764A" w:rsidRDefault="00410217" w:rsidP="00410217">
      <w:r w:rsidRPr="007D764A">
        <w:t>Representation on National Bodies</w:t>
      </w:r>
    </w:p>
    <w:p w:rsidR="00410217" w:rsidRPr="007D764A" w:rsidRDefault="00410217" w:rsidP="00410217">
      <w:r w:rsidRPr="007D764A">
        <w:t>Registration</w:t>
      </w:r>
    </w:p>
    <w:p w:rsidR="00410217" w:rsidRPr="007D764A" w:rsidRDefault="00410217" w:rsidP="00410217">
      <w:r w:rsidRPr="007D764A">
        <w:t>Review of Activities</w:t>
      </w:r>
    </w:p>
    <w:p w:rsidR="00410217" w:rsidRPr="007D764A" w:rsidRDefault="00410217" w:rsidP="00410217">
      <w:r w:rsidRPr="007D764A">
        <w:t>Data Collection and Reporting</w:t>
      </w:r>
    </w:p>
    <w:p w:rsidR="00410217" w:rsidRPr="007D764A" w:rsidRDefault="00410217" w:rsidP="00410217">
      <w:r w:rsidRPr="007D764A">
        <w:t>Financial Statements as at 30 June 2015</w:t>
      </w:r>
    </w:p>
    <w:p w:rsidR="00410217" w:rsidRPr="007D764A" w:rsidRDefault="00410217" w:rsidP="00B17900">
      <w:pPr>
        <w:rPr>
          <w:b/>
        </w:rPr>
      </w:pPr>
    </w:p>
    <w:p w:rsidR="00AF183F" w:rsidRPr="007D764A" w:rsidRDefault="00AF183F">
      <w:pPr>
        <w:tabs>
          <w:tab w:val="clear" w:pos="567"/>
        </w:tabs>
        <w:spacing w:after="200" w:line="276" w:lineRule="auto"/>
      </w:pPr>
      <w:r w:rsidRPr="007D764A">
        <w:br w:type="page"/>
      </w:r>
    </w:p>
    <w:p w:rsidR="002D198F" w:rsidRPr="001B05C8" w:rsidRDefault="002D198F" w:rsidP="002D198F">
      <w:pPr>
        <w:pStyle w:val="Heading2"/>
      </w:pPr>
      <w:r w:rsidRPr="001B05C8">
        <w:lastRenderedPageBreak/>
        <w:t xml:space="preserve">Establishment of the Council </w:t>
      </w:r>
    </w:p>
    <w:p w:rsidR="002D198F" w:rsidRPr="001B05C8" w:rsidRDefault="002D198F" w:rsidP="002D198F">
      <w:r w:rsidRPr="001B05C8">
        <w:t xml:space="preserve">The </w:t>
      </w:r>
      <w:r w:rsidRPr="001B05C8">
        <w:rPr>
          <w:i/>
        </w:rPr>
        <w:t>Obstetric and Paediatric Mortality and Morbidity</w:t>
      </w:r>
      <w:r w:rsidRPr="001B05C8">
        <w:t xml:space="preserve"> </w:t>
      </w:r>
      <w:r w:rsidRPr="001B05C8">
        <w:rPr>
          <w:i/>
        </w:rPr>
        <w:t>Act 1994</w:t>
      </w:r>
      <w:r w:rsidRPr="001B05C8">
        <w:t xml:space="preserve"> (the Act) establishes the Council of Obstetric and Paediatric Mortality and Morbidity (the Council).  The functions of the Council include the maintenance of a perinatal data collection system, investigating the circumstances surrounding maternal deaths, perinatal deaths and the deaths of children up to 17 years; and investigating and reporting on matters relating to obstetric and paediatric mortality and morbidity referred to it by the Minister </w:t>
      </w:r>
      <w:r w:rsidR="00731587">
        <w:t xml:space="preserve">for Health </w:t>
      </w:r>
      <w:r w:rsidRPr="001B05C8">
        <w:t>or Secretary</w:t>
      </w:r>
      <w:r w:rsidR="00731587">
        <w:t xml:space="preserve"> of the DHHS</w:t>
      </w:r>
      <w:r w:rsidRPr="001B05C8">
        <w:t>.</w:t>
      </w:r>
    </w:p>
    <w:p w:rsidR="002D198F" w:rsidRPr="001B05C8" w:rsidRDefault="002D198F" w:rsidP="002D198F">
      <w:r w:rsidRPr="001B05C8">
        <w:t>The Act contains very strict confidentiality provisions such that the Council and its members are precluded from providing information to other persons except in very limited circumstances.  Of note, the Act enables</w:t>
      </w:r>
      <w:r>
        <w:t xml:space="preserve"> the Council</w:t>
      </w:r>
      <w:r w:rsidRPr="001B05C8">
        <w:t>:</w:t>
      </w:r>
    </w:p>
    <w:p w:rsidR="002D198F" w:rsidRPr="001B05C8" w:rsidRDefault="002D198F" w:rsidP="002D198F">
      <w:pPr>
        <w:numPr>
          <w:ilvl w:val="0"/>
          <w:numId w:val="36"/>
        </w:numPr>
        <w:tabs>
          <w:tab w:val="clear" w:pos="567"/>
        </w:tabs>
        <w:ind w:left="567" w:hanging="567"/>
        <w:rPr>
          <w:rFonts w:cs="Arial"/>
        </w:rPr>
      </w:pPr>
      <w:r w:rsidRPr="001B05C8">
        <w:rPr>
          <w:rFonts w:cs="Arial"/>
        </w:rPr>
        <w:t>to communicate to a coroner information relevant to a coronial inquiry or possible coronial inquiry into the death of a child or woman, of its own motion or at the request of the coroner</w:t>
      </w:r>
      <w:r>
        <w:rPr>
          <w:rFonts w:cs="Arial"/>
        </w:rPr>
        <w:t>;</w:t>
      </w:r>
    </w:p>
    <w:p w:rsidR="002D198F" w:rsidRPr="001B05C8" w:rsidRDefault="002D198F" w:rsidP="002D198F">
      <w:pPr>
        <w:numPr>
          <w:ilvl w:val="0"/>
          <w:numId w:val="36"/>
        </w:numPr>
        <w:tabs>
          <w:tab w:val="clear" w:pos="567"/>
        </w:tabs>
        <w:ind w:left="567" w:hanging="567"/>
        <w:rPr>
          <w:rFonts w:cs="Arial"/>
        </w:rPr>
      </w:pPr>
      <w:r w:rsidRPr="001B05C8">
        <w:rPr>
          <w:rFonts w:cs="Arial"/>
        </w:rPr>
        <w:t>to investigate and report to the Secretary or Minister (or any other relevant Minister) on any matter relating to obstetric and paediatric mortality and morbidity of its own motion without a reference from the Secretary or Minister</w:t>
      </w:r>
      <w:r>
        <w:rPr>
          <w:rFonts w:cs="Arial"/>
        </w:rPr>
        <w:t>;</w:t>
      </w:r>
    </w:p>
    <w:p w:rsidR="002D198F" w:rsidRPr="001B05C8" w:rsidRDefault="002D198F" w:rsidP="002D198F">
      <w:pPr>
        <w:numPr>
          <w:ilvl w:val="0"/>
          <w:numId w:val="36"/>
        </w:numPr>
        <w:tabs>
          <w:tab w:val="clear" w:pos="567"/>
        </w:tabs>
        <w:ind w:left="567" w:hanging="567"/>
        <w:rPr>
          <w:rFonts w:cs="Arial"/>
        </w:rPr>
      </w:pPr>
      <w:r w:rsidRPr="001B05C8">
        <w:rPr>
          <w:rFonts w:cs="Arial"/>
        </w:rPr>
        <w:t>to communicate information regarding identified deaths or morbidities to the Secretary, a relevant Minister or a prescribed body</w:t>
      </w:r>
      <w:r>
        <w:rPr>
          <w:rFonts w:cs="Arial"/>
        </w:rPr>
        <w:t>;</w:t>
      </w:r>
    </w:p>
    <w:p w:rsidR="002D198F" w:rsidRPr="001B05C8" w:rsidRDefault="002D198F" w:rsidP="002D198F">
      <w:pPr>
        <w:numPr>
          <w:ilvl w:val="0"/>
          <w:numId w:val="36"/>
        </w:numPr>
        <w:tabs>
          <w:tab w:val="clear" w:pos="567"/>
        </w:tabs>
        <w:ind w:left="567" w:hanging="567"/>
        <w:rPr>
          <w:rFonts w:cs="Arial"/>
        </w:rPr>
      </w:pPr>
      <w:r w:rsidRPr="001B05C8">
        <w:rPr>
          <w:rFonts w:cs="Arial"/>
        </w:rPr>
        <w:t>to have the power to place a restriction upon subsequent use of any information or reports provided by the Council to a coroner, the Secretary, a Minister or a prescribed body</w:t>
      </w:r>
      <w:r>
        <w:rPr>
          <w:rFonts w:cs="Arial"/>
        </w:rPr>
        <w:t>;</w:t>
      </w:r>
    </w:p>
    <w:p w:rsidR="002D198F" w:rsidRPr="001B05C8" w:rsidRDefault="002D198F" w:rsidP="002D198F">
      <w:pPr>
        <w:numPr>
          <w:ilvl w:val="0"/>
          <w:numId w:val="36"/>
        </w:numPr>
        <w:tabs>
          <w:tab w:val="clear" w:pos="567"/>
        </w:tabs>
        <w:ind w:left="567" w:hanging="567"/>
        <w:rPr>
          <w:rFonts w:cs="Arial"/>
        </w:rPr>
      </w:pPr>
      <w:r w:rsidRPr="001B05C8">
        <w:rPr>
          <w:rFonts w:cs="Arial"/>
        </w:rPr>
        <w:t>members to communicate information that comes into their possession to the Secretary where there is a belief or suspicion, on reasonable grounds, that a child has been or is being abused or neglected or at risk of being abused or neglected</w:t>
      </w:r>
      <w:r>
        <w:rPr>
          <w:rFonts w:cs="Arial"/>
        </w:rPr>
        <w:t>, and;</w:t>
      </w:r>
    </w:p>
    <w:p w:rsidR="002D198F" w:rsidRPr="001B05C8" w:rsidRDefault="002D198F" w:rsidP="002D198F">
      <w:pPr>
        <w:numPr>
          <w:ilvl w:val="0"/>
          <w:numId w:val="36"/>
        </w:numPr>
        <w:tabs>
          <w:tab w:val="clear" w:pos="567"/>
        </w:tabs>
        <w:ind w:left="567" w:hanging="567"/>
        <w:rPr>
          <w:rFonts w:cs="Arial"/>
        </w:rPr>
      </w:pPr>
      <w:r>
        <w:rPr>
          <w:rFonts w:cs="Arial"/>
        </w:rPr>
        <w:t xml:space="preserve"> the Council </w:t>
      </w:r>
      <w:r w:rsidRPr="001B05C8">
        <w:rPr>
          <w:rFonts w:cs="Arial"/>
        </w:rPr>
        <w:t>to report information about possible criminal offences to the Commissioner of Police.</w:t>
      </w:r>
    </w:p>
    <w:p w:rsidR="002D198F" w:rsidRPr="001B05C8" w:rsidRDefault="002D198F" w:rsidP="002D198F">
      <w:pPr>
        <w:pStyle w:val="Heading2"/>
      </w:pPr>
      <w:r w:rsidRPr="001B05C8">
        <w:t>Council Role and Function</w:t>
      </w:r>
    </w:p>
    <w:p w:rsidR="002D198F" w:rsidRPr="001B05C8" w:rsidRDefault="002D198F" w:rsidP="002D198F">
      <w:pPr>
        <w:rPr>
          <w:rFonts w:cs="Arial"/>
        </w:rPr>
      </w:pPr>
      <w:r w:rsidRPr="001B05C8">
        <w:rPr>
          <w:rFonts w:cs="Arial"/>
        </w:rPr>
        <w:t xml:space="preserve">A summary of Council functions under the </w:t>
      </w:r>
      <w:r w:rsidRPr="00EB222B">
        <w:rPr>
          <w:rFonts w:cs="Arial"/>
        </w:rPr>
        <w:t>Act</w:t>
      </w:r>
      <w:r w:rsidRPr="001B05C8">
        <w:rPr>
          <w:rFonts w:cs="Arial"/>
        </w:rPr>
        <w:t xml:space="preserve"> are:</w:t>
      </w:r>
    </w:p>
    <w:p w:rsidR="002D198F" w:rsidRPr="001B05C8" w:rsidRDefault="002D198F" w:rsidP="002D198F">
      <w:pPr>
        <w:numPr>
          <w:ilvl w:val="0"/>
          <w:numId w:val="37"/>
        </w:numPr>
        <w:tabs>
          <w:tab w:val="clear" w:pos="567"/>
        </w:tabs>
        <w:ind w:left="567" w:hanging="567"/>
        <w:rPr>
          <w:rFonts w:cs="Arial"/>
        </w:rPr>
      </w:pPr>
      <w:r w:rsidRPr="001B05C8">
        <w:rPr>
          <w:rFonts w:cs="Arial"/>
        </w:rPr>
        <w:t>To investigate the circumstances surrounding and the conditions that have, or may have, caused:</w:t>
      </w:r>
    </w:p>
    <w:p w:rsidR="002D198F" w:rsidRPr="001B05C8" w:rsidRDefault="002D198F" w:rsidP="002D198F">
      <w:pPr>
        <w:numPr>
          <w:ilvl w:val="0"/>
          <w:numId w:val="38"/>
        </w:numPr>
        <w:tabs>
          <w:tab w:val="clear" w:pos="567"/>
        </w:tabs>
        <w:ind w:left="1134" w:hanging="567"/>
        <w:rPr>
          <w:rFonts w:cs="Arial"/>
        </w:rPr>
      </w:pPr>
      <w:r w:rsidRPr="001B05C8">
        <w:rPr>
          <w:rFonts w:cs="Arial"/>
        </w:rPr>
        <w:t>maternal, late maternal and perinatal deaths in Tasmania;</w:t>
      </w:r>
    </w:p>
    <w:p w:rsidR="002D198F" w:rsidRPr="001B05C8" w:rsidRDefault="002D198F" w:rsidP="002D198F">
      <w:pPr>
        <w:numPr>
          <w:ilvl w:val="0"/>
          <w:numId w:val="38"/>
        </w:numPr>
        <w:tabs>
          <w:tab w:val="clear" w:pos="567"/>
        </w:tabs>
        <w:ind w:left="1134" w:hanging="567"/>
        <w:rPr>
          <w:rFonts w:cs="Arial"/>
        </w:rPr>
      </w:pPr>
      <w:r w:rsidRPr="001B05C8">
        <w:rPr>
          <w:rFonts w:cs="Arial"/>
        </w:rPr>
        <w:t>mortality and morbidity of children in Tasmania in the age group from 29 days to 17 years (inclusive)</w:t>
      </w:r>
      <w:r>
        <w:rPr>
          <w:rFonts w:cs="Arial"/>
        </w:rPr>
        <w:t>;</w:t>
      </w:r>
    </w:p>
    <w:p w:rsidR="002D198F" w:rsidRPr="001B05C8" w:rsidRDefault="002D198F" w:rsidP="002D198F">
      <w:pPr>
        <w:numPr>
          <w:ilvl w:val="0"/>
          <w:numId w:val="38"/>
        </w:numPr>
        <w:tabs>
          <w:tab w:val="clear" w:pos="567"/>
        </w:tabs>
        <w:ind w:left="1134" w:hanging="567"/>
        <w:rPr>
          <w:rFonts w:cs="Arial"/>
        </w:rPr>
      </w:pPr>
      <w:r w:rsidRPr="001B05C8">
        <w:rPr>
          <w:rFonts w:cs="Arial"/>
        </w:rPr>
        <w:t>congenital abnormalities in children born in Tasmania</w:t>
      </w:r>
      <w:r>
        <w:rPr>
          <w:rFonts w:cs="Arial"/>
        </w:rPr>
        <w:t>,</w:t>
      </w:r>
      <w:r w:rsidRPr="001B05C8">
        <w:rPr>
          <w:rFonts w:cs="Arial"/>
        </w:rPr>
        <w:t xml:space="preserve"> and</w:t>
      </w:r>
      <w:r>
        <w:rPr>
          <w:rFonts w:cs="Arial"/>
        </w:rPr>
        <w:t>;</w:t>
      </w:r>
    </w:p>
    <w:p w:rsidR="002D198F" w:rsidRPr="001B05C8" w:rsidRDefault="002D198F" w:rsidP="002D198F">
      <w:pPr>
        <w:numPr>
          <w:ilvl w:val="0"/>
          <w:numId w:val="38"/>
        </w:numPr>
        <w:tabs>
          <w:tab w:val="clear" w:pos="567"/>
        </w:tabs>
        <w:ind w:left="1134" w:hanging="567"/>
        <w:rPr>
          <w:rFonts w:cs="Arial"/>
        </w:rPr>
      </w:pPr>
      <w:r w:rsidRPr="001B05C8">
        <w:rPr>
          <w:rFonts w:cs="Arial"/>
        </w:rPr>
        <w:t>injuries, illness or defects suffered by pregnant women or viable foetuses in Tasmania at any time before or during childbirth.</w:t>
      </w:r>
    </w:p>
    <w:p w:rsidR="002D198F" w:rsidRPr="001B05C8" w:rsidRDefault="002D198F" w:rsidP="002D198F">
      <w:pPr>
        <w:numPr>
          <w:ilvl w:val="0"/>
          <w:numId w:val="37"/>
        </w:numPr>
        <w:tabs>
          <w:tab w:val="clear" w:pos="567"/>
        </w:tabs>
        <w:ind w:left="567" w:hanging="567"/>
        <w:rPr>
          <w:rFonts w:cs="Arial"/>
        </w:rPr>
      </w:pPr>
      <w:r w:rsidRPr="001B05C8">
        <w:rPr>
          <w:rFonts w:cs="Arial"/>
        </w:rPr>
        <w:t>To maintain a perinatal data collection.</w:t>
      </w:r>
    </w:p>
    <w:p w:rsidR="002D198F" w:rsidRPr="001B05C8" w:rsidRDefault="002D198F" w:rsidP="002D198F">
      <w:pPr>
        <w:numPr>
          <w:ilvl w:val="0"/>
          <w:numId w:val="37"/>
        </w:numPr>
        <w:tabs>
          <w:tab w:val="clear" w:pos="567"/>
        </w:tabs>
        <w:ind w:left="567" w:hanging="567"/>
        <w:rPr>
          <w:rFonts w:cs="Arial"/>
        </w:rPr>
      </w:pPr>
      <w:r w:rsidRPr="001B05C8">
        <w:rPr>
          <w:rFonts w:cs="Arial"/>
        </w:rPr>
        <w:t>To provide information for the education and instruction in medical theory and practice in obstetrics and paediatrics for medical practitioners, registered nurses, enrolled nurses and midwives.</w:t>
      </w:r>
    </w:p>
    <w:p w:rsidR="002D198F" w:rsidRPr="001B05C8" w:rsidRDefault="002D198F" w:rsidP="002D198F">
      <w:pPr>
        <w:numPr>
          <w:ilvl w:val="0"/>
          <w:numId w:val="37"/>
        </w:numPr>
        <w:tabs>
          <w:tab w:val="clear" w:pos="567"/>
        </w:tabs>
        <w:ind w:left="567" w:hanging="567"/>
        <w:rPr>
          <w:rFonts w:cs="Arial"/>
        </w:rPr>
      </w:pPr>
      <w:r w:rsidRPr="001B05C8">
        <w:rPr>
          <w:rFonts w:cs="Arial"/>
        </w:rPr>
        <w:t>To investigate and report on any other matters relating to obstetric and paediatric mortality and morbidity referred to the Council by the Minister or the Secretary:</w:t>
      </w:r>
    </w:p>
    <w:p w:rsidR="002D198F" w:rsidRPr="001B05C8" w:rsidRDefault="000C3469" w:rsidP="002D198F">
      <w:pPr>
        <w:ind w:left="1100" w:hanging="550"/>
      </w:pPr>
      <w:proofErr w:type="spellStart"/>
      <w:r>
        <w:lastRenderedPageBreak/>
        <w:t>d.</w:t>
      </w:r>
      <w:r w:rsidR="002D198F" w:rsidRPr="001B05C8">
        <w:t>a</w:t>
      </w:r>
      <w:proofErr w:type="spellEnd"/>
      <w:r w:rsidR="002D198F" w:rsidRPr="001B05C8">
        <w:t>)</w:t>
      </w:r>
      <w:r w:rsidR="002D198F" w:rsidRPr="001B05C8">
        <w:tab/>
        <w:t>to investigate and report to the Minister, a relevant Minister or the Secretary of its own motion on any matter relating to obstetric and paediatric mortality and morbidity that it considers necessary</w:t>
      </w:r>
      <w:r w:rsidR="002D198F">
        <w:t>,</w:t>
      </w:r>
      <w:r w:rsidR="002D198F" w:rsidRPr="001B05C8">
        <w:t xml:space="preserve"> and</w:t>
      </w:r>
      <w:r w:rsidR="002D198F">
        <w:t>;</w:t>
      </w:r>
    </w:p>
    <w:p w:rsidR="002D198F" w:rsidRPr="001B05C8" w:rsidRDefault="000C3469" w:rsidP="002D198F">
      <w:pPr>
        <w:ind w:left="1100" w:hanging="550"/>
      </w:pPr>
      <w:proofErr w:type="spellStart"/>
      <w:r>
        <w:t>d.</w:t>
      </w:r>
      <w:r w:rsidR="002D198F" w:rsidRPr="001B05C8">
        <w:t>b</w:t>
      </w:r>
      <w:proofErr w:type="spellEnd"/>
      <w:r w:rsidR="002D198F" w:rsidRPr="001B05C8">
        <w:t>)</w:t>
      </w:r>
      <w:r w:rsidR="002D198F" w:rsidRPr="001B05C8">
        <w:tab/>
        <w:t>to communicate to the Minister, or a relevant Minister, the Secretary or a prescribed body, information relating to</w:t>
      </w:r>
      <w:r w:rsidR="002D198F">
        <w:t>;</w:t>
      </w:r>
      <w:r w:rsidR="002D198F" w:rsidRPr="001B05C8">
        <w:t xml:space="preserve"> </w:t>
      </w:r>
    </w:p>
    <w:p w:rsidR="002D198F" w:rsidRPr="001B05C8" w:rsidRDefault="002D198F" w:rsidP="002D198F">
      <w:pPr>
        <w:keepLines/>
        <w:widowControl w:val="0"/>
        <w:numPr>
          <w:ilvl w:val="0"/>
          <w:numId w:val="39"/>
        </w:numPr>
        <w:tabs>
          <w:tab w:val="clear" w:pos="567"/>
          <w:tab w:val="clear" w:pos="1134"/>
        </w:tabs>
        <w:ind w:left="1701"/>
      </w:pPr>
      <w:r w:rsidRPr="001B05C8">
        <w:t>a child death, maternal death or late maternal death or</w:t>
      </w:r>
    </w:p>
    <w:p w:rsidR="002D198F" w:rsidRPr="001B05C8" w:rsidRDefault="002D198F" w:rsidP="002D198F">
      <w:pPr>
        <w:keepLines/>
        <w:widowControl w:val="0"/>
        <w:numPr>
          <w:ilvl w:val="0"/>
          <w:numId w:val="39"/>
        </w:numPr>
        <w:tabs>
          <w:tab w:val="clear" w:pos="567"/>
          <w:tab w:val="clear" w:pos="1134"/>
        </w:tabs>
        <w:ind w:left="1701"/>
      </w:pPr>
      <w:r w:rsidRPr="001B05C8">
        <w:t>the morbidity of a child or a woman who is or had been pregnant.</w:t>
      </w:r>
    </w:p>
    <w:p w:rsidR="002D198F" w:rsidRPr="001B05C8" w:rsidRDefault="002D198F" w:rsidP="002D198F">
      <w:pPr>
        <w:keepLines/>
        <w:widowControl w:val="0"/>
        <w:numPr>
          <w:ilvl w:val="0"/>
          <w:numId w:val="37"/>
        </w:numPr>
        <w:tabs>
          <w:tab w:val="clear" w:pos="567"/>
        </w:tabs>
        <w:ind w:left="567" w:hanging="567"/>
      </w:pPr>
      <w:r w:rsidRPr="001B05C8">
        <w:t>to perform any other function imposed by this Act or any other Act or the regulations.</w:t>
      </w:r>
    </w:p>
    <w:p w:rsidR="002D198F" w:rsidRPr="001B05C8" w:rsidRDefault="002D198F" w:rsidP="002D198F">
      <w:pPr>
        <w:pStyle w:val="Heading2"/>
      </w:pPr>
      <w:r w:rsidRPr="001B05C8">
        <w:t>Council Membership</w:t>
      </w:r>
    </w:p>
    <w:p w:rsidR="002D198F" w:rsidRPr="001B05C8" w:rsidRDefault="002D198F" w:rsidP="002D198F">
      <w:pPr>
        <w:rPr>
          <w:rFonts w:cs="Arial"/>
        </w:rPr>
      </w:pPr>
      <w:r w:rsidRPr="001B05C8">
        <w:rPr>
          <w:rFonts w:cs="Arial"/>
        </w:rPr>
        <w:t xml:space="preserve">The membership of the Council is specified in the </w:t>
      </w:r>
      <w:r w:rsidRPr="001B05C8">
        <w:rPr>
          <w:rFonts w:cs="Arial"/>
          <w:i/>
        </w:rPr>
        <w:t>Obstetric and Paediatric Mortality and Morbidity Act 1994</w:t>
      </w:r>
      <w:r w:rsidRPr="001B05C8">
        <w:rPr>
          <w:rFonts w:cs="Arial"/>
        </w:rPr>
        <w:t xml:space="preserve"> with appointed members in the current term (Nov 2012- Nov 2015</w:t>
      </w:r>
      <w:r w:rsidRPr="004F661D">
        <w:rPr>
          <w:rFonts w:cs="Arial"/>
          <w:sz w:val="20"/>
        </w:rPr>
        <w:t>*</w:t>
      </w:r>
      <w:r w:rsidRPr="001B05C8">
        <w:rPr>
          <w:rFonts w:cs="Arial"/>
        </w:rPr>
        <w:t xml:space="preserve">) including: </w:t>
      </w:r>
    </w:p>
    <w:p w:rsidR="002D198F" w:rsidRPr="001B05C8" w:rsidRDefault="002D198F" w:rsidP="002D198F">
      <w:pPr>
        <w:numPr>
          <w:ilvl w:val="0"/>
          <w:numId w:val="40"/>
        </w:numPr>
        <w:tabs>
          <w:tab w:val="clear" w:pos="567"/>
        </w:tabs>
        <w:ind w:left="567" w:hanging="567"/>
        <w:rPr>
          <w:rFonts w:cs="Arial"/>
        </w:rPr>
      </w:pPr>
      <w:r w:rsidRPr="001B05C8">
        <w:rPr>
          <w:rFonts w:cs="Arial"/>
        </w:rPr>
        <w:t>Dr Michelle Williams (COPMM Chair), nominee of the Paediatrics and Child Health Division of the Royal Australasian College of Physicians nominated by the Tasmanian State Committee of that College;</w:t>
      </w:r>
    </w:p>
    <w:p w:rsidR="002D198F" w:rsidRPr="001B05C8" w:rsidRDefault="002D198F" w:rsidP="002D198F">
      <w:pPr>
        <w:numPr>
          <w:ilvl w:val="0"/>
          <w:numId w:val="40"/>
        </w:numPr>
        <w:tabs>
          <w:tab w:val="clear" w:pos="567"/>
        </w:tabs>
        <w:ind w:left="567" w:hanging="567"/>
        <w:rPr>
          <w:rFonts w:cs="Arial"/>
        </w:rPr>
      </w:pPr>
      <w:r w:rsidRPr="001B05C8">
        <w:rPr>
          <w:rFonts w:cs="Arial"/>
        </w:rPr>
        <w:t xml:space="preserve">Professor Peter </w:t>
      </w:r>
      <w:proofErr w:type="spellStart"/>
      <w:r w:rsidRPr="001B05C8">
        <w:rPr>
          <w:rFonts w:cs="Arial"/>
        </w:rPr>
        <w:t>Dargaville</w:t>
      </w:r>
      <w:proofErr w:type="spellEnd"/>
      <w:r w:rsidRPr="001B05C8">
        <w:rPr>
          <w:rFonts w:cs="Arial"/>
        </w:rPr>
        <w:t>, person nominated by the Secretary employed in the delivery of Neonatal Services;</w:t>
      </w:r>
    </w:p>
    <w:p w:rsidR="002D198F" w:rsidRPr="001B05C8" w:rsidRDefault="002D198F" w:rsidP="002D198F">
      <w:pPr>
        <w:numPr>
          <w:ilvl w:val="0"/>
          <w:numId w:val="40"/>
        </w:numPr>
        <w:tabs>
          <w:tab w:val="clear" w:pos="567"/>
        </w:tabs>
        <w:ind w:left="567" w:hanging="567"/>
        <w:rPr>
          <w:rFonts w:cs="Arial"/>
        </w:rPr>
      </w:pPr>
      <w:r w:rsidRPr="001B05C8">
        <w:rPr>
          <w:rFonts w:cs="Arial"/>
        </w:rPr>
        <w:t>Associate Professor Amanda Dennis, nominee of the University of Tasmania;</w:t>
      </w:r>
    </w:p>
    <w:p w:rsidR="002D198F" w:rsidRPr="001B05C8" w:rsidRDefault="002D198F" w:rsidP="002D198F">
      <w:pPr>
        <w:numPr>
          <w:ilvl w:val="0"/>
          <w:numId w:val="40"/>
        </w:numPr>
        <w:tabs>
          <w:tab w:val="clear" w:pos="567"/>
        </w:tabs>
        <w:ind w:left="567" w:hanging="567"/>
        <w:rPr>
          <w:rFonts w:cs="Arial"/>
        </w:rPr>
      </w:pPr>
      <w:r w:rsidRPr="001B05C8">
        <w:rPr>
          <w:rFonts w:cs="Arial"/>
        </w:rPr>
        <w:t xml:space="preserve">Dr </w:t>
      </w:r>
      <w:proofErr w:type="spellStart"/>
      <w:r w:rsidRPr="001B05C8">
        <w:rPr>
          <w:rFonts w:cs="Arial"/>
        </w:rPr>
        <w:t>Anagha</w:t>
      </w:r>
      <w:proofErr w:type="spellEnd"/>
      <w:r w:rsidRPr="001B05C8">
        <w:rPr>
          <w:rFonts w:cs="Arial"/>
        </w:rPr>
        <w:t xml:space="preserve"> </w:t>
      </w:r>
      <w:proofErr w:type="spellStart"/>
      <w:r w:rsidRPr="001B05C8">
        <w:rPr>
          <w:rFonts w:cs="Arial"/>
        </w:rPr>
        <w:t>Jayakar</w:t>
      </w:r>
      <w:proofErr w:type="spellEnd"/>
      <w:r w:rsidRPr="001B05C8">
        <w:rPr>
          <w:rFonts w:cs="Arial"/>
        </w:rPr>
        <w:t>, nominee of the University of Tasmania;</w:t>
      </w:r>
    </w:p>
    <w:p w:rsidR="002D198F" w:rsidRPr="001B05C8" w:rsidRDefault="002D198F" w:rsidP="002D198F">
      <w:pPr>
        <w:numPr>
          <w:ilvl w:val="0"/>
          <w:numId w:val="40"/>
        </w:numPr>
        <w:tabs>
          <w:tab w:val="clear" w:pos="567"/>
        </w:tabs>
        <w:ind w:left="567" w:hanging="567"/>
        <w:rPr>
          <w:rFonts w:cs="Arial"/>
        </w:rPr>
      </w:pPr>
      <w:r w:rsidRPr="001B05C8">
        <w:rPr>
          <w:rFonts w:cs="Arial"/>
        </w:rPr>
        <w:t xml:space="preserve">Dr Tania </w:t>
      </w:r>
      <w:proofErr w:type="spellStart"/>
      <w:r w:rsidRPr="001B05C8">
        <w:rPr>
          <w:rFonts w:cs="Arial"/>
        </w:rPr>
        <w:t>Hingston</w:t>
      </w:r>
      <w:proofErr w:type="spellEnd"/>
      <w:r w:rsidRPr="001B05C8">
        <w:rPr>
          <w:rFonts w:cs="Arial"/>
        </w:rPr>
        <w:t>, nominee of the Tasmanian Regional Committee of the Royal Australian and New Zealand College of Obstetricians and Gynaecologists;</w:t>
      </w:r>
    </w:p>
    <w:p w:rsidR="002D198F" w:rsidRPr="001B05C8" w:rsidRDefault="002D198F" w:rsidP="002D198F">
      <w:pPr>
        <w:numPr>
          <w:ilvl w:val="0"/>
          <w:numId w:val="40"/>
        </w:numPr>
        <w:tabs>
          <w:tab w:val="clear" w:pos="567"/>
        </w:tabs>
        <w:ind w:left="567" w:hanging="567"/>
        <w:rPr>
          <w:rFonts w:cs="Arial"/>
        </w:rPr>
      </w:pPr>
      <w:r w:rsidRPr="001B05C8">
        <w:rPr>
          <w:rFonts w:cs="Arial"/>
        </w:rPr>
        <w:t>Ms Kate Cuthbertson, additional member nominated by Council to represent community interests;</w:t>
      </w:r>
    </w:p>
    <w:p w:rsidR="002D198F" w:rsidRPr="001B05C8" w:rsidRDefault="002D198F" w:rsidP="002D198F">
      <w:pPr>
        <w:numPr>
          <w:ilvl w:val="0"/>
          <w:numId w:val="40"/>
        </w:numPr>
        <w:tabs>
          <w:tab w:val="clear" w:pos="567"/>
        </w:tabs>
        <w:ind w:left="567" w:hanging="567"/>
        <w:rPr>
          <w:rFonts w:cs="Arial"/>
        </w:rPr>
      </w:pPr>
      <w:r w:rsidRPr="001B05C8">
        <w:rPr>
          <w:rFonts w:cs="Arial"/>
        </w:rPr>
        <w:t xml:space="preserve">Dr Jill </w:t>
      </w:r>
      <w:proofErr w:type="spellStart"/>
      <w:r w:rsidRPr="001B05C8">
        <w:rPr>
          <w:rFonts w:cs="Arial"/>
        </w:rPr>
        <w:t>Camier</w:t>
      </w:r>
      <w:proofErr w:type="spellEnd"/>
      <w:r w:rsidRPr="001B05C8">
        <w:rPr>
          <w:rFonts w:cs="Arial"/>
        </w:rPr>
        <w:t>, nominee of the Tasmanian Branch of the Royal Australian College of General Practitioners;</w:t>
      </w:r>
    </w:p>
    <w:p w:rsidR="002D198F" w:rsidRPr="001B05C8" w:rsidRDefault="002D198F" w:rsidP="002D198F">
      <w:pPr>
        <w:numPr>
          <w:ilvl w:val="0"/>
          <w:numId w:val="40"/>
        </w:numPr>
        <w:tabs>
          <w:tab w:val="clear" w:pos="567"/>
        </w:tabs>
        <w:ind w:left="567" w:hanging="567"/>
        <w:rPr>
          <w:rFonts w:cs="Arial"/>
        </w:rPr>
      </w:pPr>
      <w:r w:rsidRPr="001B05C8">
        <w:rPr>
          <w:rFonts w:cs="Arial"/>
        </w:rPr>
        <w:t>Ms Sue McBeath, nominee of the Tasmanian Branch of the Australian College of Midwi</w:t>
      </w:r>
      <w:r w:rsidR="00F17D9F">
        <w:rPr>
          <w:rFonts w:cs="Arial"/>
        </w:rPr>
        <w:t>v</w:t>
      </w:r>
      <w:r w:rsidRPr="001B05C8">
        <w:rPr>
          <w:rFonts w:cs="Arial"/>
        </w:rPr>
        <w:t>es Incorporated;</w:t>
      </w:r>
    </w:p>
    <w:p w:rsidR="002D198F" w:rsidRPr="001B05C8" w:rsidRDefault="002D198F" w:rsidP="002D198F">
      <w:pPr>
        <w:numPr>
          <w:ilvl w:val="0"/>
          <w:numId w:val="40"/>
        </w:numPr>
        <w:tabs>
          <w:tab w:val="clear" w:pos="567"/>
        </w:tabs>
        <w:ind w:left="567" w:hanging="567"/>
        <w:rPr>
          <w:rFonts w:cs="Arial"/>
        </w:rPr>
      </w:pPr>
      <w:r w:rsidRPr="001B05C8">
        <w:rPr>
          <w:rFonts w:cs="Arial"/>
        </w:rPr>
        <w:t>Dr Roscoe Taylor, person nominated by the Secretary employed in the Department of Health and Human Services</w:t>
      </w:r>
      <w:r w:rsidR="004F661D">
        <w:rPr>
          <w:rFonts w:cs="Arial"/>
        </w:rPr>
        <w:t>.</w:t>
      </w:r>
      <w:r w:rsidR="00C222F0">
        <w:rPr>
          <w:rFonts w:cs="Arial"/>
        </w:rPr>
        <w:t xml:space="preserve"> </w:t>
      </w:r>
      <w:r w:rsidR="004F661D">
        <w:rPr>
          <w:rFonts w:cs="Arial"/>
        </w:rPr>
        <w:t>I</w:t>
      </w:r>
      <w:r w:rsidRPr="001B05C8">
        <w:rPr>
          <w:rFonts w:cs="Arial"/>
        </w:rPr>
        <w:t>t is noted that Dr Taylor resigned from this appointment in April 2015 and this position remains vacant</w:t>
      </w:r>
      <w:r>
        <w:rPr>
          <w:rFonts w:cs="Arial"/>
        </w:rPr>
        <w:t>, and</w:t>
      </w:r>
    </w:p>
    <w:p w:rsidR="002D198F" w:rsidRPr="001B05C8" w:rsidRDefault="00F71CD2" w:rsidP="002D198F">
      <w:pPr>
        <w:numPr>
          <w:ilvl w:val="0"/>
          <w:numId w:val="40"/>
        </w:numPr>
        <w:tabs>
          <w:tab w:val="clear" w:pos="567"/>
        </w:tabs>
        <w:ind w:left="567" w:hanging="567"/>
        <w:rPr>
          <w:rFonts w:cs="Arial"/>
        </w:rPr>
      </w:pPr>
      <w:r w:rsidRPr="001B05C8">
        <w:rPr>
          <w:rFonts w:cs="Arial"/>
        </w:rPr>
        <w:t>Mr Mark Morrissey</w:t>
      </w:r>
      <w:r>
        <w:rPr>
          <w:rFonts w:cs="Arial"/>
        </w:rPr>
        <w:t>,</w:t>
      </w:r>
      <w:r w:rsidRPr="001B05C8">
        <w:rPr>
          <w:rFonts w:cs="Arial"/>
        </w:rPr>
        <w:t xml:space="preserve"> </w:t>
      </w:r>
      <w:r w:rsidR="002D198F" w:rsidRPr="001B05C8">
        <w:rPr>
          <w:rFonts w:cs="Arial"/>
        </w:rPr>
        <w:t>Commissioner for Children</w:t>
      </w:r>
      <w:r w:rsidR="000F1905">
        <w:rPr>
          <w:rFonts w:cs="Arial"/>
        </w:rPr>
        <w:t>.</w:t>
      </w:r>
    </w:p>
    <w:p w:rsidR="002D198F" w:rsidRPr="001B05C8" w:rsidRDefault="00C222F0" w:rsidP="002D198F">
      <w:pPr>
        <w:rPr>
          <w:rFonts w:cs="Arial"/>
          <w:i/>
          <w:sz w:val="20"/>
        </w:rPr>
      </w:pPr>
      <w:r>
        <w:rPr>
          <w:rFonts w:cs="Arial"/>
          <w:i/>
          <w:sz w:val="20"/>
        </w:rPr>
        <w:t>M</w:t>
      </w:r>
      <w:r w:rsidR="002D198F" w:rsidRPr="001B05C8">
        <w:rPr>
          <w:rFonts w:cs="Arial"/>
          <w:i/>
          <w:sz w:val="20"/>
        </w:rPr>
        <w:t>embership for the new term that is to commence in December 2015 is currently being progressed.</w:t>
      </w:r>
    </w:p>
    <w:p w:rsidR="002D198F" w:rsidRPr="001B05C8" w:rsidRDefault="002D198F" w:rsidP="002D198F">
      <w:pPr>
        <w:pStyle w:val="Heading2"/>
      </w:pPr>
      <w:r w:rsidRPr="001B05C8">
        <w:t xml:space="preserve">Council Meetings </w:t>
      </w:r>
    </w:p>
    <w:p w:rsidR="002D198F" w:rsidRPr="001B05C8" w:rsidRDefault="002D198F" w:rsidP="002D198F">
      <w:bookmarkStart w:id="84" w:name="_Toc429750928"/>
      <w:r w:rsidRPr="001B05C8">
        <w:t>The Council meets four to six times per year.</w:t>
      </w:r>
      <w:bookmarkEnd w:id="84"/>
    </w:p>
    <w:p w:rsidR="00F71CD2" w:rsidRDefault="00F71CD2">
      <w:pPr>
        <w:tabs>
          <w:tab w:val="clear" w:pos="567"/>
        </w:tabs>
        <w:spacing w:after="200" w:line="276" w:lineRule="auto"/>
        <w:rPr>
          <w:rFonts w:eastAsiaTheme="majorEastAsia" w:cstheme="majorBidi"/>
          <w:b/>
          <w:bCs/>
          <w:sz w:val="32"/>
          <w:szCs w:val="26"/>
        </w:rPr>
      </w:pPr>
      <w:r>
        <w:br w:type="page"/>
      </w:r>
    </w:p>
    <w:p w:rsidR="002D198F" w:rsidRPr="001B05C8" w:rsidRDefault="002D198F" w:rsidP="002D198F">
      <w:pPr>
        <w:pStyle w:val="Heading2"/>
      </w:pPr>
      <w:r w:rsidRPr="001B05C8">
        <w:lastRenderedPageBreak/>
        <w:t>Administration</w:t>
      </w:r>
    </w:p>
    <w:p w:rsidR="002D198F" w:rsidRPr="001B05C8" w:rsidRDefault="002D198F" w:rsidP="002D198F">
      <w:pPr>
        <w:rPr>
          <w:rFonts w:cs="Arial"/>
        </w:rPr>
      </w:pPr>
      <w:r w:rsidRPr="001B05C8">
        <w:rPr>
          <w:rFonts w:cs="Arial"/>
        </w:rPr>
        <w:t>The Council can be contacted via:</w:t>
      </w:r>
    </w:p>
    <w:p w:rsidR="002D198F" w:rsidRPr="001B05C8" w:rsidRDefault="002D198F" w:rsidP="002D198F">
      <w:pPr>
        <w:spacing w:after="0"/>
        <w:rPr>
          <w:rFonts w:cs="Arial"/>
        </w:rPr>
      </w:pPr>
      <w:r w:rsidRPr="001B05C8">
        <w:rPr>
          <w:rFonts w:cs="Arial"/>
        </w:rPr>
        <w:t>Dr Jo Jordan – Manager, COPMM</w:t>
      </w:r>
    </w:p>
    <w:p w:rsidR="002D198F" w:rsidRPr="001B05C8" w:rsidRDefault="002D198F" w:rsidP="002D198F">
      <w:pPr>
        <w:spacing w:after="0"/>
        <w:rPr>
          <w:rFonts w:cs="Arial"/>
        </w:rPr>
      </w:pPr>
      <w:r>
        <w:rPr>
          <w:rFonts w:cs="Arial"/>
        </w:rPr>
        <w:t>Clinical Governance</w:t>
      </w:r>
    </w:p>
    <w:p w:rsidR="002D198F" w:rsidRPr="001B05C8" w:rsidRDefault="002D198F" w:rsidP="002D198F">
      <w:pPr>
        <w:spacing w:after="0"/>
        <w:rPr>
          <w:rFonts w:cs="Arial"/>
        </w:rPr>
      </w:pPr>
      <w:r w:rsidRPr="001B05C8">
        <w:rPr>
          <w:rFonts w:cs="Arial"/>
        </w:rPr>
        <w:t>Planning, Purchasing and Performance</w:t>
      </w:r>
    </w:p>
    <w:p w:rsidR="002D198F" w:rsidRPr="001B05C8" w:rsidRDefault="002D198F" w:rsidP="002D198F">
      <w:pPr>
        <w:spacing w:after="0"/>
        <w:rPr>
          <w:rFonts w:cs="Arial"/>
        </w:rPr>
      </w:pPr>
      <w:r w:rsidRPr="001B05C8">
        <w:rPr>
          <w:rFonts w:cs="Arial"/>
        </w:rPr>
        <w:t>Department of Health and Human Services</w:t>
      </w:r>
    </w:p>
    <w:p w:rsidR="002D198F" w:rsidRPr="001B05C8" w:rsidRDefault="002D198F" w:rsidP="002D198F">
      <w:pPr>
        <w:spacing w:after="0"/>
        <w:rPr>
          <w:rFonts w:cs="Arial"/>
        </w:rPr>
      </w:pPr>
    </w:p>
    <w:p w:rsidR="002D198F" w:rsidRPr="001B05C8" w:rsidRDefault="002D198F" w:rsidP="002D198F">
      <w:pPr>
        <w:tabs>
          <w:tab w:val="left" w:pos="1843"/>
        </w:tabs>
        <w:spacing w:after="0"/>
        <w:rPr>
          <w:rFonts w:cs="Arial"/>
        </w:rPr>
      </w:pPr>
      <w:r w:rsidRPr="001B05C8">
        <w:rPr>
          <w:rFonts w:cs="Arial"/>
        </w:rPr>
        <w:t xml:space="preserve">Address: </w:t>
      </w:r>
      <w:r w:rsidRPr="001B05C8">
        <w:rPr>
          <w:rFonts w:cs="Arial"/>
        </w:rPr>
        <w:tab/>
        <w:t>Level 5, 24 Davey Street</w:t>
      </w:r>
    </w:p>
    <w:p w:rsidR="002D198F" w:rsidRPr="001B05C8" w:rsidRDefault="002D198F" w:rsidP="002D198F">
      <w:pPr>
        <w:tabs>
          <w:tab w:val="clear" w:pos="567"/>
          <w:tab w:val="left" w:pos="1843"/>
        </w:tabs>
        <w:spacing w:after="0"/>
        <w:rPr>
          <w:rFonts w:cs="Arial"/>
        </w:rPr>
      </w:pPr>
      <w:r w:rsidRPr="001B05C8">
        <w:rPr>
          <w:rFonts w:cs="Arial"/>
        </w:rPr>
        <w:tab/>
        <w:t>HOBART   TAS   7000</w:t>
      </w:r>
    </w:p>
    <w:p w:rsidR="002D198F" w:rsidRPr="001B05C8" w:rsidRDefault="002D198F" w:rsidP="002D198F">
      <w:pPr>
        <w:tabs>
          <w:tab w:val="clear" w:pos="567"/>
          <w:tab w:val="left" w:pos="1843"/>
        </w:tabs>
        <w:spacing w:after="0"/>
        <w:rPr>
          <w:rFonts w:cs="Arial"/>
        </w:rPr>
      </w:pPr>
      <w:r w:rsidRPr="001B05C8">
        <w:rPr>
          <w:rFonts w:cs="Arial"/>
        </w:rPr>
        <w:t xml:space="preserve">Email: </w:t>
      </w:r>
      <w:r w:rsidRPr="001B05C8">
        <w:rPr>
          <w:rFonts w:cs="Arial"/>
        </w:rPr>
        <w:tab/>
        <w:t>jo.jordan@dhhs.tas.gov.au</w:t>
      </w:r>
    </w:p>
    <w:p w:rsidR="002D198F" w:rsidRPr="001B05C8" w:rsidRDefault="002D198F" w:rsidP="002D198F">
      <w:pPr>
        <w:tabs>
          <w:tab w:val="left" w:pos="1843"/>
        </w:tabs>
        <w:spacing w:after="0"/>
        <w:rPr>
          <w:rFonts w:cs="Arial"/>
        </w:rPr>
      </w:pPr>
      <w:r w:rsidRPr="001B05C8">
        <w:rPr>
          <w:rFonts w:cs="Arial"/>
        </w:rPr>
        <w:t xml:space="preserve">Telephone: </w:t>
      </w:r>
      <w:r w:rsidRPr="001B05C8">
        <w:rPr>
          <w:rFonts w:cs="Arial"/>
        </w:rPr>
        <w:tab/>
        <w:t>(03) 6166 1052</w:t>
      </w:r>
    </w:p>
    <w:p w:rsidR="002D198F" w:rsidRPr="001B05C8" w:rsidRDefault="002D198F" w:rsidP="002D198F">
      <w:pPr>
        <w:tabs>
          <w:tab w:val="left" w:pos="1843"/>
        </w:tabs>
        <w:rPr>
          <w:rFonts w:cs="Arial"/>
        </w:rPr>
      </w:pPr>
      <w:bookmarkStart w:id="85" w:name="_Toc429750929"/>
      <w:r w:rsidRPr="001B05C8">
        <w:rPr>
          <w:rFonts w:cs="Arial"/>
        </w:rPr>
        <w:t>Website:</w:t>
      </w:r>
      <w:r w:rsidRPr="001B05C8">
        <w:rPr>
          <w:rFonts w:cs="Arial"/>
        </w:rPr>
        <w:tab/>
      </w:r>
      <w:hyperlink r:id="rId24" w:tooltip="http://www.dhhs.tas.gov.au/copmm" w:history="1">
        <w:r w:rsidRPr="001B05C8">
          <w:rPr>
            <w:rStyle w:val="Hyperlink"/>
            <w:rFonts w:cs="Arial"/>
          </w:rPr>
          <w:t>http://www.dhhs.tas.gov.au/copmm</w:t>
        </w:r>
        <w:bookmarkEnd w:id="85"/>
      </w:hyperlink>
    </w:p>
    <w:p w:rsidR="002D198F" w:rsidRPr="001B05C8" w:rsidRDefault="002D198F" w:rsidP="002D198F">
      <w:pPr>
        <w:pStyle w:val="Heading2"/>
      </w:pPr>
      <w:r w:rsidRPr="001B05C8">
        <w:t>Representation on National Bodies</w:t>
      </w:r>
    </w:p>
    <w:p w:rsidR="002D198F" w:rsidRPr="00F71CD2" w:rsidRDefault="002D198F" w:rsidP="002D198F">
      <w:pPr>
        <w:rPr>
          <w:rFonts w:cs="Arial"/>
        </w:rPr>
      </w:pPr>
      <w:r w:rsidRPr="00F71CD2">
        <w:rPr>
          <w:rFonts w:cs="Arial"/>
        </w:rPr>
        <w:t>The Council is represented on the Australian and New Zealand Child Death Review and Prevention Group (ANZCDR&amp;PG) and also provides representation to the National Perinatal Data Development Committee, the National Maternity Data Development Project and advice to the National Maternity Council’s Maternal and Perinatal Committee.  In addition, Council is represented on the National Perinatal Mortality Report Advisory Group. The Council also provides its unidentified data to Queensland to include in Queensland’s Annual Report on Child Deaths.</w:t>
      </w:r>
    </w:p>
    <w:p w:rsidR="002D198F" w:rsidRPr="001B05C8" w:rsidRDefault="002D198F" w:rsidP="002D198F">
      <w:pPr>
        <w:pStyle w:val="Heading2"/>
        <w:rPr>
          <w:color w:val="999999"/>
        </w:rPr>
      </w:pPr>
      <w:r w:rsidRPr="001B05C8">
        <w:t>Registration</w:t>
      </w:r>
    </w:p>
    <w:p w:rsidR="002D198F" w:rsidRPr="001B05C8" w:rsidRDefault="002D198F" w:rsidP="002D198F">
      <w:pPr>
        <w:rPr>
          <w:rFonts w:cs="Arial"/>
        </w:rPr>
      </w:pPr>
      <w:r w:rsidRPr="001B05C8">
        <w:rPr>
          <w:rFonts w:cs="Arial"/>
        </w:rPr>
        <w:t>Not applicable.</w:t>
      </w:r>
    </w:p>
    <w:p w:rsidR="002D198F" w:rsidRPr="001B05C8" w:rsidRDefault="002D198F" w:rsidP="002D198F">
      <w:pPr>
        <w:pStyle w:val="Heading2"/>
        <w:rPr>
          <w:rFonts w:cs="PalatinoLinotype-Roman"/>
        </w:rPr>
      </w:pPr>
      <w:r w:rsidRPr="001B05C8">
        <w:t>Review of Activities</w:t>
      </w:r>
    </w:p>
    <w:p w:rsidR="002D198F" w:rsidRPr="006276B0" w:rsidRDefault="002D198F" w:rsidP="002D198F">
      <w:r w:rsidRPr="001B05C8">
        <w:t xml:space="preserve">The </w:t>
      </w:r>
      <w:r>
        <w:t xml:space="preserve">preliminary </w:t>
      </w:r>
      <w:r w:rsidRPr="001B05C8">
        <w:t xml:space="preserve">2013 Paediatric Mortality and Morbidity Committee Report was finalised and released </w:t>
      </w:r>
      <w:r>
        <w:t>in March 2015.</w:t>
      </w:r>
      <w:r w:rsidRPr="001B05C8">
        <w:t xml:space="preserve">  The </w:t>
      </w:r>
      <w:r>
        <w:t xml:space="preserve">preliminary </w:t>
      </w:r>
      <w:r w:rsidRPr="001B05C8">
        <w:t>2014</w:t>
      </w:r>
      <w:r w:rsidRPr="001B05C8">
        <w:rPr>
          <w:rFonts w:cs="Arial"/>
        </w:rPr>
        <w:t xml:space="preserve"> Paediatric Mortality and Morbidity Committee Report is expected to be released with the Spring 2015 edition of the COPMM newsletter.  </w:t>
      </w:r>
    </w:p>
    <w:p w:rsidR="002D198F" w:rsidRDefault="002D198F" w:rsidP="002D198F">
      <w:r w:rsidRPr="001B05C8">
        <w:rPr>
          <w:rFonts w:cs="Arial"/>
        </w:rPr>
        <w:t xml:space="preserve">The 2012 </w:t>
      </w:r>
      <w:r>
        <w:rPr>
          <w:rFonts w:cs="Arial"/>
        </w:rPr>
        <w:t xml:space="preserve">Annual Report </w:t>
      </w:r>
      <w:r w:rsidRPr="001B05C8">
        <w:rPr>
          <w:rFonts w:cs="Arial"/>
        </w:rPr>
        <w:t xml:space="preserve">was tabled in Parliament </w:t>
      </w:r>
      <w:r w:rsidRPr="001B05C8">
        <w:t xml:space="preserve">in October 2014.  </w:t>
      </w:r>
    </w:p>
    <w:p w:rsidR="002D198F" w:rsidRDefault="002D198F" w:rsidP="002D198F">
      <w:r w:rsidRPr="001B05C8">
        <w:t xml:space="preserve">The 2013 Annual Report was progressed during the 2014-15 financial year with the plan to release at the time of its tabling in Parliament in October 2015.  The 2014 Annual Report will be progressed </w:t>
      </w:r>
      <w:r>
        <w:t>during the 2015-16 financial year</w:t>
      </w:r>
      <w:r w:rsidRPr="001B05C8">
        <w:t xml:space="preserve"> in preparation for tabling in Parliament in October 2016.  </w:t>
      </w:r>
    </w:p>
    <w:p w:rsidR="002D198F" w:rsidRDefault="00C222F0" w:rsidP="002D198F">
      <w:r>
        <w:t>F</w:t>
      </w:r>
      <w:r w:rsidR="002D198F" w:rsidRPr="001B05C8">
        <w:t xml:space="preserve">inalised reports from COPMM’s Committees for 2014 will be released with COPMM newsletters prior to the end of next financial year with key issues and recommendations being highlighted in these newsletters where possible. </w:t>
      </w:r>
    </w:p>
    <w:p w:rsidR="002D198F" w:rsidRPr="001B05C8" w:rsidRDefault="002D198F" w:rsidP="002D198F">
      <w:pPr>
        <w:rPr>
          <w:rFonts w:cs="Arial"/>
        </w:rPr>
      </w:pPr>
      <w:r w:rsidRPr="001B05C8">
        <w:rPr>
          <w:rFonts w:cs="Arial"/>
        </w:rPr>
        <w:t xml:space="preserve">Recommendations that are highlighted in recent Annual Reports are archived on the </w:t>
      </w:r>
      <w:r w:rsidRPr="00F71CD2">
        <w:rPr>
          <w:rFonts w:cs="Arial"/>
        </w:rPr>
        <w:t xml:space="preserve">Council of Obstetric and Paediatric Mortality and Morbidity </w:t>
      </w:r>
      <w:r w:rsidRPr="00880F8D">
        <w:rPr>
          <w:rFonts w:cs="Arial"/>
        </w:rPr>
        <w:t>website</w:t>
      </w:r>
      <w:r>
        <w:rPr>
          <w:rStyle w:val="Hyperlink"/>
          <w:rFonts w:cs="Arial"/>
        </w:rPr>
        <w:t xml:space="preserve">: </w:t>
      </w:r>
      <w:r w:rsidRPr="00F70D86">
        <w:rPr>
          <w:rStyle w:val="Hyperlink"/>
          <w:rFonts w:cs="Arial"/>
        </w:rPr>
        <w:t>http://www.dhhs.tas.gov.au/copmm</w:t>
      </w:r>
      <w:r w:rsidRPr="001B05C8">
        <w:rPr>
          <w:rFonts w:cs="Arial"/>
        </w:rPr>
        <w:t xml:space="preserve">. Council newsletters that are also archived on </w:t>
      </w:r>
      <w:r w:rsidRPr="00880F8D">
        <w:rPr>
          <w:rFonts w:cs="Arial"/>
        </w:rPr>
        <w:t>Council’s website</w:t>
      </w:r>
      <w:r w:rsidRPr="001B05C8">
        <w:rPr>
          <w:rFonts w:cs="Arial"/>
        </w:rPr>
        <w:t xml:space="preserve"> are electronically released and circulated quarterly to interested clinicians and organisations following Council meetings to highlight pertinent clinical issues to promote improved healthcare.</w:t>
      </w:r>
    </w:p>
    <w:p w:rsidR="002D198F" w:rsidRPr="001B05C8" w:rsidRDefault="002D198F" w:rsidP="002D198F">
      <w:pPr>
        <w:pStyle w:val="Heading2"/>
      </w:pPr>
      <w:r w:rsidRPr="001B05C8">
        <w:lastRenderedPageBreak/>
        <w:t>Data Collection and Reporting</w:t>
      </w:r>
    </w:p>
    <w:p w:rsidR="002D198F" w:rsidRPr="001B05C8" w:rsidRDefault="002D198F" w:rsidP="002D198F">
      <w:pPr>
        <w:keepLines/>
      </w:pPr>
      <w:r w:rsidRPr="001B05C8">
        <w:t xml:space="preserve">The ongoing activities of Council’s four Committees to fulfil its legislative requirements have continued to be progressed in </w:t>
      </w:r>
      <w:r>
        <w:t xml:space="preserve">the </w:t>
      </w:r>
      <w:r w:rsidRPr="001B05C8">
        <w:t>2014-15 financial year.  In particular, the continued tireless efforts, commitment and contributions</w:t>
      </w:r>
      <w:r w:rsidR="004E453D">
        <w:t xml:space="preserve"> from</w:t>
      </w:r>
      <w:r w:rsidRPr="001B05C8">
        <w:t xml:space="preserve"> clinical members </w:t>
      </w:r>
      <w:r w:rsidR="0013473F">
        <w:t xml:space="preserve">are </w:t>
      </w:r>
      <w:r w:rsidRPr="001B05C8">
        <w:t xml:space="preserve">acknowledged and applauded.  </w:t>
      </w:r>
    </w:p>
    <w:p w:rsidR="002D198F" w:rsidRPr="001B05C8" w:rsidRDefault="002D198F" w:rsidP="002D198F">
      <w:pPr>
        <w:keepLines/>
      </w:pPr>
      <w:r w:rsidRPr="001B05C8">
        <w:t xml:space="preserve">Membership of the </w:t>
      </w:r>
      <w:r w:rsidRPr="00F71CD2">
        <w:t xml:space="preserve">Data Management Committee </w:t>
      </w:r>
      <w:r w:rsidRPr="001B05C8">
        <w:t>includes representatives from obstetric, paediatric, midwifery, Health Statistics and Epidemiology Unit, Population Health areas with Professor</w:t>
      </w:r>
      <w:r>
        <w:t> </w:t>
      </w:r>
      <w:r w:rsidRPr="001B05C8">
        <w:t xml:space="preserve">Peter </w:t>
      </w:r>
      <w:proofErr w:type="spellStart"/>
      <w:r w:rsidRPr="001B05C8">
        <w:t>Dargaville</w:t>
      </w:r>
      <w:proofErr w:type="spellEnd"/>
      <w:r w:rsidRPr="001B05C8">
        <w:t xml:space="preserve"> continuing to chair this committee.  The committee continues to meet regularly to progress discussions around formatting and preparation of future Annual Reports as well as the </w:t>
      </w:r>
      <w:r w:rsidRPr="001B05C8">
        <w:rPr>
          <w:i/>
        </w:rPr>
        <w:t>ObstetrixTas System</w:t>
      </w:r>
      <w:r w:rsidRPr="001B05C8">
        <w:t xml:space="preserve"> and development of a more comprehensive Congenital Abnormality Register for Tasmania.   </w:t>
      </w:r>
    </w:p>
    <w:p w:rsidR="002D198F" w:rsidRPr="001B05C8" w:rsidRDefault="004E453D" w:rsidP="002D198F">
      <w:pPr>
        <w:rPr>
          <w:rFonts w:cs="Arial"/>
        </w:rPr>
      </w:pPr>
      <w:r>
        <w:rPr>
          <w:rFonts w:cs="Arial"/>
        </w:rPr>
        <w:t xml:space="preserve">Professor </w:t>
      </w:r>
      <w:proofErr w:type="spellStart"/>
      <w:r>
        <w:rPr>
          <w:rFonts w:cs="Arial"/>
        </w:rPr>
        <w:t>Dargaville</w:t>
      </w:r>
      <w:proofErr w:type="spellEnd"/>
      <w:r>
        <w:rPr>
          <w:rFonts w:cs="Arial"/>
        </w:rPr>
        <w:t xml:space="preserve"> also</w:t>
      </w:r>
      <w:r w:rsidR="002D198F" w:rsidRPr="001B05C8">
        <w:rPr>
          <w:rFonts w:cs="Arial"/>
        </w:rPr>
        <w:t xml:space="preserve"> to chair the </w:t>
      </w:r>
      <w:r w:rsidR="002D198F" w:rsidRPr="00F71CD2">
        <w:rPr>
          <w:rFonts w:cs="Arial"/>
        </w:rPr>
        <w:t xml:space="preserve">Perinatal Mortality and Morbidity Committee </w:t>
      </w:r>
      <w:r w:rsidR="002D198F" w:rsidRPr="001B05C8">
        <w:rPr>
          <w:rFonts w:cs="Arial"/>
        </w:rPr>
        <w:t xml:space="preserve">which comprises members who dedicate their invaluable time to review and classify perinatal cases according to Perinatal Society of Australia and New Zealand (PSANZ) guidelines.  Classification codes derived from this review process not only serves to fulfil Council’s reporting requirements but it also provides the States’ perinatal death cases dataset to national bodies for national reporting purposes.    </w:t>
      </w:r>
    </w:p>
    <w:p w:rsidR="002D198F" w:rsidRPr="001B05C8" w:rsidRDefault="002D198F" w:rsidP="002D198F">
      <w:pPr>
        <w:rPr>
          <w:rFonts w:cs="Arial"/>
        </w:rPr>
      </w:pPr>
      <w:r w:rsidRPr="001B05C8">
        <w:rPr>
          <w:rFonts w:cs="Arial"/>
        </w:rPr>
        <w:t>All paediatric deaths re</w:t>
      </w:r>
      <w:r w:rsidR="00BE0BA0">
        <w:rPr>
          <w:rFonts w:cs="Arial"/>
        </w:rPr>
        <w:t>ported annually throughout the S</w:t>
      </w:r>
      <w:r w:rsidRPr="001B05C8">
        <w:rPr>
          <w:rFonts w:cs="Arial"/>
        </w:rPr>
        <w:t xml:space="preserve">tate are reviewed and classified by the </w:t>
      </w:r>
      <w:r w:rsidRPr="00F71CD2">
        <w:rPr>
          <w:rFonts w:cs="Arial"/>
        </w:rPr>
        <w:t xml:space="preserve">Paediatric Mortality and Morbidity Committee </w:t>
      </w:r>
      <w:r w:rsidRPr="001B05C8">
        <w:rPr>
          <w:rFonts w:cs="Arial"/>
        </w:rPr>
        <w:t>chaired by Council’s Chair, D</w:t>
      </w:r>
      <w:r>
        <w:rPr>
          <w:rFonts w:cs="Arial"/>
        </w:rPr>
        <w:t>r Michelle </w:t>
      </w:r>
      <w:r w:rsidRPr="001B05C8">
        <w:rPr>
          <w:rFonts w:cs="Arial"/>
        </w:rPr>
        <w:t>Williams.</w:t>
      </w:r>
    </w:p>
    <w:p w:rsidR="002D198F" w:rsidRPr="001B05C8" w:rsidRDefault="00254197" w:rsidP="002D198F">
      <w:pPr>
        <w:rPr>
          <w:rFonts w:cs="Arial"/>
        </w:rPr>
      </w:pPr>
      <w:r>
        <w:rPr>
          <w:rFonts w:cs="Arial"/>
        </w:rPr>
        <w:t>Lastly</w:t>
      </w:r>
      <w:r w:rsidR="002D198F" w:rsidRPr="001B05C8">
        <w:rPr>
          <w:rFonts w:cs="Arial"/>
        </w:rPr>
        <w:t xml:space="preserve">, all reported maternal deaths in Tasmania are reviewed and classified according to the system recognised by the World Health Organisation. The </w:t>
      </w:r>
      <w:r w:rsidR="002D198F" w:rsidRPr="00F71CD2">
        <w:rPr>
          <w:rFonts w:cs="Arial"/>
        </w:rPr>
        <w:t xml:space="preserve">National Maternal Death Reporting form </w:t>
      </w:r>
      <w:r w:rsidR="002D198F" w:rsidRPr="001B05C8">
        <w:rPr>
          <w:rFonts w:cs="Arial"/>
        </w:rPr>
        <w:t xml:space="preserve">also continues to assist with this review process.  Associate Professor Amanda Dennis remains Chair of this </w:t>
      </w:r>
      <w:r w:rsidR="002D198F" w:rsidRPr="00F71CD2">
        <w:rPr>
          <w:rFonts w:cs="Arial"/>
        </w:rPr>
        <w:t>Maternal Mortality and Morbidity Committee</w:t>
      </w:r>
      <w:r w:rsidR="002D198F" w:rsidRPr="001B05C8">
        <w:rPr>
          <w:rFonts w:cs="Arial"/>
        </w:rPr>
        <w:t xml:space="preserve"> which undertakes the required review processes.</w:t>
      </w:r>
    </w:p>
    <w:p w:rsidR="002D198F" w:rsidRPr="001B05C8" w:rsidRDefault="002D198F" w:rsidP="002D198F">
      <w:pPr>
        <w:pStyle w:val="Heading3"/>
      </w:pPr>
      <w:r w:rsidRPr="001B05C8">
        <w:t xml:space="preserve">Data </w:t>
      </w:r>
      <w:r>
        <w:t>C</w:t>
      </w:r>
      <w:r w:rsidRPr="001B05C8">
        <w:t xml:space="preserve">ollection </w:t>
      </w:r>
      <w:r>
        <w:t>F</w:t>
      </w:r>
      <w:r w:rsidRPr="001B05C8">
        <w:t>orms</w:t>
      </w:r>
    </w:p>
    <w:p w:rsidR="002D198F" w:rsidRPr="001B05C8" w:rsidRDefault="002D198F" w:rsidP="002D198F">
      <w:pPr>
        <w:pStyle w:val="NormalIndent"/>
        <w:keepLines/>
        <w:ind w:left="0"/>
      </w:pPr>
      <w:r w:rsidRPr="001B05C8">
        <w:t xml:space="preserve">The </w:t>
      </w:r>
      <w:r w:rsidRPr="001B05C8">
        <w:rPr>
          <w:i/>
        </w:rPr>
        <w:t>National Perinatal Death Clinical Audit Tool</w:t>
      </w:r>
      <w:r w:rsidRPr="001B05C8">
        <w:t xml:space="preserve"> (NPDCAT) </w:t>
      </w:r>
      <w:r w:rsidR="004E453D">
        <w:t>is</w:t>
      </w:r>
      <w:r w:rsidRPr="001B05C8">
        <w:t xml:space="preserve"> used by all Tasmanian hospitals to collect detailed information on reported stillbirths and neonatal deaths in</w:t>
      </w:r>
      <w:r w:rsidR="00254197">
        <w:t xml:space="preserve"> lieu</w:t>
      </w:r>
      <w:r w:rsidRPr="001B05C8">
        <w:t xml:space="preserve"> of stillbirth and neonatal death forms on the </w:t>
      </w:r>
      <w:r w:rsidRPr="00F71CD2">
        <w:t xml:space="preserve">ObstetrixTas system.  Progress has been made in this financial year to integrate this form into the ObstetrixTas </w:t>
      </w:r>
      <w:r w:rsidRPr="001B05C8">
        <w:t>system.  Council continues to urge that only the attending medical practitioner/specialist completes the NPDCAT form in respect to their reported perinatal mortality case.</w:t>
      </w:r>
    </w:p>
    <w:p w:rsidR="002D198F" w:rsidRPr="001B05C8" w:rsidRDefault="002D198F" w:rsidP="002D198F">
      <w:pPr>
        <w:pStyle w:val="NormalIndent"/>
        <w:keepLines/>
        <w:ind w:left="0"/>
      </w:pPr>
      <w:r w:rsidRPr="001B05C8">
        <w:t xml:space="preserve">The </w:t>
      </w:r>
      <w:r w:rsidRPr="00F71CD2">
        <w:t xml:space="preserve">National Maternal Death Form </w:t>
      </w:r>
      <w:r w:rsidRPr="001B05C8">
        <w:t>assist</w:t>
      </w:r>
      <w:r w:rsidR="004E453D">
        <w:t>s</w:t>
      </w:r>
      <w:r w:rsidRPr="001B05C8">
        <w:t xml:space="preserve"> with the review process for reported maternal death cases.</w:t>
      </w:r>
    </w:p>
    <w:p w:rsidR="002D198F" w:rsidRPr="001B05C8" w:rsidRDefault="002D198F" w:rsidP="002D198F">
      <w:pPr>
        <w:pStyle w:val="NormalIndent"/>
        <w:keepLines/>
        <w:ind w:left="0"/>
      </w:pPr>
      <w:r>
        <w:t xml:space="preserve">The </w:t>
      </w:r>
      <w:r w:rsidRPr="001B05C8">
        <w:t>Council continues to seek national support to develop a more comprehensive Congenital Abnormality Register</w:t>
      </w:r>
      <w:r w:rsidR="00254197">
        <w:t>,</w:t>
      </w:r>
      <w:r w:rsidRPr="001B05C8">
        <w:t xml:space="preserve"> particularly in view of previous national interest in the development of a national database for congenital anomalies.  It is hoped that with such a national development, the necessary refinements could be integrated into a Tasmanian model as required and finally incorporated into the </w:t>
      </w:r>
      <w:r w:rsidRPr="00F71CD2">
        <w:t xml:space="preserve">ObstetrixTas </w:t>
      </w:r>
      <w:r w:rsidRPr="001B05C8">
        <w:t xml:space="preserve">system in the future. </w:t>
      </w:r>
    </w:p>
    <w:p w:rsidR="002D198F" w:rsidRPr="001B05C8" w:rsidRDefault="002D198F" w:rsidP="002D198F">
      <w:pPr>
        <w:pStyle w:val="NormalIndent"/>
        <w:keepLines/>
        <w:ind w:left="0"/>
        <w:rPr>
          <w:rFonts w:cs="Arial"/>
          <w:color w:val="000080"/>
        </w:rPr>
      </w:pPr>
      <w:r w:rsidRPr="001B05C8">
        <w:t xml:space="preserve">The Tasmanian Perinatal Data Collection Form continues be completed by all services that do not have access to the </w:t>
      </w:r>
      <w:r w:rsidRPr="00F71CD2">
        <w:t xml:space="preserve">ObstetrixTas </w:t>
      </w:r>
      <w:r w:rsidRPr="001B05C8">
        <w:t xml:space="preserve">system (i.e., private hospitals and birth centres where the birth occurs; or private midwifery and medical practitioners who deliver babies outside hospitals).  The 2013 version is used for births occurring </w:t>
      </w:r>
      <w:r w:rsidRPr="007D4C0E">
        <w:t>before</w:t>
      </w:r>
      <w:r w:rsidRPr="001B05C8">
        <w:t xml:space="preserve"> 1 January 2015 while an updated 2015 version has been provided for use for births </w:t>
      </w:r>
      <w:r w:rsidRPr="007D4C0E">
        <w:t>on</w:t>
      </w:r>
      <w:r w:rsidRPr="006276B0">
        <w:t xml:space="preserve"> or </w:t>
      </w:r>
      <w:r w:rsidRPr="007D4C0E">
        <w:t>after</w:t>
      </w:r>
      <w:r w:rsidRPr="001B05C8">
        <w:t xml:space="preserve"> 1 January 2015. Completion of this form is a mandatory requirement for data collection under the </w:t>
      </w:r>
      <w:r w:rsidRPr="001B05C8">
        <w:rPr>
          <w:rFonts w:cs="Arial"/>
          <w:i/>
        </w:rPr>
        <w:t>Obstetric and Paediatric Mortality and Morbidity Act 1994</w:t>
      </w:r>
      <w:r w:rsidRPr="001B05C8">
        <w:t xml:space="preserve">. A copy of these forms and associated guidelines can be accessed via </w:t>
      </w:r>
      <w:r w:rsidRPr="00880F8D">
        <w:rPr>
          <w:rFonts w:cs="Arial"/>
        </w:rPr>
        <w:t>COPMM’s website</w:t>
      </w:r>
      <w:r w:rsidRPr="001B05C8">
        <w:rPr>
          <w:rFonts w:cs="Arial"/>
          <w:color w:val="000080"/>
        </w:rPr>
        <w:t>.</w:t>
      </w:r>
    </w:p>
    <w:p w:rsidR="002D198F" w:rsidRPr="001B05C8" w:rsidRDefault="002D198F" w:rsidP="002D198F">
      <w:pPr>
        <w:pStyle w:val="Heading3"/>
      </w:pPr>
      <w:r w:rsidRPr="001B05C8">
        <w:lastRenderedPageBreak/>
        <w:t xml:space="preserve">Progress in </w:t>
      </w:r>
      <w:r>
        <w:t>D</w:t>
      </w:r>
      <w:r w:rsidRPr="001B05C8">
        <w:t>atabase:</w:t>
      </w:r>
    </w:p>
    <w:p w:rsidR="002D198F" w:rsidRPr="001B05C8" w:rsidRDefault="002D198F" w:rsidP="002D198F">
      <w:pPr>
        <w:pStyle w:val="NormalIndent"/>
        <w:keepLines/>
        <w:ind w:left="0"/>
      </w:pPr>
      <w:r w:rsidRPr="001B05C8">
        <w:t xml:space="preserve">The development and establishment of the </w:t>
      </w:r>
      <w:r w:rsidRPr="00F71CD2">
        <w:t>ObstetrixTas s</w:t>
      </w:r>
      <w:r w:rsidRPr="001B05C8">
        <w:t xml:space="preserve">ystem was implemented in all statewide public maternity hospitals in 2010 to provide obstetric units with access to clinical information for management, planning, teaching and research purposes. Feedback has indicated that hospital staff have embraced the use of this system </w:t>
      </w:r>
      <w:r w:rsidR="00254197">
        <w:t>and</w:t>
      </w:r>
      <w:r w:rsidR="00254197" w:rsidRPr="001B05C8">
        <w:t xml:space="preserve"> </w:t>
      </w:r>
      <w:r w:rsidRPr="001B05C8">
        <w:t xml:space="preserve">have found it to be valuable and useful in their clinical practice especially in regards to improvement in the timeliness, completeness and accuracy of information reported from the system. Council continues to seek support to ensure that </w:t>
      </w:r>
      <w:r w:rsidRPr="00F71CD2">
        <w:t xml:space="preserve">ObstetrixTas </w:t>
      </w:r>
      <w:r w:rsidRPr="001B05C8">
        <w:t>collects the relevant information that is required for its legislative reporting requirements.</w:t>
      </w:r>
    </w:p>
    <w:p w:rsidR="002D198F" w:rsidRPr="001B05C8" w:rsidRDefault="002D198F" w:rsidP="002D198F">
      <w:pPr>
        <w:pStyle w:val="Heading3"/>
      </w:pPr>
      <w:r w:rsidRPr="001B05C8">
        <w:t xml:space="preserve">Review the </w:t>
      </w:r>
      <w:r>
        <w:t>S</w:t>
      </w:r>
      <w:r w:rsidRPr="001B05C8">
        <w:t>tructure of the Annual Report</w:t>
      </w:r>
    </w:p>
    <w:p w:rsidR="002D198F" w:rsidRPr="001B05C8" w:rsidRDefault="002D198F" w:rsidP="002D198F">
      <w:pPr>
        <w:pStyle w:val="NormalIndent"/>
        <w:keepLines/>
        <w:ind w:left="0"/>
      </w:pPr>
      <w:r w:rsidRPr="001B05C8">
        <w:t>The Annual Report format continues to be refined as required for clearer presentation of data.  The role of the Data Management Committee provides opportunities to discuss and revise formatting issues as required.</w:t>
      </w:r>
    </w:p>
    <w:p w:rsidR="002D198F" w:rsidRPr="001B05C8" w:rsidRDefault="002D198F" w:rsidP="002D198F">
      <w:pPr>
        <w:pStyle w:val="Heading2"/>
      </w:pPr>
      <w:r w:rsidRPr="001B05C8">
        <w:t>Financial Statements as at 30 June 2015</w:t>
      </w:r>
    </w:p>
    <w:p w:rsidR="002D198F" w:rsidRPr="001B05C8" w:rsidRDefault="002D198F" w:rsidP="002D198F">
      <w:pPr>
        <w:rPr>
          <w:rFonts w:cs="Arial"/>
        </w:rPr>
      </w:pPr>
      <w:r w:rsidRPr="001B05C8">
        <w:rPr>
          <w:rFonts w:cs="Arial"/>
        </w:rPr>
        <w:t>Not applicable.</w:t>
      </w:r>
    </w:p>
    <w:p w:rsidR="002D198F" w:rsidRDefault="002D198F" w:rsidP="002D198F">
      <w:pPr>
        <w:tabs>
          <w:tab w:val="clear" w:pos="567"/>
        </w:tabs>
        <w:spacing w:after="200" w:line="276" w:lineRule="auto"/>
      </w:pPr>
    </w:p>
    <w:p w:rsidR="00410217" w:rsidRPr="00ED559D" w:rsidRDefault="00410217">
      <w:pPr>
        <w:tabs>
          <w:tab w:val="clear" w:pos="567"/>
        </w:tabs>
        <w:spacing w:after="200" w:line="276" w:lineRule="auto"/>
        <w:rPr>
          <w:rFonts w:eastAsiaTheme="majorEastAsia" w:cstheme="majorBidi"/>
          <w:b/>
          <w:bCs/>
          <w:sz w:val="40"/>
          <w:szCs w:val="28"/>
        </w:rPr>
      </w:pPr>
      <w:r w:rsidRPr="00ED559D">
        <w:br w:type="page"/>
      </w:r>
    </w:p>
    <w:p w:rsidR="00AF183F" w:rsidRPr="001B05C8" w:rsidRDefault="00AF183F" w:rsidP="00AD70A7">
      <w:pPr>
        <w:pStyle w:val="Heading1"/>
      </w:pPr>
      <w:bookmarkStart w:id="86" w:name="_Toc430351463"/>
      <w:r w:rsidRPr="001B05C8">
        <w:lastRenderedPageBreak/>
        <w:t>Tasmanian Pharmacy Authority</w:t>
      </w:r>
      <w:bookmarkEnd w:id="86"/>
    </w:p>
    <w:p w:rsidR="00AF183F" w:rsidRPr="001B05C8" w:rsidRDefault="00AF183F" w:rsidP="00AF183F">
      <w:r w:rsidRPr="001B05C8">
        <w:t>Annual Report</w:t>
      </w:r>
    </w:p>
    <w:p w:rsidR="00AF183F" w:rsidRPr="001B05C8" w:rsidRDefault="00AF183F" w:rsidP="00AF183F">
      <w:r w:rsidRPr="001B05C8">
        <w:t>For year ended 30 June 2015</w:t>
      </w:r>
    </w:p>
    <w:p w:rsidR="00B17900" w:rsidRPr="001B05C8" w:rsidRDefault="00B17900" w:rsidP="00AF183F">
      <w:pPr>
        <w:pBdr>
          <w:bottom w:val="single" w:sz="4" w:space="1" w:color="auto"/>
        </w:pBdr>
      </w:pPr>
    </w:p>
    <w:p w:rsidR="00880F8D" w:rsidRPr="001B05C8" w:rsidRDefault="00880F8D" w:rsidP="00880F8D">
      <w:pPr>
        <w:rPr>
          <w:b/>
        </w:rPr>
      </w:pPr>
      <w:r w:rsidRPr="001B05C8">
        <w:rPr>
          <w:b/>
        </w:rPr>
        <w:t>Contents</w:t>
      </w:r>
    </w:p>
    <w:p w:rsidR="00880F8D" w:rsidRPr="001B05C8" w:rsidRDefault="00880F8D" w:rsidP="00880F8D">
      <w:r w:rsidRPr="001B05C8">
        <w:t xml:space="preserve">Establishment of the </w:t>
      </w:r>
      <w:r>
        <w:t>Authority</w:t>
      </w:r>
    </w:p>
    <w:p w:rsidR="00880F8D" w:rsidRPr="001B05C8" w:rsidRDefault="00880F8D" w:rsidP="00880F8D">
      <w:r>
        <w:t xml:space="preserve">Authority </w:t>
      </w:r>
      <w:r w:rsidRPr="001B05C8">
        <w:t>Role and Functions</w:t>
      </w:r>
    </w:p>
    <w:p w:rsidR="00880F8D" w:rsidRPr="001B05C8" w:rsidRDefault="00880F8D" w:rsidP="00880F8D">
      <w:r w:rsidRPr="001B05C8">
        <w:t>Membership</w:t>
      </w:r>
      <w:r>
        <w:t xml:space="preserve"> of the Authority</w:t>
      </w:r>
    </w:p>
    <w:p w:rsidR="00880F8D" w:rsidRPr="001B05C8" w:rsidRDefault="00880F8D" w:rsidP="00880F8D">
      <w:r w:rsidRPr="001B05C8">
        <w:t>Meetings</w:t>
      </w:r>
      <w:r>
        <w:t xml:space="preserve"> of the Authority</w:t>
      </w:r>
    </w:p>
    <w:p w:rsidR="00880F8D" w:rsidRDefault="00880F8D" w:rsidP="00880F8D">
      <w:r w:rsidRPr="001B05C8">
        <w:t>Administration</w:t>
      </w:r>
    </w:p>
    <w:p w:rsidR="00880F8D" w:rsidRPr="001B05C8" w:rsidRDefault="00880F8D" w:rsidP="00880F8D">
      <w:r w:rsidRPr="001B05C8">
        <w:t xml:space="preserve">Representation on National Bodies </w:t>
      </w:r>
    </w:p>
    <w:p w:rsidR="00880F8D" w:rsidRPr="001B05C8" w:rsidRDefault="00880F8D" w:rsidP="00880F8D">
      <w:r w:rsidRPr="001B05C8">
        <w:t xml:space="preserve">Registration </w:t>
      </w:r>
    </w:p>
    <w:p w:rsidR="00880F8D" w:rsidRPr="001B05C8" w:rsidRDefault="00880F8D" w:rsidP="00880F8D">
      <w:r w:rsidRPr="001B05C8">
        <w:t>Review of Activities and Operations 2014-15</w:t>
      </w:r>
    </w:p>
    <w:p w:rsidR="00880F8D" w:rsidRPr="001B05C8" w:rsidRDefault="00880F8D" w:rsidP="00880F8D">
      <w:r w:rsidRPr="001B05C8">
        <w:t xml:space="preserve">Financial Statements </w:t>
      </w:r>
    </w:p>
    <w:p w:rsidR="00880F8D" w:rsidRPr="001B05C8" w:rsidRDefault="00880F8D" w:rsidP="00880F8D"/>
    <w:p w:rsidR="00880F8D" w:rsidRDefault="00880F8D">
      <w:pPr>
        <w:tabs>
          <w:tab w:val="clear" w:pos="567"/>
        </w:tabs>
        <w:spacing w:after="200" w:line="276" w:lineRule="auto"/>
        <w:rPr>
          <w:rFonts w:eastAsiaTheme="majorEastAsia" w:cstheme="majorBidi"/>
          <w:b/>
          <w:bCs/>
          <w:sz w:val="28"/>
        </w:rPr>
      </w:pPr>
      <w:r>
        <w:br w:type="page"/>
      </w:r>
    </w:p>
    <w:p w:rsidR="00AF183F" w:rsidRPr="00727881" w:rsidRDefault="00AF183F" w:rsidP="00F75382">
      <w:pPr>
        <w:pStyle w:val="Heading2"/>
      </w:pPr>
      <w:r w:rsidRPr="00727881">
        <w:lastRenderedPageBreak/>
        <w:t>Establishment of the Authority</w:t>
      </w:r>
    </w:p>
    <w:p w:rsidR="00AF183F" w:rsidRPr="001B05C8" w:rsidRDefault="00AF183F" w:rsidP="00AF183F">
      <w:r w:rsidRPr="001B05C8">
        <w:t xml:space="preserve">The Tasmanian Pharmacy Authority is a body corporate, established under section 6(1) of the </w:t>
      </w:r>
      <w:r w:rsidRPr="00BE0BA0">
        <w:rPr>
          <w:i/>
        </w:rPr>
        <w:t>Pharmacy Control Act 2001</w:t>
      </w:r>
      <w:r w:rsidRPr="001B05C8">
        <w:t xml:space="preserve"> (the Act).  </w:t>
      </w:r>
    </w:p>
    <w:p w:rsidR="00AF183F" w:rsidRPr="001B05C8" w:rsidRDefault="00AF183F" w:rsidP="00AF183F">
      <w:r w:rsidRPr="001B05C8">
        <w:t>Historically, the former Pharmacy Board of Tasmania had functions including:</w:t>
      </w:r>
    </w:p>
    <w:p w:rsidR="00AF183F" w:rsidRPr="001B05C8" w:rsidRDefault="00AF183F" w:rsidP="00584AA0">
      <w:pPr>
        <w:pStyle w:val="ListParagraph"/>
        <w:keepLines w:val="0"/>
        <w:widowControl/>
        <w:numPr>
          <w:ilvl w:val="0"/>
          <w:numId w:val="33"/>
        </w:numPr>
        <w:spacing w:line="240" w:lineRule="atLeast"/>
        <w:ind w:left="567" w:right="238" w:hanging="567"/>
        <w:contextualSpacing w:val="0"/>
        <w:jc w:val="both"/>
        <w:rPr>
          <w:rFonts w:cstheme="minorHAnsi"/>
        </w:rPr>
      </w:pPr>
      <w:r w:rsidRPr="001B05C8">
        <w:rPr>
          <w:rFonts w:cstheme="minorHAnsi"/>
        </w:rPr>
        <w:t>registration of pharmacists; and</w:t>
      </w:r>
    </w:p>
    <w:p w:rsidR="00AF183F" w:rsidRPr="001B05C8" w:rsidRDefault="00AF183F" w:rsidP="00584AA0">
      <w:pPr>
        <w:pStyle w:val="ListParagraph"/>
        <w:keepLines w:val="0"/>
        <w:widowControl/>
        <w:numPr>
          <w:ilvl w:val="0"/>
          <w:numId w:val="33"/>
        </w:numPr>
        <w:spacing w:line="240" w:lineRule="atLeast"/>
        <w:ind w:left="567" w:right="238" w:hanging="567"/>
        <w:contextualSpacing w:val="0"/>
        <w:jc w:val="both"/>
        <w:rPr>
          <w:rFonts w:cstheme="minorHAnsi"/>
        </w:rPr>
      </w:pPr>
      <w:r w:rsidRPr="001B05C8">
        <w:rPr>
          <w:rFonts w:cstheme="minorHAnsi"/>
        </w:rPr>
        <w:t>registration of pharmacy premises (regulating the ownership and standards of pharmacy premises).</w:t>
      </w:r>
    </w:p>
    <w:p w:rsidR="00AF183F" w:rsidRPr="001B05C8" w:rsidRDefault="00AF183F" w:rsidP="00AF183F">
      <w:r w:rsidRPr="001B05C8">
        <w:t>The first function (registration of pharmacists) is now undertaken by the</w:t>
      </w:r>
      <w:r w:rsidR="00BE0BA0">
        <w:t xml:space="preserve"> Australian Health Practitioner</w:t>
      </w:r>
      <w:r w:rsidRPr="001B05C8">
        <w:t xml:space="preserve"> </w:t>
      </w:r>
      <w:r w:rsidR="00BE0BA0">
        <w:t>Regulation Agency</w:t>
      </w:r>
      <w:r w:rsidRPr="001B05C8">
        <w:t xml:space="preserve"> (AHPRA).</w:t>
      </w:r>
    </w:p>
    <w:p w:rsidR="00AF183F" w:rsidRPr="001B05C8" w:rsidRDefault="00AF183F" w:rsidP="00AF183F">
      <w:r w:rsidRPr="001B05C8">
        <w:t xml:space="preserve">The second function (registration of pharmacy premises), as in other </w:t>
      </w:r>
      <w:r w:rsidR="00BE0BA0">
        <w:t>s</w:t>
      </w:r>
      <w:r w:rsidRPr="001B05C8">
        <w:t>tates, is still regulated by a State body.  In Tasmania, this is the Tasmanian Pharmacy Authority, which was established on 1 February 2011.  This report covers the third full financial year of its operations.</w:t>
      </w:r>
    </w:p>
    <w:p w:rsidR="00AF183F" w:rsidRPr="00727881" w:rsidRDefault="00AF183F" w:rsidP="00F75382">
      <w:pPr>
        <w:pStyle w:val="Heading2"/>
      </w:pPr>
      <w:r w:rsidRPr="00727881">
        <w:t>Authority Roles and Functions</w:t>
      </w:r>
    </w:p>
    <w:p w:rsidR="00AF183F" w:rsidRPr="001B05C8" w:rsidRDefault="00AF183F" w:rsidP="00F75382">
      <w:pPr>
        <w:pStyle w:val="Heading3"/>
      </w:pPr>
      <w:r w:rsidRPr="001B05C8">
        <w:t>Functions of the Authority</w:t>
      </w:r>
    </w:p>
    <w:p w:rsidR="00AF183F" w:rsidRPr="001B05C8" w:rsidRDefault="00AF183F" w:rsidP="00AF183F">
      <w:pPr>
        <w:tabs>
          <w:tab w:val="clear" w:pos="567"/>
        </w:tabs>
        <w:ind w:right="238"/>
        <w:jc w:val="both"/>
        <w:rPr>
          <w:rFonts w:cstheme="minorHAnsi"/>
        </w:rPr>
      </w:pPr>
      <w:r w:rsidRPr="001B05C8">
        <w:rPr>
          <w:rFonts w:cstheme="minorHAnsi"/>
          <w:bCs/>
        </w:rPr>
        <w:t>Section 8 of the Act prescribes the following functions for the Authority</w:t>
      </w:r>
      <w:r w:rsidRPr="001B05C8">
        <w:rPr>
          <w:rFonts w:cstheme="minorHAnsi"/>
        </w:rPr>
        <w:t>:</w:t>
      </w:r>
      <w:bookmarkStart w:id="87" w:name="GS8@Hpa@EN"/>
      <w:bookmarkEnd w:id="87"/>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r w:rsidRPr="001B05C8">
        <w:rPr>
          <w:rFonts w:cstheme="minorHAnsi"/>
        </w:rPr>
        <w:t>to administer the scheme of registration of pharmacy business premises;</w:t>
      </w:r>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bookmarkStart w:id="88" w:name="GS8@Hpb@EN"/>
      <w:bookmarkEnd w:id="88"/>
      <w:r w:rsidRPr="001B05C8">
        <w:rPr>
          <w:rFonts w:cstheme="minorHAnsi"/>
        </w:rPr>
        <w:t>to approve the ownership of and interests in pharmacy businesses;</w:t>
      </w:r>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bookmarkStart w:id="89" w:name="GS8@Hpc@EN"/>
      <w:bookmarkEnd w:id="89"/>
      <w:r w:rsidRPr="001B05C8">
        <w:rPr>
          <w:rFonts w:cstheme="minorHAnsi"/>
        </w:rPr>
        <w:t>to ensure that the services that pharmacy businesses provide from pharmacy business premises to the public are of the highest possible standard;</w:t>
      </w:r>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bookmarkStart w:id="90" w:name="GS8@Hpd@EN"/>
      <w:bookmarkEnd w:id="90"/>
      <w:r w:rsidRPr="001B05C8">
        <w:rPr>
          <w:rFonts w:cstheme="minorHAnsi"/>
        </w:rPr>
        <w:t>to prosecute offences against this Act;</w:t>
      </w:r>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bookmarkStart w:id="91" w:name="GS8@Hpe@EN"/>
      <w:bookmarkStart w:id="92" w:name="GS8@Hpg@EN"/>
      <w:bookmarkEnd w:id="91"/>
      <w:bookmarkEnd w:id="92"/>
      <w:r w:rsidRPr="001B05C8">
        <w:rPr>
          <w:rFonts w:cstheme="minorHAnsi"/>
        </w:rPr>
        <w:t>to advise the Minister on matters relating to the Act;</w:t>
      </w:r>
      <w:r w:rsidR="004C2823">
        <w:rPr>
          <w:rFonts w:cstheme="minorHAnsi"/>
        </w:rPr>
        <w:t xml:space="preserve"> and</w:t>
      </w:r>
    </w:p>
    <w:p w:rsidR="00AF183F" w:rsidRPr="001B05C8" w:rsidRDefault="00AF183F" w:rsidP="007A28E6">
      <w:pPr>
        <w:numPr>
          <w:ilvl w:val="0"/>
          <w:numId w:val="34"/>
        </w:numPr>
        <w:tabs>
          <w:tab w:val="clear" w:pos="567"/>
          <w:tab w:val="clear" w:pos="1080"/>
        </w:tabs>
        <w:spacing w:line="240" w:lineRule="atLeast"/>
        <w:ind w:left="567" w:right="238" w:hanging="567"/>
        <w:jc w:val="both"/>
        <w:rPr>
          <w:rFonts w:cstheme="minorHAnsi"/>
        </w:rPr>
      </w:pPr>
      <w:bookmarkStart w:id="93" w:name="GS8@Hph@EN"/>
      <w:bookmarkEnd w:id="93"/>
      <w:r w:rsidRPr="001B05C8">
        <w:rPr>
          <w:rFonts w:cstheme="minorHAnsi"/>
        </w:rPr>
        <w:t>such other functions as are imposed on the Authority by this or any other Act or as may be prescribed.</w:t>
      </w:r>
    </w:p>
    <w:p w:rsidR="00AF183F" w:rsidRPr="001B05C8" w:rsidRDefault="00AF183F" w:rsidP="00F75382">
      <w:pPr>
        <w:pStyle w:val="Heading3"/>
      </w:pPr>
      <w:r w:rsidRPr="001B05C8">
        <w:t>Role of the Authority</w:t>
      </w:r>
    </w:p>
    <w:p w:rsidR="00AF183F" w:rsidRPr="001B05C8" w:rsidRDefault="00AF183F" w:rsidP="00AF183F">
      <w:r w:rsidRPr="001B05C8">
        <w:t xml:space="preserve">Section 9 of the Act empowers the Authority to do all things necessary or convenient to be done in connection with the performance of its functions. </w:t>
      </w:r>
    </w:p>
    <w:p w:rsidR="00AF183F" w:rsidRPr="00F75382" w:rsidRDefault="00880F8D" w:rsidP="00F75382">
      <w:pPr>
        <w:pStyle w:val="Heading2"/>
      </w:pPr>
      <w:r w:rsidRPr="00F75382">
        <w:t>Membership of the Authority</w:t>
      </w:r>
    </w:p>
    <w:p w:rsidR="00AF183F" w:rsidRPr="001B05C8" w:rsidRDefault="00AF183F" w:rsidP="00AF183F">
      <w:pPr>
        <w:ind w:left="567" w:right="238" w:hanging="567"/>
        <w:jc w:val="both"/>
        <w:rPr>
          <w:rFonts w:cstheme="minorHAnsi"/>
        </w:rPr>
      </w:pPr>
      <w:r w:rsidRPr="001B05C8">
        <w:rPr>
          <w:rFonts w:cstheme="minorHAnsi"/>
        </w:rPr>
        <w:t>Membership of the Authority is prescribed under section 7 of the Act.</w:t>
      </w:r>
    </w:p>
    <w:p w:rsidR="00AF183F" w:rsidRPr="001B05C8" w:rsidRDefault="00AF183F" w:rsidP="00AF183F">
      <w:r w:rsidRPr="001B05C8">
        <w:t>The Authority consists of</w:t>
      </w:r>
    </w:p>
    <w:p w:rsidR="00AF183F" w:rsidRPr="001B05C8" w:rsidRDefault="00AF183F" w:rsidP="007A28E6">
      <w:pPr>
        <w:pStyle w:val="ListParagraph"/>
        <w:numPr>
          <w:ilvl w:val="0"/>
          <w:numId w:val="35"/>
        </w:numPr>
        <w:spacing w:after="120"/>
        <w:ind w:left="567" w:right="238" w:hanging="567"/>
        <w:jc w:val="both"/>
        <w:rPr>
          <w:rFonts w:cstheme="minorHAnsi"/>
        </w:rPr>
      </w:pPr>
      <w:r w:rsidRPr="001B05C8">
        <w:rPr>
          <w:rFonts w:cstheme="minorHAnsi"/>
        </w:rPr>
        <w:t>two registered pharmacists nominated by the Minister from a list of names submitted by such bodies representing the professional interests of pharmacists as the Minister determined; and</w:t>
      </w:r>
    </w:p>
    <w:p w:rsidR="00AF183F" w:rsidRPr="001B05C8" w:rsidRDefault="00AF183F" w:rsidP="007A28E6">
      <w:pPr>
        <w:pStyle w:val="ListParagraph"/>
        <w:numPr>
          <w:ilvl w:val="0"/>
          <w:numId w:val="35"/>
        </w:numPr>
        <w:spacing w:after="120"/>
        <w:ind w:left="567" w:right="238" w:hanging="567"/>
        <w:jc w:val="both"/>
        <w:rPr>
          <w:rFonts w:cstheme="minorHAnsi"/>
        </w:rPr>
      </w:pPr>
      <w:r w:rsidRPr="001B05C8">
        <w:rPr>
          <w:rFonts w:cstheme="minorHAnsi"/>
        </w:rPr>
        <w:t>one person to be a non-pharmacist, nominated by the Minister to represent the interests of the consumers of the services that pharmacists provide.</w:t>
      </w:r>
    </w:p>
    <w:p w:rsidR="00ED559D" w:rsidRDefault="00ED559D">
      <w:pPr>
        <w:tabs>
          <w:tab w:val="clear" w:pos="567"/>
        </w:tabs>
        <w:spacing w:after="200" w:line="276" w:lineRule="auto"/>
        <w:rPr>
          <w:b/>
          <w:bCs/>
          <w:sz w:val="24"/>
        </w:rPr>
      </w:pPr>
      <w:r>
        <w:br w:type="page"/>
      </w:r>
    </w:p>
    <w:p w:rsidR="00AF183F" w:rsidRPr="001B05C8" w:rsidRDefault="00AF183F" w:rsidP="00F75382">
      <w:pPr>
        <w:pStyle w:val="Heading3"/>
      </w:pPr>
      <w:r w:rsidRPr="001B05C8">
        <w:lastRenderedPageBreak/>
        <w:t>Membership During this Reporting Period</w:t>
      </w:r>
    </w:p>
    <w:p w:rsidR="00AF183F" w:rsidRPr="001B05C8" w:rsidRDefault="00AF183F" w:rsidP="00AF183F">
      <w:r w:rsidRPr="001B05C8">
        <w:t xml:space="preserve">The members of the Authority during the year ending 30 June 2015 were: </w:t>
      </w:r>
    </w:p>
    <w:p w:rsidR="00AF183F" w:rsidRPr="001B05C8" w:rsidRDefault="00AF183F" w:rsidP="00AF183F">
      <w:pPr>
        <w:tabs>
          <w:tab w:val="left" w:pos="1985"/>
          <w:tab w:val="left" w:pos="3420"/>
        </w:tabs>
        <w:spacing w:line="360" w:lineRule="auto"/>
        <w:ind w:left="567" w:right="238" w:hanging="567"/>
        <w:jc w:val="both"/>
        <w:rPr>
          <w:rFonts w:cstheme="minorHAnsi"/>
          <w:i/>
        </w:rPr>
      </w:pPr>
      <w:r w:rsidRPr="001B05C8">
        <w:rPr>
          <w:rFonts w:cstheme="minorHAnsi"/>
          <w:i/>
        </w:rPr>
        <w:t>Chairman</w:t>
      </w:r>
    </w:p>
    <w:p w:rsidR="00AF183F" w:rsidRPr="001B05C8" w:rsidRDefault="00AF183F" w:rsidP="00AF183F">
      <w:pPr>
        <w:tabs>
          <w:tab w:val="left" w:pos="1985"/>
          <w:tab w:val="left" w:pos="3420"/>
        </w:tabs>
        <w:spacing w:line="360" w:lineRule="auto"/>
        <w:ind w:left="567" w:right="238" w:hanging="567"/>
        <w:jc w:val="both"/>
        <w:rPr>
          <w:rFonts w:cstheme="minorHAnsi"/>
        </w:rPr>
      </w:pPr>
      <w:r w:rsidRPr="001B05C8">
        <w:rPr>
          <w:rFonts w:cstheme="minorHAnsi"/>
        </w:rPr>
        <w:t>Mr R</w:t>
      </w:r>
      <w:r w:rsidR="0013473F">
        <w:rPr>
          <w:rFonts w:cstheme="minorHAnsi"/>
        </w:rPr>
        <w:t>hys</w:t>
      </w:r>
      <w:r w:rsidRPr="001B05C8">
        <w:rPr>
          <w:rFonts w:cstheme="minorHAnsi"/>
        </w:rPr>
        <w:t xml:space="preserve"> Jones – </w:t>
      </w:r>
      <w:proofErr w:type="spellStart"/>
      <w:r w:rsidRPr="001B05C8">
        <w:rPr>
          <w:rFonts w:cstheme="minorHAnsi"/>
        </w:rPr>
        <w:t>B.Pharm</w:t>
      </w:r>
      <w:proofErr w:type="spellEnd"/>
      <w:r w:rsidRPr="001B05C8">
        <w:rPr>
          <w:rFonts w:cstheme="minorHAnsi"/>
        </w:rPr>
        <w:t xml:space="preserve"> </w:t>
      </w:r>
    </w:p>
    <w:p w:rsidR="00AF183F" w:rsidRPr="001B05C8" w:rsidRDefault="00AF183F" w:rsidP="00AF183F">
      <w:pPr>
        <w:tabs>
          <w:tab w:val="left" w:pos="1985"/>
          <w:tab w:val="left" w:pos="3420"/>
        </w:tabs>
        <w:spacing w:line="360" w:lineRule="auto"/>
        <w:ind w:left="567" w:right="238" w:hanging="567"/>
        <w:jc w:val="both"/>
        <w:rPr>
          <w:rFonts w:cstheme="minorHAnsi"/>
          <w:i/>
        </w:rPr>
      </w:pPr>
      <w:r w:rsidRPr="001B05C8">
        <w:rPr>
          <w:rFonts w:cstheme="minorHAnsi"/>
          <w:i/>
        </w:rPr>
        <w:t>Members</w:t>
      </w:r>
    </w:p>
    <w:p w:rsidR="00AF183F" w:rsidRPr="001B05C8" w:rsidRDefault="00AF183F" w:rsidP="00AF183F">
      <w:pPr>
        <w:tabs>
          <w:tab w:val="left" w:pos="1985"/>
          <w:tab w:val="left" w:pos="3420"/>
        </w:tabs>
        <w:spacing w:line="360" w:lineRule="auto"/>
        <w:ind w:left="567" w:right="238" w:hanging="567"/>
        <w:jc w:val="both"/>
        <w:rPr>
          <w:rFonts w:cstheme="minorHAnsi"/>
        </w:rPr>
      </w:pPr>
      <w:r w:rsidRPr="001B05C8">
        <w:rPr>
          <w:rFonts w:cstheme="minorHAnsi"/>
        </w:rPr>
        <w:t>Mr M</w:t>
      </w:r>
      <w:r w:rsidR="0013473F">
        <w:rPr>
          <w:rFonts w:cstheme="minorHAnsi"/>
        </w:rPr>
        <w:t>artin</w:t>
      </w:r>
      <w:r w:rsidRPr="001B05C8">
        <w:rPr>
          <w:rFonts w:cstheme="minorHAnsi"/>
        </w:rPr>
        <w:t xml:space="preserve"> </w:t>
      </w:r>
      <w:proofErr w:type="spellStart"/>
      <w:r w:rsidRPr="001B05C8">
        <w:rPr>
          <w:rFonts w:cstheme="minorHAnsi"/>
        </w:rPr>
        <w:t>Neumeyer</w:t>
      </w:r>
      <w:proofErr w:type="spellEnd"/>
      <w:r w:rsidRPr="001B05C8">
        <w:rPr>
          <w:rFonts w:cstheme="minorHAnsi"/>
        </w:rPr>
        <w:t xml:space="preserve"> </w:t>
      </w:r>
      <w:r w:rsidR="0013473F" w:rsidRPr="001B05C8">
        <w:rPr>
          <w:rFonts w:cstheme="minorHAnsi"/>
        </w:rPr>
        <w:t>–</w:t>
      </w:r>
      <w:r w:rsidRPr="001B05C8">
        <w:rPr>
          <w:rFonts w:cstheme="minorHAnsi"/>
        </w:rPr>
        <w:t xml:space="preserve"> </w:t>
      </w:r>
      <w:proofErr w:type="spellStart"/>
      <w:r w:rsidRPr="001B05C8">
        <w:rPr>
          <w:rFonts w:cstheme="minorHAnsi"/>
        </w:rPr>
        <w:t>B.Pharm</w:t>
      </w:r>
      <w:proofErr w:type="spellEnd"/>
    </w:p>
    <w:p w:rsidR="00AF183F" w:rsidRPr="001B05C8" w:rsidRDefault="00AF183F" w:rsidP="00AF183F">
      <w:pPr>
        <w:tabs>
          <w:tab w:val="left" w:pos="1985"/>
          <w:tab w:val="left" w:pos="3420"/>
        </w:tabs>
        <w:spacing w:line="360" w:lineRule="auto"/>
        <w:ind w:left="567" w:right="238" w:hanging="567"/>
        <w:jc w:val="both"/>
        <w:rPr>
          <w:rFonts w:cstheme="minorHAnsi"/>
        </w:rPr>
      </w:pPr>
      <w:r w:rsidRPr="001B05C8">
        <w:rPr>
          <w:rFonts w:cstheme="minorHAnsi"/>
        </w:rPr>
        <w:t>Ms Jane Beaumont – Consumer Representative to 6 August 2014</w:t>
      </w:r>
    </w:p>
    <w:p w:rsidR="00AF183F" w:rsidRPr="001B05C8" w:rsidRDefault="00AF183F" w:rsidP="00AF183F">
      <w:pPr>
        <w:tabs>
          <w:tab w:val="left" w:pos="1985"/>
          <w:tab w:val="left" w:pos="3420"/>
        </w:tabs>
        <w:spacing w:line="360" w:lineRule="auto"/>
        <w:ind w:left="567" w:right="238" w:hanging="567"/>
        <w:jc w:val="both"/>
        <w:rPr>
          <w:rFonts w:cstheme="minorHAnsi"/>
        </w:rPr>
      </w:pPr>
      <w:r w:rsidRPr="001B05C8">
        <w:rPr>
          <w:rFonts w:cstheme="minorHAnsi"/>
        </w:rPr>
        <w:t>Ms Kym Child – Consumer Representative from 7 August 2014</w:t>
      </w:r>
    </w:p>
    <w:p w:rsidR="00AF183F" w:rsidRPr="00F75382" w:rsidRDefault="00AF183F" w:rsidP="00F75382">
      <w:pPr>
        <w:pStyle w:val="Heading2"/>
      </w:pPr>
      <w:r w:rsidRPr="00F75382">
        <w:t>Meetings of the Authority</w:t>
      </w:r>
    </w:p>
    <w:p w:rsidR="00AF183F" w:rsidRPr="001B05C8" w:rsidRDefault="00AF183F" w:rsidP="00AF183F">
      <w:r w:rsidRPr="001B05C8">
        <w:t>The Authority held monthly meetings during the reporting period.  The Legislation Sub Committee, created during the 2013-14 year to focus on progressing amendments to the Act, did not meet during the reporting period.</w:t>
      </w:r>
    </w:p>
    <w:tbl>
      <w:tblPr>
        <w:tblW w:w="0" w:type="auto"/>
        <w:tblInd w:w="108" w:type="dxa"/>
        <w:tblBorders>
          <w:insideH w:val="single" w:sz="12" w:space="0" w:color="808080" w:themeColor="background1" w:themeShade="80"/>
        </w:tblBorders>
        <w:tblLayout w:type="fixed"/>
        <w:tblLook w:val="00A0" w:firstRow="1" w:lastRow="0" w:firstColumn="1" w:lastColumn="0" w:noHBand="0" w:noVBand="0"/>
      </w:tblPr>
      <w:tblGrid>
        <w:gridCol w:w="2268"/>
        <w:gridCol w:w="3402"/>
        <w:gridCol w:w="2551"/>
      </w:tblGrid>
      <w:tr w:rsidR="00AF183F" w:rsidRPr="00BE6460" w:rsidTr="00ED559D">
        <w:tc>
          <w:tcPr>
            <w:tcW w:w="2268" w:type="dxa"/>
            <w:tcBorders>
              <w:bottom w:val="single" w:sz="6" w:space="0" w:color="A6A6A6" w:themeColor="background1" w:themeShade="A6"/>
            </w:tcBorders>
            <w:vAlign w:val="bottom"/>
          </w:tcPr>
          <w:p w:rsidR="00AF183F" w:rsidRPr="00BE6460" w:rsidRDefault="00AF183F" w:rsidP="00F708D4">
            <w:pPr>
              <w:ind w:right="238"/>
              <w:rPr>
                <w:rFonts w:cstheme="minorHAnsi"/>
                <w:b/>
                <w:sz w:val="18"/>
                <w:szCs w:val="18"/>
              </w:rPr>
            </w:pPr>
            <w:r w:rsidRPr="00BE6460">
              <w:rPr>
                <w:rFonts w:cstheme="minorHAnsi"/>
                <w:b/>
                <w:sz w:val="18"/>
                <w:szCs w:val="18"/>
              </w:rPr>
              <w:t>Authority Members</w:t>
            </w:r>
          </w:p>
        </w:tc>
        <w:tc>
          <w:tcPr>
            <w:tcW w:w="3402" w:type="dxa"/>
            <w:tcBorders>
              <w:bottom w:val="single" w:sz="6" w:space="0" w:color="A6A6A6" w:themeColor="background1" w:themeShade="A6"/>
            </w:tcBorders>
            <w:vAlign w:val="bottom"/>
          </w:tcPr>
          <w:p w:rsidR="00F708D4" w:rsidRPr="00BE6460" w:rsidRDefault="00AF183F" w:rsidP="00BE6460">
            <w:pPr>
              <w:spacing w:after="0" w:line="240" w:lineRule="auto"/>
              <w:ind w:right="238"/>
              <w:jc w:val="right"/>
              <w:rPr>
                <w:rFonts w:cstheme="minorHAnsi"/>
                <w:b/>
                <w:sz w:val="18"/>
                <w:szCs w:val="18"/>
              </w:rPr>
            </w:pPr>
            <w:r w:rsidRPr="00BE6460">
              <w:rPr>
                <w:rFonts w:cstheme="minorHAnsi"/>
                <w:b/>
                <w:sz w:val="18"/>
                <w:szCs w:val="18"/>
              </w:rPr>
              <w:t>Meetings held whilst a</w:t>
            </w:r>
            <w:r w:rsidR="00727881" w:rsidRPr="00BE6460">
              <w:rPr>
                <w:rFonts w:cstheme="minorHAnsi"/>
                <w:b/>
                <w:sz w:val="18"/>
                <w:szCs w:val="18"/>
              </w:rPr>
              <w:t>n</w:t>
            </w:r>
            <w:r w:rsidRPr="00BE6460">
              <w:rPr>
                <w:rFonts w:cstheme="minorHAnsi"/>
                <w:b/>
                <w:sz w:val="18"/>
                <w:szCs w:val="18"/>
              </w:rPr>
              <w:t xml:space="preserve"> </w:t>
            </w:r>
          </w:p>
          <w:p w:rsidR="00AF183F" w:rsidRPr="00BE6460" w:rsidRDefault="00AF183F" w:rsidP="00BE6460">
            <w:pPr>
              <w:ind w:right="238"/>
              <w:jc w:val="right"/>
              <w:rPr>
                <w:rFonts w:cstheme="minorHAnsi"/>
                <w:b/>
                <w:sz w:val="18"/>
                <w:szCs w:val="18"/>
              </w:rPr>
            </w:pPr>
            <w:r w:rsidRPr="00BE6460">
              <w:rPr>
                <w:rFonts w:cstheme="minorHAnsi"/>
                <w:b/>
                <w:sz w:val="18"/>
                <w:szCs w:val="18"/>
              </w:rPr>
              <w:t>Authority Member</w:t>
            </w:r>
          </w:p>
        </w:tc>
        <w:tc>
          <w:tcPr>
            <w:tcW w:w="2551" w:type="dxa"/>
            <w:tcBorders>
              <w:bottom w:val="single" w:sz="6" w:space="0" w:color="A6A6A6" w:themeColor="background1" w:themeShade="A6"/>
            </w:tcBorders>
            <w:vAlign w:val="bottom"/>
          </w:tcPr>
          <w:p w:rsidR="00AF183F" w:rsidRPr="00BE6460" w:rsidRDefault="00AF183F" w:rsidP="00BE6460">
            <w:pPr>
              <w:ind w:right="238"/>
              <w:jc w:val="right"/>
              <w:rPr>
                <w:rFonts w:cstheme="minorHAnsi"/>
                <w:b/>
                <w:sz w:val="18"/>
                <w:szCs w:val="18"/>
              </w:rPr>
            </w:pPr>
            <w:r w:rsidRPr="00BE6460">
              <w:rPr>
                <w:rFonts w:cstheme="minorHAnsi"/>
                <w:b/>
                <w:sz w:val="18"/>
                <w:szCs w:val="18"/>
              </w:rPr>
              <w:t>Meetings Attended</w:t>
            </w:r>
          </w:p>
        </w:tc>
      </w:tr>
      <w:tr w:rsidR="00AF183F" w:rsidRPr="00BE6460" w:rsidTr="00ED559D">
        <w:trPr>
          <w:trHeight w:val="340"/>
        </w:trPr>
        <w:tc>
          <w:tcPr>
            <w:tcW w:w="2268"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B26B51">
            <w:pPr>
              <w:pStyle w:val="Table-AnnualReport"/>
              <w:rPr>
                <w:szCs w:val="18"/>
              </w:rPr>
            </w:pPr>
            <w:r w:rsidRPr="00BE6460">
              <w:rPr>
                <w:szCs w:val="18"/>
              </w:rPr>
              <w:t>Mr R Jones</w:t>
            </w:r>
          </w:p>
        </w:tc>
        <w:tc>
          <w:tcPr>
            <w:tcW w:w="3402"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7"/>
              <w:jc w:val="right"/>
              <w:rPr>
                <w:szCs w:val="18"/>
              </w:rPr>
            </w:pPr>
            <w:r w:rsidRPr="00BE6460">
              <w:rPr>
                <w:szCs w:val="18"/>
              </w:rPr>
              <w:t>12</w:t>
            </w:r>
          </w:p>
        </w:tc>
        <w:tc>
          <w:tcPr>
            <w:tcW w:w="2551"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6"/>
              <w:jc w:val="right"/>
              <w:rPr>
                <w:szCs w:val="18"/>
              </w:rPr>
            </w:pPr>
            <w:r w:rsidRPr="00BE6460">
              <w:rPr>
                <w:szCs w:val="18"/>
              </w:rPr>
              <w:t>12</w:t>
            </w:r>
          </w:p>
        </w:tc>
      </w:tr>
      <w:tr w:rsidR="00AF183F" w:rsidRPr="00BE6460" w:rsidTr="00ED559D">
        <w:trPr>
          <w:trHeight w:val="340"/>
        </w:trPr>
        <w:tc>
          <w:tcPr>
            <w:tcW w:w="2268"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B26B51">
            <w:pPr>
              <w:pStyle w:val="Table-AnnualReport"/>
              <w:rPr>
                <w:szCs w:val="18"/>
              </w:rPr>
            </w:pPr>
            <w:r w:rsidRPr="00BE6460">
              <w:rPr>
                <w:szCs w:val="18"/>
              </w:rPr>
              <w:t xml:space="preserve">Mr M </w:t>
            </w:r>
            <w:proofErr w:type="spellStart"/>
            <w:r w:rsidRPr="00BE6460">
              <w:rPr>
                <w:szCs w:val="18"/>
              </w:rPr>
              <w:t>Neumeyer</w:t>
            </w:r>
            <w:proofErr w:type="spellEnd"/>
          </w:p>
        </w:tc>
        <w:tc>
          <w:tcPr>
            <w:tcW w:w="3402"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7"/>
              <w:jc w:val="right"/>
              <w:rPr>
                <w:szCs w:val="18"/>
              </w:rPr>
            </w:pPr>
            <w:r w:rsidRPr="00BE6460">
              <w:rPr>
                <w:szCs w:val="18"/>
              </w:rPr>
              <w:t>12</w:t>
            </w:r>
          </w:p>
        </w:tc>
        <w:tc>
          <w:tcPr>
            <w:tcW w:w="2551"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6"/>
              <w:jc w:val="right"/>
              <w:rPr>
                <w:szCs w:val="18"/>
              </w:rPr>
            </w:pPr>
            <w:r w:rsidRPr="00BE6460">
              <w:rPr>
                <w:szCs w:val="18"/>
              </w:rPr>
              <w:t>12</w:t>
            </w:r>
          </w:p>
        </w:tc>
      </w:tr>
      <w:tr w:rsidR="00AF183F" w:rsidRPr="00BE6460" w:rsidTr="00ED559D">
        <w:trPr>
          <w:trHeight w:val="340"/>
        </w:trPr>
        <w:tc>
          <w:tcPr>
            <w:tcW w:w="2268" w:type="dxa"/>
            <w:tcBorders>
              <w:top w:val="single" w:sz="6" w:space="0" w:color="A6A6A6" w:themeColor="background1" w:themeShade="A6"/>
              <w:bottom w:val="single" w:sz="6" w:space="0" w:color="A6A6A6" w:themeColor="background1" w:themeShade="A6"/>
            </w:tcBorders>
            <w:vAlign w:val="center"/>
          </w:tcPr>
          <w:p w:rsidR="00AF183F" w:rsidRPr="00BE6460" w:rsidRDefault="00B26B51" w:rsidP="00B26B51">
            <w:pPr>
              <w:pStyle w:val="Table-AnnualReport"/>
              <w:rPr>
                <w:szCs w:val="18"/>
              </w:rPr>
            </w:pPr>
            <w:r w:rsidRPr="00BE6460">
              <w:rPr>
                <w:szCs w:val="18"/>
              </w:rPr>
              <w:t>Ms J Beaumont</w:t>
            </w:r>
          </w:p>
        </w:tc>
        <w:tc>
          <w:tcPr>
            <w:tcW w:w="3402"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7"/>
              <w:jc w:val="right"/>
              <w:rPr>
                <w:szCs w:val="18"/>
              </w:rPr>
            </w:pPr>
            <w:r w:rsidRPr="00BE6460">
              <w:rPr>
                <w:szCs w:val="18"/>
              </w:rPr>
              <w:t>2</w:t>
            </w:r>
          </w:p>
        </w:tc>
        <w:tc>
          <w:tcPr>
            <w:tcW w:w="2551" w:type="dxa"/>
            <w:tcBorders>
              <w:top w:val="single" w:sz="6" w:space="0" w:color="A6A6A6" w:themeColor="background1" w:themeShade="A6"/>
              <w:bottom w:val="single" w:sz="6" w:space="0" w:color="A6A6A6" w:themeColor="background1" w:themeShade="A6"/>
            </w:tcBorders>
            <w:vAlign w:val="center"/>
          </w:tcPr>
          <w:p w:rsidR="00AF183F" w:rsidRPr="00BE6460" w:rsidRDefault="00AF183F" w:rsidP="000F1905">
            <w:pPr>
              <w:pStyle w:val="Table-AnnualReport"/>
              <w:ind w:right="316"/>
              <w:jc w:val="right"/>
              <w:rPr>
                <w:szCs w:val="18"/>
              </w:rPr>
            </w:pPr>
            <w:r w:rsidRPr="00BE6460">
              <w:rPr>
                <w:szCs w:val="18"/>
              </w:rPr>
              <w:t>1</w:t>
            </w:r>
          </w:p>
        </w:tc>
      </w:tr>
      <w:tr w:rsidR="00AF183F" w:rsidRPr="00BE6460" w:rsidTr="00ED559D">
        <w:trPr>
          <w:trHeight w:val="340"/>
        </w:trPr>
        <w:tc>
          <w:tcPr>
            <w:tcW w:w="2268" w:type="dxa"/>
            <w:tcBorders>
              <w:top w:val="single" w:sz="6" w:space="0" w:color="A6A6A6" w:themeColor="background1" w:themeShade="A6"/>
            </w:tcBorders>
            <w:vAlign w:val="center"/>
          </w:tcPr>
          <w:p w:rsidR="00AF183F" w:rsidRPr="00BE6460" w:rsidRDefault="00AF183F" w:rsidP="00B26B51">
            <w:pPr>
              <w:pStyle w:val="Table-AnnualReport"/>
              <w:rPr>
                <w:szCs w:val="18"/>
              </w:rPr>
            </w:pPr>
            <w:r w:rsidRPr="00BE6460">
              <w:rPr>
                <w:szCs w:val="18"/>
              </w:rPr>
              <w:t>Ms K Child</w:t>
            </w:r>
          </w:p>
        </w:tc>
        <w:tc>
          <w:tcPr>
            <w:tcW w:w="3402" w:type="dxa"/>
            <w:tcBorders>
              <w:top w:val="single" w:sz="6" w:space="0" w:color="A6A6A6" w:themeColor="background1" w:themeShade="A6"/>
            </w:tcBorders>
            <w:vAlign w:val="center"/>
          </w:tcPr>
          <w:p w:rsidR="00AF183F" w:rsidRPr="00BE6460" w:rsidRDefault="00AF183F" w:rsidP="000F1905">
            <w:pPr>
              <w:pStyle w:val="Table-AnnualReport"/>
              <w:ind w:right="317"/>
              <w:jc w:val="right"/>
              <w:rPr>
                <w:szCs w:val="18"/>
              </w:rPr>
            </w:pPr>
            <w:r w:rsidRPr="00BE6460">
              <w:rPr>
                <w:szCs w:val="18"/>
              </w:rPr>
              <w:t>10</w:t>
            </w:r>
          </w:p>
        </w:tc>
        <w:tc>
          <w:tcPr>
            <w:tcW w:w="2551" w:type="dxa"/>
            <w:tcBorders>
              <w:top w:val="single" w:sz="6" w:space="0" w:color="A6A6A6" w:themeColor="background1" w:themeShade="A6"/>
            </w:tcBorders>
            <w:vAlign w:val="center"/>
          </w:tcPr>
          <w:p w:rsidR="00AF183F" w:rsidRPr="00BE6460" w:rsidRDefault="00AF183F" w:rsidP="000F1905">
            <w:pPr>
              <w:pStyle w:val="Table-AnnualReport"/>
              <w:ind w:right="316"/>
              <w:jc w:val="right"/>
              <w:rPr>
                <w:szCs w:val="18"/>
              </w:rPr>
            </w:pPr>
            <w:r w:rsidRPr="00BE6460">
              <w:rPr>
                <w:szCs w:val="18"/>
              </w:rPr>
              <w:t>9</w:t>
            </w:r>
          </w:p>
        </w:tc>
      </w:tr>
    </w:tbl>
    <w:p w:rsidR="00AF183F" w:rsidRPr="00F75382" w:rsidRDefault="00584AA0" w:rsidP="00F75382">
      <w:pPr>
        <w:pStyle w:val="Heading2"/>
      </w:pPr>
      <w:r w:rsidRPr="00F75382">
        <w:t xml:space="preserve">Administration </w:t>
      </w:r>
    </w:p>
    <w:p w:rsidR="00584AA0" w:rsidRPr="001B05C8" w:rsidRDefault="00584AA0" w:rsidP="00584AA0">
      <w:pPr>
        <w:ind w:right="238"/>
        <w:jc w:val="both"/>
        <w:rPr>
          <w:rFonts w:cstheme="minorHAnsi"/>
        </w:rPr>
      </w:pPr>
      <w:r w:rsidRPr="001B05C8">
        <w:rPr>
          <w:rFonts w:cstheme="minorHAnsi"/>
        </w:rPr>
        <w:t>Contact Details</w:t>
      </w:r>
    </w:p>
    <w:p w:rsidR="00AF183F" w:rsidRPr="001B05C8" w:rsidRDefault="00AF183F" w:rsidP="00584AA0">
      <w:r w:rsidRPr="001B05C8">
        <w:t>Ms Margie Cole continued to be the Authority’s appointed Registrar.</w:t>
      </w:r>
    </w:p>
    <w:p w:rsidR="00AF183F" w:rsidRPr="001B05C8" w:rsidRDefault="00AF183F" w:rsidP="00584AA0">
      <w:r w:rsidRPr="001B05C8">
        <w:t xml:space="preserve">The postal address of the Authority was PO Box 1082, Sandy Bay, TAS 7005 and the mobile phone number was 0417 752 348.  The Authority did not have a facsimile machine.  </w:t>
      </w:r>
    </w:p>
    <w:p w:rsidR="00AF183F" w:rsidRPr="001B05C8" w:rsidRDefault="00AF183F" w:rsidP="00584AA0">
      <w:pPr>
        <w:ind w:right="238"/>
        <w:jc w:val="both"/>
        <w:rPr>
          <w:rFonts w:cstheme="minorHAnsi"/>
        </w:rPr>
      </w:pPr>
      <w:r w:rsidRPr="001B05C8">
        <w:rPr>
          <w:rFonts w:cstheme="minorHAnsi"/>
        </w:rPr>
        <w:t>The Authority’s ABN is 34 562 572 269.</w:t>
      </w:r>
    </w:p>
    <w:p w:rsidR="00AF183F" w:rsidRPr="001B05C8" w:rsidRDefault="00AF183F" w:rsidP="00AF183F">
      <w:pPr>
        <w:ind w:left="567" w:right="238" w:hanging="567"/>
        <w:jc w:val="both"/>
        <w:rPr>
          <w:rFonts w:cstheme="minorHAnsi"/>
        </w:rPr>
      </w:pPr>
    </w:p>
    <w:p w:rsidR="00F708D4" w:rsidRDefault="00F708D4">
      <w:pPr>
        <w:tabs>
          <w:tab w:val="clear" w:pos="567"/>
        </w:tabs>
        <w:spacing w:after="200" w:line="276" w:lineRule="auto"/>
        <w:rPr>
          <w:rFonts w:eastAsiaTheme="majorEastAsia" w:cstheme="majorBidi"/>
          <w:b/>
          <w:bCs/>
          <w:sz w:val="28"/>
        </w:rPr>
      </w:pPr>
      <w:r>
        <w:br w:type="page"/>
      </w:r>
    </w:p>
    <w:p w:rsidR="00AF183F" w:rsidRPr="00F75382" w:rsidRDefault="00584AA0" w:rsidP="00F75382">
      <w:pPr>
        <w:pStyle w:val="Heading3"/>
      </w:pPr>
      <w:r w:rsidRPr="00F75382">
        <w:lastRenderedPageBreak/>
        <w:t xml:space="preserve">Sitting </w:t>
      </w:r>
      <w:r w:rsidR="00AF183F" w:rsidRPr="00F75382">
        <w:t>Fees of the Authority</w:t>
      </w:r>
    </w:p>
    <w:p w:rsidR="00AF183F" w:rsidRPr="001B05C8" w:rsidRDefault="00AF183F" w:rsidP="00584AA0">
      <w:pPr>
        <w:tabs>
          <w:tab w:val="left" w:pos="1985"/>
        </w:tabs>
        <w:ind w:right="238"/>
        <w:jc w:val="both"/>
        <w:rPr>
          <w:rFonts w:cstheme="minorHAnsi"/>
        </w:rPr>
      </w:pPr>
      <w:r w:rsidRPr="001B05C8">
        <w:rPr>
          <w:rFonts w:cstheme="minorHAnsi"/>
        </w:rPr>
        <w:t xml:space="preserve">Sitting </w:t>
      </w:r>
      <w:r w:rsidR="00B96D59">
        <w:rPr>
          <w:rFonts w:cstheme="minorHAnsi"/>
        </w:rPr>
        <w:t>f</w:t>
      </w:r>
      <w:r w:rsidRPr="001B05C8">
        <w:rPr>
          <w:rFonts w:cstheme="minorHAnsi"/>
        </w:rPr>
        <w:t>ees remained at the rate determined by the Minister on 1 April 2013:</w:t>
      </w:r>
    </w:p>
    <w:p w:rsidR="00AF183F" w:rsidRPr="001B05C8" w:rsidRDefault="00F708D4" w:rsidP="00F708D4">
      <w:pPr>
        <w:tabs>
          <w:tab w:val="clear" w:pos="567"/>
          <w:tab w:val="left" w:pos="1985"/>
        </w:tabs>
        <w:ind w:right="238"/>
        <w:jc w:val="both"/>
        <w:rPr>
          <w:rFonts w:cstheme="minorHAnsi"/>
        </w:rPr>
      </w:pPr>
      <w:r>
        <w:rPr>
          <w:rFonts w:cstheme="minorHAnsi"/>
        </w:rPr>
        <w:t>Chair</w:t>
      </w:r>
      <w:r w:rsidR="00AF183F" w:rsidRPr="001B05C8">
        <w:rPr>
          <w:rFonts w:cstheme="minorHAnsi"/>
        </w:rPr>
        <w:tab/>
        <w:t>$430</w:t>
      </w:r>
    </w:p>
    <w:p w:rsidR="00AF183F" w:rsidRPr="001B05C8" w:rsidRDefault="00F72888" w:rsidP="00584AA0">
      <w:pPr>
        <w:tabs>
          <w:tab w:val="left" w:pos="1985"/>
        </w:tabs>
        <w:ind w:right="238"/>
        <w:jc w:val="both"/>
        <w:rPr>
          <w:rFonts w:cstheme="minorHAnsi"/>
        </w:rPr>
      </w:pPr>
      <w:r>
        <w:rPr>
          <w:rFonts w:cstheme="minorHAnsi"/>
        </w:rPr>
        <w:t>Members</w:t>
      </w:r>
      <w:r w:rsidR="00AF183F" w:rsidRPr="001B05C8">
        <w:rPr>
          <w:rFonts w:cstheme="minorHAnsi"/>
        </w:rPr>
        <w:tab/>
        <w:t>$326</w:t>
      </w:r>
    </w:p>
    <w:p w:rsidR="00584AA0" w:rsidRPr="00F75382" w:rsidRDefault="00584AA0" w:rsidP="00F75382">
      <w:pPr>
        <w:pStyle w:val="Heading2"/>
      </w:pPr>
      <w:r w:rsidRPr="00F75382">
        <w:t xml:space="preserve">Representation on National Bodies </w:t>
      </w:r>
    </w:p>
    <w:p w:rsidR="00AF183F" w:rsidRPr="001B05C8" w:rsidRDefault="00AF183F" w:rsidP="00584AA0">
      <w:r w:rsidRPr="001B05C8">
        <w:t xml:space="preserve">During the year, the Pharmacy Premises Registering Authorities of Australia – PPRAA (which represents the various </w:t>
      </w:r>
      <w:r w:rsidR="00B96D59">
        <w:t>s</w:t>
      </w:r>
      <w:r w:rsidRPr="001B05C8">
        <w:t xml:space="preserve">tates and </w:t>
      </w:r>
      <w:r w:rsidR="00B96D59">
        <w:t>t</w:t>
      </w:r>
      <w:r w:rsidRPr="001B05C8">
        <w:t>erritory authorities responsible for pharmacy premises approvals) met twice (November 2014 and May 2015).  The first meeting was attended by the Authority Chair and the Acting Registrar, and the later one by both the Authority Chair and the Registrar.</w:t>
      </w:r>
    </w:p>
    <w:p w:rsidR="00584AA0" w:rsidRPr="001B05C8" w:rsidRDefault="00584AA0" w:rsidP="00334D46">
      <w:pPr>
        <w:pStyle w:val="Heading2"/>
      </w:pPr>
      <w:r w:rsidRPr="001B05C8">
        <w:t xml:space="preserve">Registration </w:t>
      </w:r>
    </w:p>
    <w:p w:rsidR="00AF183F" w:rsidRPr="00F75382" w:rsidRDefault="00584AA0" w:rsidP="00F75382">
      <w:pPr>
        <w:pStyle w:val="Heading3"/>
      </w:pPr>
      <w:r w:rsidRPr="00F75382">
        <w:t>Register of Pharmacy Premises</w:t>
      </w:r>
    </w:p>
    <w:p w:rsidR="00AF183F" w:rsidRPr="001B05C8" w:rsidRDefault="00AF183F" w:rsidP="00334D46">
      <w:r w:rsidRPr="001B05C8">
        <w:t>The number of pharmacy business premises registered with the Authority at 30 June 2015 was 155.</w:t>
      </w:r>
    </w:p>
    <w:p w:rsidR="00AF183F" w:rsidRPr="001B05C8" w:rsidRDefault="00AF183F" w:rsidP="00334D46">
      <w:r w:rsidRPr="001B05C8">
        <w:t>At 30 June 2015, 68 body corporates and 104 individuals held an Eligibility Certificate for their interests in a pharmacy.</w:t>
      </w:r>
    </w:p>
    <w:p w:rsidR="00AF183F" w:rsidRPr="001B05C8" w:rsidRDefault="00AF183F" w:rsidP="00334D46">
      <w:r w:rsidRPr="001B05C8">
        <w:t>The majority of applications for approval of new owners involved trust structures, with either an individual or body corporate as the trustee.</w:t>
      </w:r>
    </w:p>
    <w:p w:rsidR="00AF183F" w:rsidRPr="001B05C8" w:rsidRDefault="00AF183F" w:rsidP="00334D46">
      <w:r w:rsidRPr="001B05C8">
        <w:t>During the year, the Authority approved the following applications.  Some alterations or new pharmacy business premises are still in progress and have not yet been inspected and finalised:</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New pharmacies</w:t>
      </w:r>
      <w:r w:rsidRPr="001B05C8">
        <w:tab/>
        <w:t>3</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Changes to ownership or shareholders</w:t>
      </w:r>
      <w:r w:rsidRPr="001B05C8">
        <w:tab/>
        <w:t>13</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Ownership changes</w:t>
      </w:r>
      <w:r w:rsidRPr="001B05C8">
        <w:tab/>
        <w:t>16</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Premises alterations</w:t>
      </w:r>
      <w:r w:rsidRPr="001B05C8">
        <w:tab/>
        <w:t>11</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Pharmacy relocation</w:t>
      </w:r>
      <w:r w:rsidRPr="001B05C8">
        <w:tab/>
        <w:t>6</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Pharmacy change of name</w:t>
      </w:r>
      <w:r w:rsidRPr="001B05C8">
        <w:tab/>
        <w:t>12</w:t>
      </w:r>
    </w:p>
    <w:p w:rsidR="006A4632" w:rsidRPr="001B05C8" w:rsidRDefault="006A4632" w:rsidP="006A4632">
      <w:pPr>
        <w:pStyle w:val="Table-AnnualReport"/>
        <w:pBdr>
          <w:between w:val="single" w:sz="6" w:space="1" w:color="808080" w:themeColor="background1" w:themeShade="80"/>
        </w:pBdr>
        <w:tabs>
          <w:tab w:val="right" w:pos="3969"/>
        </w:tabs>
        <w:ind w:right="4773"/>
      </w:pPr>
      <w:r w:rsidRPr="001B05C8">
        <w:t>Other</w:t>
      </w:r>
      <w:r w:rsidRPr="001B05C8">
        <w:tab/>
      </w:r>
      <w:r w:rsidRPr="001B05C8">
        <w:tab/>
        <w:t>1</w:t>
      </w:r>
    </w:p>
    <w:p w:rsidR="00AF183F" w:rsidRPr="001B05C8" w:rsidRDefault="00334D46" w:rsidP="00334D46">
      <w:pPr>
        <w:pStyle w:val="Heading3"/>
      </w:pPr>
      <w:r w:rsidRPr="001B05C8">
        <w:t>Registration Policy</w:t>
      </w:r>
    </w:p>
    <w:p w:rsidR="00AF183F" w:rsidRPr="001B05C8" w:rsidRDefault="00AF183F" w:rsidP="00334D46">
      <w:r w:rsidRPr="001B05C8">
        <w:t>Pharmacy premises registrations and the issuing of Eligibility Certificates continued to be managed in accordance with the requirements of the Act.  Pharmacists intending to buy or sell an existing pharmacy, change its ownership structure, or to move or re-name it, applied to the Authority for approval by submitting the appropriate forms and paying the prescribed fees.  The advice of Crown Law was routinely obtained for applications for ownership involving body corporate and trust structures.</w:t>
      </w:r>
    </w:p>
    <w:p w:rsidR="00F708D4" w:rsidRDefault="00F708D4">
      <w:pPr>
        <w:tabs>
          <w:tab w:val="clear" w:pos="567"/>
        </w:tabs>
        <w:spacing w:after="200" w:line="276" w:lineRule="auto"/>
        <w:rPr>
          <w:rFonts w:eastAsiaTheme="majorEastAsia" w:cstheme="majorBidi"/>
          <w:b/>
          <w:bCs/>
          <w:sz w:val="28"/>
        </w:rPr>
      </w:pPr>
      <w:r>
        <w:br w:type="page"/>
      </w:r>
    </w:p>
    <w:p w:rsidR="00334D46" w:rsidRPr="001B05C8" w:rsidRDefault="00334D46" w:rsidP="00334D46">
      <w:pPr>
        <w:pStyle w:val="Heading3"/>
      </w:pPr>
      <w:r w:rsidRPr="001B05C8">
        <w:lastRenderedPageBreak/>
        <w:t>Fees</w:t>
      </w:r>
    </w:p>
    <w:p w:rsidR="00AF183F" w:rsidRPr="001B05C8" w:rsidRDefault="00AF183F" w:rsidP="00334D46">
      <w:pPr>
        <w:rPr>
          <w:i/>
        </w:rPr>
      </w:pPr>
      <w:r w:rsidRPr="001B05C8">
        <w:t>The prescribed fees were increased marginally in accordance with the increas</w:t>
      </w:r>
      <w:r w:rsidR="0019003D">
        <w:t>e in the value of a Fee Unit to </w:t>
      </w:r>
      <w:r w:rsidRPr="001B05C8">
        <w:t>$1.48.</w:t>
      </w:r>
      <w:r w:rsidRPr="001B05C8">
        <w:rPr>
          <w:i/>
        </w:rPr>
        <w:t xml:space="preserve">  </w:t>
      </w:r>
    </w:p>
    <w:p w:rsidR="00AF183F" w:rsidRPr="001B05C8" w:rsidRDefault="00AF183F" w:rsidP="00410217">
      <w:pPr>
        <w:rPr>
          <w:rFonts w:cstheme="minorHAnsi"/>
        </w:rPr>
      </w:pPr>
      <w:r w:rsidRPr="001B05C8">
        <w:t>The fees as defined by the regulations at 30 June 2015 were:</w:t>
      </w:r>
    </w:p>
    <w:tbl>
      <w:tblPr>
        <w:tblpPr w:leftFromText="180" w:rightFromText="180" w:vertAnchor="text" w:horzAnchor="margin" w:tblpXSpec="center" w:tblpY="148"/>
        <w:tblOverlap w:val="never"/>
        <w:tblW w:w="8981" w:type="dxa"/>
        <w:tblBorders>
          <w:insideH w:val="single" w:sz="4" w:space="0" w:color="808080" w:themeColor="background1" w:themeShade="80"/>
        </w:tblBorders>
        <w:tblLayout w:type="fixed"/>
        <w:tblCellMar>
          <w:left w:w="28" w:type="dxa"/>
          <w:right w:w="113" w:type="dxa"/>
        </w:tblCellMar>
        <w:tblLook w:val="0000" w:firstRow="0" w:lastRow="0" w:firstColumn="0" w:lastColumn="0" w:noHBand="0" w:noVBand="0"/>
      </w:tblPr>
      <w:tblGrid>
        <w:gridCol w:w="4395"/>
        <w:gridCol w:w="1367"/>
        <w:gridCol w:w="192"/>
        <w:gridCol w:w="709"/>
        <w:gridCol w:w="192"/>
        <w:gridCol w:w="800"/>
        <w:gridCol w:w="142"/>
        <w:gridCol w:w="283"/>
        <w:gridCol w:w="709"/>
        <w:gridCol w:w="141"/>
        <w:gridCol w:w="51"/>
      </w:tblGrid>
      <w:tr w:rsidR="00334D46" w:rsidRPr="00BE6460" w:rsidTr="00F72888">
        <w:trPr>
          <w:trHeight w:val="659"/>
        </w:trPr>
        <w:tc>
          <w:tcPr>
            <w:tcW w:w="4395" w:type="dxa"/>
            <w:shd w:val="clear" w:color="auto" w:fill="auto"/>
            <w:tcMar>
              <w:left w:w="0" w:type="dxa"/>
            </w:tcMar>
            <w:vAlign w:val="bottom"/>
          </w:tcPr>
          <w:p w:rsidR="00334D46" w:rsidRPr="00BE6460" w:rsidRDefault="006A51DD" w:rsidP="00F72888">
            <w:pPr>
              <w:spacing w:after="0" w:line="240" w:lineRule="auto"/>
              <w:rPr>
                <w:b/>
                <w:sz w:val="18"/>
                <w:szCs w:val="18"/>
                <w:lang w:eastAsia="en-AU"/>
              </w:rPr>
            </w:pPr>
            <w:r w:rsidRPr="00BE6460">
              <w:rPr>
                <w:b/>
                <w:sz w:val="18"/>
                <w:szCs w:val="18"/>
              </w:rPr>
              <w:t>Type of Fee</w:t>
            </w:r>
          </w:p>
        </w:tc>
        <w:tc>
          <w:tcPr>
            <w:tcW w:w="1559" w:type="dxa"/>
            <w:gridSpan w:val="2"/>
            <w:shd w:val="clear" w:color="auto" w:fill="auto"/>
            <w:tcMar>
              <w:left w:w="0" w:type="dxa"/>
              <w:right w:w="0" w:type="dxa"/>
            </w:tcMar>
            <w:vAlign w:val="bottom"/>
          </w:tcPr>
          <w:p w:rsidR="00334D46" w:rsidRPr="00BE6460" w:rsidRDefault="00334D46" w:rsidP="00F72888">
            <w:pPr>
              <w:spacing w:after="0" w:line="240" w:lineRule="auto"/>
              <w:jc w:val="center"/>
              <w:rPr>
                <w:b/>
                <w:sz w:val="18"/>
                <w:szCs w:val="18"/>
                <w:lang w:eastAsia="en-AU"/>
              </w:rPr>
            </w:pPr>
            <w:r w:rsidRPr="00BE6460">
              <w:rPr>
                <w:b/>
                <w:sz w:val="18"/>
                <w:szCs w:val="18"/>
                <w:lang w:eastAsia="en-AU"/>
              </w:rPr>
              <w:t>Section of Act</w:t>
            </w:r>
          </w:p>
        </w:tc>
        <w:tc>
          <w:tcPr>
            <w:tcW w:w="901" w:type="dxa"/>
            <w:gridSpan w:val="2"/>
            <w:shd w:val="clear" w:color="auto" w:fill="auto"/>
            <w:tcMar>
              <w:left w:w="0" w:type="dxa"/>
              <w:right w:w="0" w:type="dxa"/>
            </w:tcMar>
            <w:vAlign w:val="bottom"/>
          </w:tcPr>
          <w:p w:rsidR="00334D46" w:rsidRPr="00BE6460" w:rsidRDefault="00334D46" w:rsidP="00F72888">
            <w:pPr>
              <w:spacing w:after="0" w:line="240" w:lineRule="auto"/>
              <w:jc w:val="center"/>
              <w:rPr>
                <w:b/>
                <w:sz w:val="18"/>
                <w:szCs w:val="18"/>
                <w:lang w:eastAsia="en-AU"/>
              </w:rPr>
            </w:pPr>
            <w:r w:rsidRPr="00BE6460">
              <w:rPr>
                <w:b/>
                <w:sz w:val="18"/>
                <w:szCs w:val="18"/>
                <w:lang w:eastAsia="en-AU"/>
              </w:rPr>
              <w:t>Fee</w:t>
            </w:r>
            <w:r w:rsidR="006A51DD" w:rsidRPr="00BE6460">
              <w:rPr>
                <w:b/>
                <w:sz w:val="18"/>
                <w:szCs w:val="18"/>
                <w:lang w:eastAsia="en-AU"/>
              </w:rPr>
              <w:t xml:space="preserve"> </w:t>
            </w:r>
            <w:r w:rsidRPr="00BE6460">
              <w:rPr>
                <w:b/>
                <w:sz w:val="18"/>
                <w:szCs w:val="18"/>
                <w:lang w:eastAsia="en-AU"/>
              </w:rPr>
              <w:t>Units</w:t>
            </w:r>
          </w:p>
        </w:tc>
        <w:tc>
          <w:tcPr>
            <w:tcW w:w="2126" w:type="dxa"/>
            <w:gridSpan w:val="6"/>
            <w:shd w:val="clear" w:color="auto" w:fill="auto"/>
            <w:tcMar>
              <w:left w:w="28" w:type="dxa"/>
              <w:right w:w="28" w:type="dxa"/>
            </w:tcMar>
            <w:vAlign w:val="bottom"/>
          </w:tcPr>
          <w:p w:rsidR="00334D46" w:rsidRPr="00BE6460" w:rsidRDefault="006A51DD" w:rsidP="00F72888">
            <w:pPr>
              <w:spacing w:after="0" w:line="240" w:lineRule="auto"/>
              <w:ind w:right="22"/>
              <w:jc w:val="center"/>
              <w:rPr>
                <w:b/>
                <w:sz w:val="18"/>
                <w:szCs w:val="18"/>
                <w:lang w:eastAsia="en-AU"/>
              </w:rPr>
            </w:pPr>
            <w:r w:rsidRPr="00BE6460">
              <w:rPr>
                <w:b/>
                <w:sz w:val="18"/>
                <w:szCs w:val="18"/>
                <w:lang w:eastAsia="en-AU"/>
              </w:rPr>
              <w:t xml:space="preserve">Fees </w:t>
            </w:r>
            <w:r w:rsidR="00880F8D" w:rsidRPr="00BE6460">
              <w:rPr>
                <w:b/>
                <w:sz w:val="18"/>
                <w:szCs w:val="18"/>
                <w:lang w:eastAsia="en-AU"/>
              </w:rPr>
              <w:t>2014-</w:t>
            </w:r>
            <w:r w:rsidR="00334D46" w:rsidRPr="00BE6460">
              <w:rPr>
                <w:b/>
                <w:sz w:val="18"/>
                <w:szCs w:val="18"/>
                <w:lang w:eastAsia="en-AU"/>
              </w:rPr>
              <w:t>15</w:t>
            </w:r>
          </w:p>
          <w:p w:rsidR="00334D46" w:rsidRPr="00BE6460" w:rsidRDefault="00334D46" w:rsidP="00F72888">
            <w:pPr>
              <w:spacing w:after="0" w:line="240" w:lineRule="auto"/>
              <w:ind w:right="22"/>
              <w:jc w:val="center"/>
              <w:rPr>
                <w:b/>
                <w:sz w:val="18"/>
                <w:szCs w:val="18"/>
                <w:lang w:eastAsia="en-AU"/>
              </w:rPr>
            </w:pPr>
            <w:r w:rsidRPr="00BE6460">
              <w:rPr>
                <w:b/>
                <w:sz w:val="18"/>
                <w:szCs w:val="18"/>
                <w:lang w:eastAsia="en-AU"/>
              </w:rPr>
              <w:t>@$1.48</w:t>
            </w:r>
            <w:r w:rsidR="00F75382" w:rsidRPr="00BE6460">
              <w:rPr>
                <w:b/>
                <w:sz w:val="18"/>
                <w:szCs w:val="18"/>
                <w:lang w:eastAsia="en-AU"/>
              </w:rPr>
              <w:t> </w:t>
            </w:r>
            <w:r w:rsidRPr="00BE6460">
              <w:rPr>
                <w:b/>
                <w:sz w:val="18"/>
                <w:szCs w:val="18"/>
                <w:lang w:eastAsia="en-AU"/>
              </w:rPr>
              <w:t>$</w:t>
            </w:r>
          </w:p>
        </w:tc>
      </w:tr>
      <w:tr w:rsidR="00334D46" w:rsidRPr="00BE6460" w:rsidTr="00F72888">
        <w:trPr>
          <w:gridAfter w:val="3"/>
          <w:wAfter w:w="901" w:type="dxa"/>
          <w:trHeight w:val="283"/>
        </w:trPr>
        <w:tc>
          <w:tcPr>
            <w:tcW w:w="8080" w:type="dxa"/>
            <w:gridSpan w:val="8"/>
            <w:shd w:val="clear" w:color="auto" w:fill="auto"/>
            <w:tcMar>
              <w:left w:w="0" w:type="dxa"/>
            </w:tcMar>
            <w:vAlign w:val="center"/>
          </w:tcPr>
          <w:p w:rsidR="00334D46" w:rsidRPr="00BE6460" w:rsidRDefault="00334D46" w:rsidP="00F72888">
            <w:pPr>
              <w:spacing w:before="100" w:beforeAutospacing="1" w:after="100" w:afterAutospacing="1"/>
              <w:ind w:right="-33"/>
              <w:rPr>
                <w:sz w:val="18"/>
                <w:szCs w:val="18"/>
                <w:lang w:eastAsia="en-AU"/>
              </w:rPr>
            </w:pPr>
            <w:r w:rsidRPr="00BE6460">
              <w:rPr>
                <w:b/>
                <w:sz w:val="18"/>
                <w:szCs w:val="18"/>
                <w:lang w:eastAsia="en-AU"/>
              </w:rPr>
              <w:t>Eligibility Certificate - Initial Application</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Each individual involving no Trust</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61B</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35</w:t>
            </w:r>
          </w:p>
        </w:tc>
        <w:tc>
          <w:tcPr>
            <w:tcW w:w="2126" w:type="dxa"/>
            <w:gridSpan w:val="5"/>
            <w:shd w:val="clear" w:color="auto" w:fill="auto"/>
            <w:tcMar>
              <w:right w:w="227" w:type="dxa"/>
            </w:tcMar>
          </w:tcPr>
          <w:p w:rsidR="00334D46" w:rsidRPr="00BE6460" w:rsidRDefault="00334D46"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51.80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Each individual involving one Trust</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61B</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275</w:t>
            </w:r>
          </w:p>
        </w:tc>
        <w:tc>
          <w:tcPr>
            <w:tcW w:w="2126" w:type="dxa"/>
            <w:gridSpan w:val="5"/>
            <w:shd w:val="clear" w:color="auto" w:fill="auto"/>
            <w:tcMar>
              <w:right w:w="227" w:type="dxa"/>
            </w:tcMar>
          </w:tcPr>
          <w:p w:rsidR="00334D46" w:rsidRPr="00BE6460" w:rsidRDefault="00334D46"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407.00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Each individual with more than one Trust</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61B</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550</w:t>
            </w:r>
          </w:p>
        </w:tc>
        <w:tc>
          <w:tcPr>
            <w:tcW w:w="2126" w:type="dxa"/>
            <w:gridSpan w:val="5"/>
            <w:shd w:val="clear" w:color="auto" w:fill="auto"/>
            <w:tcMar>
              <w:right w:w="227" w:type="dxa"/>
            </w:tcMar>
          </w:tcPr>
          <w:p w:rsidR="00334D46" w:rsidRPr="00BE6460" w:rsidRDefault="00334D46"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814.00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Each body corporate with no Trust</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61B</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350</w:t>
            </w:r>
          </w:p>
        </w:tc>
        <w:tc>
          <w:tcPr>
            <w:tcW w:w="2126" w:type="dxa"/>
            <w:gridSpan w:val="5"/>
            <w:shd w:val="clear" w:color="auto" w:fill="auto"/>
            <w:tcMar>
              <w:right w:w="227" w:type="dxa"/>
            </w:tcMar>
          </w:tcPr>
          <w:p w:rsidR="00334D46" w:rsidRPr="00BE6460" w:rsidRDefault="00334D46"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518.00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Each body corporate with one Trust</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61B</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620</w:t>
            </w:r>
          </w:p>
        </w:tc>
        <w:tc>
          <w:tcPr>
            <w:tcW w:w="2126" w:type="dxa"/>
            <w:gridSpan w:val="5"/>
            <w:shd w:val="clear" w:color="auto" w:fill="auto"/>
            <w:tcMar>
              <w:right w:w="227" w:type="dxa"/>
            </w:tcMar>
          </w:tcPr>
          <w:p w:rsidR="00334D46" w:rsidRPr="00BE6460" w:rsidRDefault="00334D46"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917.60</w:t>
            </w:r>
          </w:p>
        </w:tc>
      </w:tr>
      <w:tr w:rsidR="00F708D4" w:rsidRPr="00BE6460" w:rsidTr="00F72888">
        <w:trPr>
          <w:gridAfter w:val="2"/>
          <w:wAfter w:w="192" w:type="dxa"/>
          <w:trHeight w:val="227"/>
        </w:trPr>
        <w:tc>
          <w:tcPr>
            <w:tcW w:w="5762" w:type="dxa"/>
            <w:gridSpan w:val="2"/>
            <w:shd w:val="clear" w:color="auto" w:fill="auto"/>
            <w:tcMar>
              <w:left w:w="0" w:type="dxa"/>
            </w:tcMar>
            <w:vAlign w:val="center"/>
          </w:tcPr>
          <w:p w:rsidR="00F708D4" w:rsidRPr="00BE6460" w:rsidRDefault="00F708D4" w:rsidP="00F72888">
            <w:pPr>
              <w:spacing w:after="0" w:line="240" w:lineRule="auto"/>
              <w:rPr>
                <w:sz w:val="18"/>
                <w:szCs w:val="18"/>
                <w:lang w:eastAsia="en-AU"/>
              </w:rPr>
            </w:pPr>
            <w:r w:rsidRPr="00BE6460">
              <w:rPr>
                <w:sz w:val="18"/>
                <w:szCs w:val="18"/>
                <w:lang w:eastAsia="en-AU"/>
              </w:rPr>
              <w:t xml:space="preserve">Each body corporate with more than one Trust       </w:t>
            </w:r>
            <w:r w:rsidR="0040029D" w:rsidRPr="00BE6460">
              <w:rPr>
                <w:sz w:val="18"/>
                <w:szCs w:val="18"/>
                <w:lang w:eastAsia="en-AU"/>
              </w:rPr>
              <w:t xml:space="preserve">          </w:t>
            </w:r>
            <w:r w:rsidRPr="00BE6460">
              <w:rPr>
                <w:sz w:val="18"/>
                <w:szCs w:val="18"/>
                <w:lang w:eastAsia="en-AU"/>
              </w:rPr>
              <w:t xml:space="preserve">   61B</w:t>
            </w:r>
          </w:p>
        </w:tc>
        <w:tc>
          <w:tcPr>
            <w:tcW w:w="901" w:type="dxa"/>
            <w:gridSpan w:val="2"/>
            <w:shd w:val="clear" w:color="auto" w:fill="auto"/>
            <w:tcMar>
              <w:right w:w="85" w:type="dxa"/>
            </w:tcMar>
            <w:vAlign w:val="bottom"/>
          </w:tcPr>
          <w:p w:rsidR="00F708D4" w:rsidRPr="00BE6460" w:rsidRDefault="00F708D4" w:rsidP="00F72888">
            <w:pPr>
              <w:spacing w:after="0" w:line="240" w:lineRule="auto"/>
              <w:jc w:val="right"/>
              <w:rPr>
                <w:sz w:val="18"/>
                <w:szCs w:val="18"/>
                <w:lang w:eastAsia="en-AU"/>
              </w:rPr>
            </w:pPr>
            <w:r w:rsidRPr="00BE6460">
              <w:rPr>
                <w:sz w:val="18"/>
                <w:szCs w:val="18"/>
                <w:lang w:eastAsia="en-AU"/>
              </w:rPr>
              <w:t>900</w:t>
            </w:r>
          </w:p>
        </w:tc>
        <w:tc>
          <w:tcPr>
            <w:tcW w:w="2126" w:type="dxa"/>
            <w:gridSpan w:val="5"/>
            <w:shd w:val="clear" w:color="auto" w:fill="auto"/>
            <w:tcMar>
              <w:right w:w="227" w:type="dxa"/>
            </w:tcMar>
            <w:vAlign w:val="bottom"/>
          </w:tcPr>
          <w:p w:rsidR="00F708D4" w:rsidRPr="00BE6460" w:rsidRDefault="00F708D4" w:rsidP="00F72888">
            <w:pPr>
              <w:tabs>
                <w:tab w:val="left" w:pos="1166"/>
              </w:tabs>
              <w:spacing w:before="100" w:beforeAutospacing="1" w:after="100" w:afterAutospacing="1"/>
              <w:ind w:right="393"/>
              <w:jc w:val="right"/>
              <w:rPr>
                <w:sz w:val="18"/>
                <w:szCs w:val="18"/>
                <w:lang w:eastAsia="en-AU"/>
              </w:rPr>
            </w:pPr>
            <w:r w:rsidRPr="00BE6460">
              <w:rPr>
                <w:sz w:val="18"/>
                <w:szCs w:val="18"/>
                <w:lang w:eastAsia="en-AU"/>
              </w:rPr>
              <w:t>1332.00</w:t>
            </w:r>
          </w:p>
        </w:tc>
      </w:tr>
      <w:tr w:rsidR="00334D46" w:rsidRPr="00BE6460" w:rsidTr="00F72888">
        <w:trPr>
          <w:gridAfter w:val="5"/>
          <w:wAfter w:w="1326" w:type="dxa"/>
          <w:trHeight w:val="283"/>
        </w:trPr>
        <w:tc>
          <w:tcPr>
            <w:tcW w:w="7655" w:type="dxa"/>
            <w:gridSpan w:val="6"/>
            <w:shd w:val="clear" w:color="auto" w:fill="auto"/>
            <w:tcMar>
              <w:left w:w="0" w:type="dxa"/>
            </w:tcMar>
            <w:vAlign w:val="center"/>
          </w:tcPr>
          <w:p w:rsidR="00334D46" w:rsidRPr="00BE6460" w:rsidRDefault="00334D46" w:rsidP="00F72888">
            <w:pPr>
              <w:spacing w:before="100" w:beforeAutospacing="1" w:after="100" w:afterAutospacing="1"/>
              <w:ind w:right="-33"/>
              <w:rPr>
                <w:sz w:val="18"/>
                <w:szCs w:val="18"/>
                <w:lang w:eastAsia="en-AU"/>
              </w:rPr>
            </w:pPr>
            <w:r w:rsidRPr="00BE6460">
              <w:rPr>
                <w:b/>
                <w:sz w:val="18"/>
                <w:szCs w:val="18"/>
                <w:lang w:eastAsia="en-AU"/>
              </w:rPr>
              <w:t>Annual Renewals</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Individual eligibility certificate </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61E</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70</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103.60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Body Corporate  eligibility certificate </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61E</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140</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207.20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Certificate of Premises Registration</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71K</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250</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370.00</w:t>
            </w:r>
          </w:p>
        </w:tc>
      </w:tr>
      <w:tr w:rsidR="00334D46" w:rsidRPr="00BE6460" w:rsidTr="00F72888">
        <w:trPr>
          <w:gridAfter w:val="4"/>
          <w:wAfter w:w="1184" w:type="dxa"/>
          <w:trHeight w:val="283"/>
        </w:trPr>
        <w:tc>
          <w:tcPr>
            <w:tcW w:w="7797" w:type="dxa"/>
            <w:gridSpan w:val="7"/>
            <w:shd w:val="clear" w:color="auto" w:fill="auto"/>
            <w:tcMar>
              <w:left w:w="0" w:type="dxa"/>
            </w:tcMar>
            <w:vAlign w:val="center"/>
          </w:tcPr>
          <w:p w:rsidR="00334D46" w:rsidRPr="00BE6460" w:rsidRDefault="00334D46" w:rsidP="00F72888">
            <w:pPr>
              <w:spacing w:before="100" w:beforeAutospacing="1" w:after="100" w:afterAutospacing="1"/>
              <w:ind w:right="-33"/>
              <w:rPr>
                <w:color w:val="000000"/>
                <w:sz w:val="18"/>
                <w:szCs w:val="18"/>
                <w:lang w:eastAsia="en-AU"/>
              </w:rPr>
            </w:pPr>
            <w:r w:rsidRPr="00BE6460">
              <w:rPr>
                <w:b/>
                <w:color w:val="000000"/>
                <w:sz w:val="18"/>
                <w:szCs w:val="18"/>
                <w:lang w:eastAsia="en-AU"/>
              </w:rPr>
              <w:t>Late Fees</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Individual Eligibility Certificate</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61E</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15</w:t>
            </w:r>
          </w:p>
        </w:tc>
        <w:tc>
          <w:tcPr>
            <w:tcW w:w="2126" w:type="dxa"/>
            <w:gridSpan w:val="5"/>
            <w:shd w:val="clear" w:color="auto" w:fill="auto"/>
            <w:tcMar>
              <w:right w:w="227" w:type="dxa"/>
            </w:tcMar>
          </w:tcPr>
          <w:p w:rsidR="00334D46" w:rsidRPr="00BE6460" w:rsidRDefault="00334D46" w:rsidP="00F72888">
            <w:pPr>
              <w:tabs>
                <w:tab w:val="left" w:pos="1248"/>
              </w:tabs>
              <w:spacing w:before="100" w:beforeAutospacing="1" w:after="100" w:afterAutospacing="1"/>
              <w:ind w:right="393"/>
              <w:jc w:val="right"/>
              <w:rPr>
                <w:sz w:val="18"/>
                <w:szCs w:val="18"/>
                <w:lang w:eastAsia="en-AU"/>
              </w:rPr>
            </w:pPr>
            <w:r w:rsidRPr="00BE6460">
              <w:rPr>
                <w:sz w:val="18"/>
                <w:szCs w:val="18"/>
                <w:lang w:eastAsia="en-AU"/>
              </w:rPr>
              <w:t>22.20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Body Corporate Eligibility Certificate</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61E</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50</w:t>
            </w:r>
          </w:p>
        </w:tc>
        <w:tc>
          <w:tcPr>
            <w:tcW w:w="2126" w:type="dxa"/>
            <w:gridSpan w:val="5"/>
            <w:shd w:val="clear" w:color="auto" w:fill="auto"/>
            <w:tcMar>
              <w:right w:w="227" w:type="dxa"/>
            </w:tcMar>
          </w:tcPr>
          <w:p w:rsidR="00334D46" w:rsidRPr="00BE6460" w:rsidRDefault="00334D46" w:rsidP="00F72888">
            <w:pPr>
              <w:tabs>
                <w:tab w:val="left" w:pos="1248"/>
              </w:tabs>
              <w:spacing w:before="100" w:beforeAutospacing="1" w:after="100" w:afterAutospacing="1"/>
              <w:ind w:right="393"/>
              <w:jc w:val="right"/>
              <w:rPr>
                <w:sz w:val="18"/>
                <w:szCs w:val="18"/>
                <w:lang w:eastAsia="en-AU"/>
              </w:rPr>
            </w:pPr>
            <w:r w:rsidRPr="00BE6460">
              <w:rPr>
                <w:sz w:val="18"/>
                <w:szCs w:val="18"/>
                <w:lang w:eastAsia="en-AU"/>
              </w:rPr>
              <w:t>74.00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Premises Registration</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71K</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100</w:t>
            </w:r>
          </w:p>
        </w:tc>
        <w:tc>
          <w:tcPr>
            <w:tcW w:w="2126" w:type="dxa"/>
            <w:gridSpan w:val="5"/>
            <w:shd w:val="clear" w:color="auto" w:fill="auto"/>
            <w:tcMar>
              <w:right w:w="227" w:type="dxa"/>
            </w:tcMar>
          </w:tcPr>
          <w:p w:rsidR="00334D46" w:rsidRPr="00BE6460" w:rsidRDefault="00334D46" w:rsidP="00F72888">
            <w:pPr>
              <w:tabs>
                <w:tab w:val="left" w:pos="1248"/>
              </w:tabs>
              <w:spacing w:before="100" w:beforeAutospacing="1" w:after="100" w:afterAutospacing="1"/>
              <w:ind w:right="393"/>
              <w:jc w:val="right"/>
              <w:rPr>
                <w:sz w:val="18"/>
                <w:szCs w:val="18"/>
                <w:lang w:eastAsia="en-AU"/>
              </w:rPr>
            </w:pPr>
            <w:r w:rsidRPr="00BE6460">
              <w:rPr>
                <w:sz w:val="18"/>
                <w:szCs w:val="18"/>
                <w:lang w:eastAsia="en-AU"/>
              </w:rPr>
              <w:t>148.00</w:t>
            </w:r>
          </w:p>
        </w:tc>
      </w:tr>
      <w:tr w:rsidR="00334D46" w:rsidRPr="00BE6460" w:rsidTr="00F72888">
        <w:trPr>
          <w:gridAfter w:val="1"/>
          <w:wAfter w:w="51" w:type="dxa"/>
          <w:trHeight w:val="283"/>
        </w:trPr>
        <w:tc>
          <w:tcPr>
            <w:tcW w:w="8930" w:type="dxa"/>
            <w:gridSpan w:val="10"/>
            <w:shd w:val="clear" w:color="auto" w:fill="auto"/>
            <w:tcMar>
              <w:left w:w="0" w:type="dxa"/>
            </w:tcMar>
            <w:vAlign w:val="center"/>
          </w:tcPr>
          <w:p w:rsidR="00334D46" w:rsidRPr="00BE6460" w:rsidRDefault="00334D46" w:rsidP="00F72888">
            <w:pPr>
              <w:spacing w:before="100" w:beforeAutospacing="1" w:after="100" w:afterAutospacing="1"/>
              <w:ind w:right="-33"/>
              <w:rPr>
                <w:color w:val="000000"/>
                <w:sz w:val="18"/>
                <w:szCs w:val="18"/>
                <w:lang w:eastAsia="en-AU"/>
              </w:rPr>
            </w:pPr>
            <w:r w:rsidRPr="00BE6460">
              <w:rPr>
                <w:b/>
                <w:color w:val="000000"/>
                <w:sz w:val="18"/>
                <w:szCs w:val="18"/>
                <w:lang w:eastAsia="en-AU"/>
              </w:rPr>
              <w:t>Other Fees</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Initial registration of pharmacy business premises</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71D</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310</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458.80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Application to exempt premises from registration</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71J</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35</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51.80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Fee for inspection of register</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71M</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15</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22.20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 xml:space="preserve">Fee for a copy or extract from register </w:t>
            </w:r>
            <w:r w:rsidRPr="00BE6460">
              <w:rPr>
                <w:i/>
                <w:sz w:val="18"/>
                <w:szCs w:val="18"/>
                <w:lang w:eastAsia="en-AU"/>
              </w:rPr>
              <w:t>- per page</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71M</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5</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7.40</w:t>
            </w:r>
          </w:p>
        </w:tc>
      </w:tr>
      <w:tr w:rsidR="00334D46" w:rsidRPr="00BE6460" w:rsidTr="00F72888">
        <w:trPr>
          <w:gridAfter w:val="2"/>
          <w:wAfter w:w="192" w:type="dxa"/>
          <w:trHeight w:val="227"/>
        </w:trPr>
        <w:tc>
          <w:tcPr>
            <w:tcW w:w="4395" w:type="dxa"/>
            <w:shd w:val="clear" w:color="auto" w:fill="auto"/>
            <w:tcMar>
              <w:left w:w="0" w:type="dxa"/>
            </w:tcMar>
            <w:vAlign w:val="center"/>
          </w:tcPr>
          <w:p w:rsidR="00334D46" w:rsidRPr="00BE6460" w:rsidRDefault="00334D46" w:rsidP="00F72888">
            <w:pPr>
              <w:spacing w:before="100" w:beforeAutospacing="1" w:after="100" w:afterAutospacing="1"/>
              <w:rPr>
                <w:sz w:val="18"/>
                <w:szCs w:val="18"/>
                <w:lang w:eastAsia="en-AU"/>
              </w:rPr>
            </w:pPr>
            <w:r w:rsidRPr="00BE6460">
              <w:rPr>
                <w:sz w:val="18"/>
                <w:szCs w:val="18"/>
                <w:lang w:eastAsia="en-AU"/>
              </w:rPr>
              <w:t xml:space="preserve">Fee for a copy of notice - </w:t>
            </w:r>
            <w:r w:rsidRPr="00BE6460">
              <w:rPr>
                <w:i/>
                <w:sz w:val="18"/>
                <w:szCs w:val="18"/>
                <w:lang w:eastAsia="en-AU"/>
              </w:rPr>
              <w:t>per page</w:t>
            </w:r>
          </w:p>
        </w:tc>
        <w:tc>
          <w:tcPr>
            <w:tcW w:w="1367" w:type="dxa"/>
            <w:shd w:val="clear" w:color="auto" w:fill="auto"/>
            <w:tcMar>
              <w:left w:w="0" w:type="dxa"/>
              <w:right w:w="0" w:type="dxa"/>
            </w:tcMar>
            <w:vAlign w:val="center"/>
          </w:tcPr>
          <w:p w:rsidR="00334D46" w:rsidRPr="00BE6460" w:rsidRDefault="00334D46" w:rsidP="00F72888">
            <w:pPr>
              <w:spacing w:before="100" w:beforeAutospacing="1" w:after="100" w:afterAutospacing="1"/>
              <w:jc w:val="center"/>
              <w:rPr>
                <w:sz w:val="18"/>
                <w:szCs w:val="18"/>
                <w:lang w:eastAsia="en-AU"/>
              </w:rPr>
            </w:pPr>
            <w:r w:rsidRPr="00BE6460">
              <w:rPr>
                <w:sz w:val="18"/>
                <w:szCs w:val="18"/>
                <w:lang w:eastAsia="en-AU"/>
              </w:rPr>
              <w:t>71M</w:t>
            </w:r>
          </w:p>
        </w:tc>
        <w:tc>
          <w:tcPr>
            <w:tcW w:w="901" w:type="dxa"/>
            <w:gridSpan w:val="2"/>
            <w:shd w:val="clear" w:color="auto" w:fill="auto"/>
            <w:tcMar>
              <w:right w:w="85" w:type="dxa"/>
            </w:tcMar>
            <w:vAlign w:val="center"/>
          </w:tcPr>
          <w:p w:rsidR="00334D46" w:rsidRPr="00BE6460" w:rsidRDefault="00334D46" w:rsidP="00F72888">
            <w:pPr>
              <w:spacing w:before="100" w:beforeAutospacing="1" w:after="100" w:afterAutospacing="1"/>
              <w:jc w:val="right"/>
              <w:rPr>
                <w:sz w:val="18"/>
                <w:szCs w:val="18"/>
                <w:lang w:eastAsia="en-AU"/>
              </w:rPr>
            </w:pPr>
            <w:r w:rsidRPr="00BE6460">
              <w:rPr>
                <w:sz w:val="18"/>
                <w:szCs w:val="18"/>
                <w:lang w:eastAsia="en-AU"/>
              </w:rPr>
              <w:t>5</w:t>
            </w:r>
          </w:p>
        </w:tc>
        <w:tc>
          <w:tcPr>
            <w:tcW w:w="2126" w:type="dxa"/>
            <w:gridSpan w:val="5"/>
            <w:shd w:val="clear" w:color="auto" w:fill="auto"/>
            <w:tcMar>
              <w:right w:w="227" w:type="dxa"/>
            </w:tcMar>
          </w:tcPr>
          <w:p w:rsidR="00334D46" w:rsidRPr="00BE6460" w:rsidRDefault="00334D46" w:rsidP="00F72888">
            <w:pPr>
              <w:spacing w:before="100" w:beforeAutospacing="1" w:after="100" w:afterAutospacing="1"/>
              <w:ind w:right="393"/>
              <w:jc w:val="right"/>
              <w:rPr>
                <w:sz w:val="18"/>
                <w:szCs w:val="18"/>
                <w:lang w:eastAsia="en-AU"/>
              </w:rPr>
            </w:pPr>
            <w:r w:rsidRPr="00BE6460">
              <w:rPr>
                <w:sz w:val="18"/>
                <w:szCs w:val="18"/>
                <w:lang w:eastAsia="en-AU"/>
              </w:rPr>
              <w:t>7.40</w:t>
            </w:r>
          </w:p>
        </w:tc>
      </w:tr>
    </w:tbl>
    <w:p w:rsidR="00BE6460" w:rsidRDefault="00BE6460" w:rsidP="00F75382">
      <w:pPr>
        <w:pStyle w:val="Heading2"/>
      </w:pPr>
    </w:p>
    <w:p w:rsidR="00AF183F" w:rsidRPr="00F75382" w:rsidRDefault="006A51DD" w:rsidP="00F75382">
      <w:pPr>
        <w:pStyle w:val="Heading2"/>
      </w:pPr>
      <w:r w:rsidRPr="00F75382">
        <w:t>Review of Activities and Operations 2014-15</w:t>
      </w:r>
    </w:p>
    <w:p w:rsidR="00AF183F" w:rsidRPr="00F75382" w:rsidRDefault="006A51DD" w:rsidP="00F75382">
      <w:pPr>
        <w:pStyle w:val="Heading3"/>
      </w:pPr>
      <w:r w:rsidRPr="00F75382">
        <w:t xml:space="preserve">Achievements </w:t>
      </w:r>
    </w:p>
    <w:p w:rsidR="00AF183F" w:rsidRPr="001B05C8" w:rsidRDefault="00AF183F" w:rsidP="00880F8D">
      <w:pPr>
        <w:pStyle w:val="Heading4"/>
      </w:pPr>
      <w:r w:rsidRPr="001B05C8">
        <w:t xml:space="preserve">The </w:t>
      </w:r>
      <w:r w:rsidRPr="00880F8D">
        <w:rPr>
          <w:i/>
        </w:rPr>
        <w:t>Pharmacy Control Act 2001</w:t>
      </w:r>
    </w:p>
    <w:p w:rsidR="00AF183F" w:rsidRPr="001B05C8" w:rsidRDefault="00AF183F" w:rsidP="006A51DD">
      <w:r w:rsidRPr="001B05C8">
        <w:t xml:space="preserve">The Tasmanian Pharmacy Authority was established under the Act which commenced on </w:t>
      </w:r>
      <w:r w:rsidR="00880F8D">
        <w:t>1 February </w:t>
      </w:r>
      <w:r w:rsidRPr="001B05C8">
        <w:t xml:space="preserve">2011.  It has been the role of the Authority to implement and administer this Act, which includes considering all applications for alterations, new or relocated premises, transfers of ownership and consideration of ownership eligibility.   </w:t>
      </w:r>
    </w:p>
    <w:p w:rsidR="0019003D" w:rsidRDefault="0019003D">
      <w:pPr>
        <w:tabs>
          <w:tab w:val="clear" w:pos="567"/>
        </w:tabs>
        <w:spacing w:after="200" w:line="276" w:lineRule="auto"/>
      </w:pPr>
      <w:r>
        <w:br w:type="page"/>
      </w:r>
    </w:p>
    <w:p w:rsidR="00AF183F" w:rsidRPr="001B05C8" w:rsidRDefault="00AF183F" w:rsidP="006A51DD">
      <w:r w:rsidRPr="001B05C8">
        <w:lastRenderedPageBreak/>
        <w:t>The Authority administered the issuing of Eligibility Certificates in accordance with Part 5A of the Act. The complexities of pharmacy ownership when companies and trusts were involved make determining the interests of parties difficult, and the Authority referred company and trust documents to Crown Law for advice.  The Authority had regular dialogue with officers from Crown Law and DHHS concerning apparent irregularities in, and the interpretation of, the Act.</w:t>
      </w:r>
    </w:p>
    <w:p w:rsidR="00AF183F" w:rsidRPr="001B05C8" w:rsidRDefault="00AF183F" w:rsidP="006A51DD">
      <w:r w:rsidRPr="001B05C8">
        <w:t>During 2014-15, following clarification of the Act, a review of ownership structures was undertaken.  This review identified some arrangements which had been approved by the previous Pharmacy Board but which were not satisfactory.  The relevant owners subseq</w:t>
      </w:r>
      <w:r w:rsidR="00F708D4">
        <w:t>uently amended their ownership s</w:t>
      </w:r>
      <w:r w:rsidRPr="001B05C8">
        <w:t>tructures to ensure compliance with the Act.</w:t>
      </w:r>
    </w:p>
    <w:p w:rsidR="00AF183F" w:rsidRPr="001B05C8" w:rsidRDefault="00AF183F" w:rsidP="00880F8D">
      <w:pPr>
        <w:pStyle w:val="Heading4"/>
      </w:pPr>
      <w:r w:rsidRPr="001B05C8">
        <w:t>Pharmacy Guidelines</w:t>
      </w:r>
    </w:p>
    <w:p w:rsidR="00AF183F" w:rsidRPr="001B05C8" w:rsidRDefault="00AF183F" w:rsidP="006A51DD">
      <w:r w:rsidRPr="001B05C8">
        <w:t>The Authority adopted its inaugural Guidelines on 6</w:t>
      </w:r>
      <w:r w:rsidR="00880F8D">
        <w:t> February </w:t>
      </w:r>
      <w:r w:rsidRPr="001B05C8">
        <w:t>2013.  These were amended in December 2014 to add a section regrading pharmacy closure or</w:t>
      </w:r>
      <w:r w:rsidR="00880F8D">
        <w:t xml:space="preserve"> relocation; and again in April </w:t>
      </w:r>
      <w:r w:rsidRPr="001B05C8">
        <w:t>2015 to add a section regarding the requirement to display a “Limited Supply Notice” for pharmacies which do not hold Commonwealth Department of Health approval to supply Pharmaceutical Benefits Scheme (PBS) subsidised medicine in accordance with section 90 of t</w:t>
      </w:r>
      <w:r w:rsidR="00F708D4">
        <w:t xml:space="preserve">he </w:t>
      </w:r>
      <w:hyperlink r:id="rId25" w:history="1">
        <w:r w:rsidR="00F708D4">
          <w:rPr>
            <w:i/>
          </w:rPr>
          <w:t xml:space="preserve">National Health Act </w:t>
        </w:r>
        <w:r w:rsidRPr="001B05C8">
          <w:rPr>
            <w:i/>
          </w:rPr>
          <w:t>1953</w:t>
        </w:r>
      </w:hyperlink>
      <w:r w:rsidRPr="001B05C8">
        <w:t>.</w:t>
      </w:r>
    </w:p>
    <w:p w:rsidR="00AF183F" w:rsidRPr="00AA3D31" w:rsidRDefault="00AF183F" w:rsidP="00880F8D">
      <w:pPr>
        <w:pStyle w:val="Heading4"/>
      </w:pPr>
      <w:r w:rsidRPr="001B05C8">
        <w:t xml:space="preserve">Authority Financial </w:t>
      </w:r>
      <w:r w:rsidR="00AA3D31">
        <w:t>Matters</w:t>
      </w:r>
    </w:p>
    <w:p w:rsidR="00AF183F" w:rsidRPr="001B05C8" w:rsidRDefault="00AF183F" w:rsidP="006A51DD">
      <w:r w:rsidRPr="001B05C8">
        <w:t>The Authority again reviewed its risk assessment and budget during the year, and believes that the identified risks have been managed appropriately.</w:t>
      </w:r>
    </w:p>
    <w:p w:rsidR="00AF183F" w:rsidRPr="001B05C8" w:rsidRDefault="00AF183F" w:rsidP="006A51DD">
      <w:r w:rsidRPr="001B05C8">
        <w:t>The budget ensures that there is security and stability to the Authority’s income to ensure it can operate effectively.  In particular, the budget security has allowed the Authority to plan for cyclical inspections of all premises.  There is also contingency provision for any potential legal costs which might be incurred in the event of a prosecution by the Authority under the Act.</w:t>
      </w:r>
    </w:p>
    <w:p w:rsidR="00AF183F" w:rsidRPr="001B05C8" w:rsidRDefault="00AF183F" w:rsidP="00880F8D">
      <w:pPr>
        <w:pStyle w:val="Heading4"/>
      </w:pPr>
      <w:r w:rsidRPr="001B05C8">
        <w:t xml:space="preserve">Authority Website, Database and </w:t>
      </w:r>
      <w:r w:rsidR="00AA3D31">
        <w:t>Records</w:t>
      </w:r>
    </w:p>
    <w:p w:rsidR="00AF183F" w:rsidRPr="001B05C8" w:rsidRDefault="00AF183F" w:rsidP="006A51DD">
      <w:r w:rsidRPr="001B05C8">
        <w:t xml:space="preserve">The Authority made further improvements to its website (hosted on a tas.gov.au domain) during the year, and continually updated, added to and refined the information provided on the website to make it clearer, more useful and more user-friendly.  </w:t>
      </w:r>
    </w:p>
    <w:p w:rsidR="00AF183F" w:rsidRPr="001B05C8" w:rsidRDefault="00AF183F" w:rsidP="006A51DD">
      <w:r w:rsidRPr="001B05C8">
        <w:t>The process improvements which were introduced for the 2014-15 annual renewals round enhanced the information provided to pharmacy owners, and provided greater detail on annual ownership and premises certificates. The improvements were brought about by adaptions of the accounting package to better support business processes.  Feedback from the owners was that the changes were welcomed, and a similar process was used for the 2015-16 annual renewals process which commenced in May 2015.</w:t>
      </w:r>
    </w:p>
    <w:p w:rsidR="00AF183F" w:rsidRPr="001B05C8" w:rsidRDefault="00AA3D31" w:rsidP="00880F8D">
      <w:pPr>
        <w:pStyle w:val="Heading4"/>
      </w:pPr>
      <w:r>
        <w:t>Authority Inspections</w:t>
      </w:r>
    </w:p>
    <w:p w:rsidR="00AF183F" w:rsidRPr="001B05C8" w:rsidRDefault="00AF183F" w:rsidP="006A51DD">
      <w:r w:rsidRPr="001B05C8">
        <w:t xml:space="preserve">During the year, the Authority inspected all new, relocated or altered pharmacy premises to ensure their compliance with the Act and to allow Certificates of Pharmacy Business Premises Registration to be issued; and commenced its rolling three year cycle of inspecting all pharmacy business premises.  </w:t>
      </w:r>
      <w:r w:rsidR="00F708D4">
        <w:t>20 </w:t>
      </w:r>
      <w:r w:rsidRPr="001B05C8">
        <w:t xml:space="preserve">inspections were undertaken during the year – </w:t>
      </w:r>
      <w:r w:rsidR="00F708D4">
        <w:t xml:space="preserve">10 </w:t>
      </w:r>
      <w:r w:rsidRPr="001B05C8">
        <w:t>to inspect alterations; two to inspect new premises; one to inspect and report on a matter of possible breach; and seven cyclical inspections.</w:t>
      </w:r>
    </w:p>
    <w:p w:rsidR="00AF183F" w:rsidRPr="001B05C8" w:rsidRDefault="00AF183F" w:rsidP="006A51DD">
      <w:r w:rsidRPr="001B05C8">
        <w:lastRenderedPageBreak/>
        <w:t>In addition, the Chief Inspector and Registrar made enquiries about an apparently unregistered pharmacy business which was listed on a website.  This matter was found to be an erroneous and inadvertent website listing which was resolved by a correction of the pharmacy business premises’ details.</w:t>
      </w:r>
    </w:p>
    <w:p w:rsidR="00AF183F" w:rsidRPr="001B05C8" w:rsidRDefault="00AF183F" w:rsidP="006A51DD">
      <w:r w:rsidRPr="001B05C8">
        <w:t xml:space="preserve">The Authority routinely informed DHHS of newly registered premises, and brought to its attention any matter identified during an inspection which may have required its attention under departmental responsibilities.  In addition, the Authority alerted the </w:t>
      </w:r>
      <w:r w:rsidR="00F708D4">
        <w:t>AHPRA</w:t>
      </w:r>
      <w:r w:rsidRPr="001B05C8">
        <w:t xml:space="preserve"> to potential issues which fell under its jurisdiction.</w:t>
      </w:r>
    </w:p>
    <w:p w:rsidR="00AF183F" w:rsidRPr="001B05C8" w:rsidRDefault="00AF183F" w:rsidP="006A51DD">
      <w:r w:rsidRPr="001B05C8">
        <w:t>The Inspection Form was further improved to ensure a more consistent and comprehensive approach to inspections.</w:t>
      </w:r>
    </w:p>
    <w:p w:rsidR="00AF183F" w:rsidRPr="00AA3D31" w:rsidRDefault="006A51DD" w:rsidP="00AA3D31">
      <w:pPr>
        <w:pStyle w:val="Heading3"/>
      </w:pPr>
      <w:r w:rsidRPr="00AA3D31">
        <w:t xml:space="preserve">Legislation </w:t>
      </w:r>
    </w:p>
    <w:p w:rsidR="00AF183F" w:rsidRPr="001B05C8" w:rsidRDefault="00AF183F" w:rsidP="00AA3D31">
      <w:pPr>
        <w:pStyle w:val="Heading4"/>
      </w:pPr>
      <w:r w:rsidRPr="00AA3D31">
        <w:rPr>
          <w:i/>
        </w:rPr>
        <w:t>Pharmacy Control Act 2001</w:t>
      </w:r>
    </w:p>
    <w:p w:rsidR="00AF183F" w:rsidRPr="001B05C8" w:rsidRDefault="00AF183F" w:rsidP="006A51DD">
      <w:r w:rsidRPr="001B05C8">
        <w:t xml:space="preserve">The </w:t>
      </w:r>
      <w:r w:rsidRPr="00AA3D31">
        <w:rPr>
          <w:i/>
        </w:rPr>
        <w:t>Pharmacy Control Act</w:t>
      </w:r>
      <w:r w:rsidRPr="001B05C8">
        <w:t xml:space="preserve"> </w:t>
      </w:r>
      <w:r w:rsidR="00B96D59" w:rsidRPr="00B96D59">
        <w:rPr>
          <w:i/>
        </w:rPr>
        <w:t>2001</w:t>
      </w:r>
      <w:r w:rsidR="00B96D59">
        <w:t xml:space="preserve"> </w:t>
      </w:r>
      <w:r w:rsidRPr="001B05C8">
        <w:t>was proclaimed on 1 February 2011.</w:t>
      </w:r>
    </w:p>
    <w:p w:rsidR="00AF183F" w:rsidRPr="001B05C8" w:rsidRDefault="00AF183F" w:rsidP="006A51DD">
      <w:r w:rsidRPr="001B05C8">
        <w:t xml:space="preserve">Continuing work which commenced in the 2013-14 year, the Authority liaised further with DHHS to progress amendments to the Act to address identified ambiguities and inconsistencies with the Act. </w:t>
      </w:r>
    </w:p>
    <w:p w:rsidR="00AF183F" w:rsidRPr="001B05C8" w:rsidRDefault="00AF183F" w:rsidP="00AA3D31">
      <w:pPr>
        <w:pStyle w:val="Heading4"/>
      </w:pPr>
      <w:r w:rsidRPr="00AA3D31">
        <w:rPr>
          <w:i/>
        </w:rPr>
        <w:t>Personal Information Protection Act 2004</w:t>
      </w:r>
    </w:p>
    <w:p w:rsidR="00AF183F" w:rsidRPr="001B05C8" w:rsidRDefault="00AF183F" w:rsidP="006A51DD">
      <w:r w:rsidRPr="001B05C8">
        <w:t xml:space="preserve">The Authority approved its Personal Information Protection Statement on 3 October 2012.  There were no matters raised under the </w:t>
      </w:r>
      <w:r w:rsidRPr="00F708D4">
        <w:rPr>
          <w:i/>
        </w:rPr>
        <w:t xml:space="preserve">Personal Information Protection Act </w:t>
      </w:r>
      <w:r w:rsidR="00F708D4" w:rsidRPr="00F708D4">
        <w:rPr>
          <w:i/>
        </w:rPr>
        <w:t>2004</w:t>
      </w:r>
      <w:r w:rsidR="00F708D4">
        <w:t xml:space="preserve"> </w:t>
      </w:r>
      <w:r w:rsidRPr="001B05C8">
        <w:t>during the twel</w:t>
      </w:r>
      <w:r w:rsidR="00B96D59">
        <w:t>ve months ending 30 June </w:t>
      </w:r>
      <w:r w:rsidRPr="001B05C8">
        <w:t xml:space="preserve">2015. </w:t>
      </w:r>
    </w:p>
    <w:p w:rsidR="00AF183F" w:rsidRPr="00AA3D31" w:rsidRDefault="00AF183F" w:rsidP="00AA3D31">
      <w:pPr>
        <w:pStyle w:val="Heading4"/>
        <w:rPr>
          <w:i/>
        </w:rPr>
      </w:pPr>
      <w:r w:rsidRPr="00AA3D31">
        <w:rPr>
          <w:i/>
        </w:rPr>
        <w:t>Public Interest Disclosure Act 2002</w:t>
      </w:r>
    </w:p>
    <w:p w:rsidR="00AF183F" w:rsidRPr="001B05C8" w:rsidRDefault="00AF183F" w:rsidP="006A51DD">
      <w:r w:rsidRPr="001B05C8">
        <w:t xml:space="preserve">The Authority approved an Application for Assessed Disclosure Form on 3 October 2012.  There were no matters raised under the </w:t>
      </w:r>
      <w:r w:rsidRPr="00F708D4">
        <w:rPr>
          <w:i/>
        </w:rPr>
        <w:t>Public Interest Disclosures Act 2002</w:t>
      </w:r>
      <w:r w:rsidRPr="001B05C8">
        <w:t xml:space="preserve"> du</w:t>
      </w:r>
      <w:r w:rsidR="00F708D4">
        <w:t>ring the 12 months end</w:t>
      </w:r>
      <w:r w:rsidR="00B96D59">
        <w:t>ing</w:t>
      </w:r>
      <w:r w:rsidR="00F708D4">
        <w:t xml:space="preserve"> 30 </w:t>
      </w:r>
      <w:r w:rsidR="00E85C89">
        <w:t>June </w:t>
      </w:r>
      <w:r w:rsidRPr="001B05C8">
        <w:t xml:space="preserve">2015. </w:t>
      </w:r>
    </w:p>
    <w:p w:rsidR="00AF183F" w:rsidRPr="00AA3D31" w:rsidRDefault="00AF183F" w:rsidP="00AA3D31">
      <w:pPr>
        <w:pStyle w:val="Heading4"/>
        <w:rPr>
          <w:i/>
        </w:rPr>
      </w:pPr>
      <w:r w:rsidRPr="00AA3D31">
        <w:rPr>
          <w:i/>
        </w:rPr>
        <w:t>Right to Information Act 2009</w:t>
      </w:r>
    </w:p>
    <w:p w:rsidR="00AF183F" w:rsidRPr="001B05C8" w:rsidRDefault="00AF183F" w:rsidP="006A51DD">
      <w:r w:rsidRPr="001B05C8">
        <w:t xml:space="preserve">The Authority approved a Right to Information Statement on 3 October 2012.  There were no requests for information under the </w:t>
      </w:r>
      <w:r w:rsidRPr="001B05C8">
        <w:rPr>
          <w:i/>
          <w:iCs/>
        </w:rPr>
        <w:t xml:space="preserve">Right to Information Act 2009 </w:t>
      </w:r>
      <w:r w:rsidRPr="001B05C8">
        <w:t xml:space="preserve">in the </w:t>
      </w:r>
      <w:r w:rsidR="00E85C89">
        <w:t>12</w:t>
      </w:r>
      <w:r w:rsidR="00B96D59">
        <w:t xml:space="preserve"> months ending</w:t>
      </w:r>
      <w:r w:rsidR="006A51DD" w:rsidRPr="001B05C8">
        <w:t xml:space="preserve"> 30 June </w:t>
      </w:r>
      <w:r w:rsidRPr="001B05C8">
        <w:t xml:space="preserve">2015. </w:t>
      </w:r>
    </w:p>
    <w:p w:rsidR="00AF183F" w:rsidRPr="00AA3D31" w:rsidRDefault="006A51DD" w:rsidP="00AA3D31">
      <w:pPr>
        <w:pStyle w:val="Heading3"/>
      </w:pPr>
      <w:r w:rsidRPr="00AA3D31">
        <w:t>Complaints and Disciplinary Issues</w:t>
      </w:r>
    </w:p>
    <w:p w:rsidR="00AF183F" w:rsidRPr="001B05C8" w:rsidRDefault="00AF183F" w:rsidP="006A51DD">
      <w:r w:rsidRPr="001B05C8">
        <w:t xml:space="preserve">The administration of complaints and disciplinary issues for pharmacists was transferred to </w:t>
      </w:r>
      <w:r w:rsidR="00F708D4">
        <w:t>the National </w:t>
      </w:r>
      <w:r w:rsidRPr="001B05C8">
        <w:t xml:space="preserve">Registration and Accreditation Scheme prior to the commencement of the Tasmanian Pharmacy Authority in 2011.  All matters became the responsibility of AHPRA.  As a result of this, the Authority has no role in such issues, and referred any complaints received during the year to AHPRA.  </w:t>
      </w:r>
    </w:p>
    <w:p w:rsidR="00AF183F" w:rsidRPr="001B05C8" w:rsidRDefault="00AF183F" w:rsidP="006A51DD">
      <w:r w:rsidRPr="001B05C8">
        <w:t>The Authority itself received no complaints about its operations and had no disciplinary issues during the year.</w:t>
      </w:r>
    </w:p>
    <w:p w:rsidR="00AF183F" w:rsidRPr="00F75382" w:rsidRDefault="005A080A" w:rsidP="00F75382">
      <w:pPr>
        <w:pStyle w:val="Heading2"/>
      </w:pPr>
      <w:r w:rsidRPr="00F75382">
        <w:t>Financial Statements</w:t>
      </w:r>
    </w:p>
    <w:p w:rsidR="00351700" w:rsidRDefault="00AF183F" w:rsidP="006A51DD">
      <w:r w:rsidRPr="001B05C8">
        <w:t>The Authority re-appointed Crowe Horwath during the year, as its Auditors; and obtained the permission of the Auditor-General to dispense with the audits by the Tasmanian Audit Office.</w:t>
      </w:r>
    </w:p>
    <w:p w:rsidR="00351700" w:rsidRDefault="00351700">
      <w:pPr>
        <w:tabs>
          <w:tab w:val="clear" w:pos="567"/>
        </w:tabs>
        <w:spacing w:after="200" w:line="276" w:lineRule="auto"/>
      </w:pPr>
      <w:r>
        <w:br w:type="page"/>
      </w:r>
    </w:p>
    <w:p w:rsidR="00351700" w:rsidRPr="001B05C8" w:rsidRDefault="00351700" w:rsidP="00351700">
      <w:pPr>
        <w:pStyle w:val="Heading1"/>
      </w:pPr>
      <w:bookmarkStart w:id="94" w:name="_Toc430351464"/>
      <w:r w:rsidRPr="001B05C8">
        <w:lastRenderedPageBreak/>
        <w:t>Tasmanian Pharmacy Authority</w:t>
      </w:r>
      <w:r>
        <w:t xml:space="preserve"> Financial Statements</w:t>
      </w:r>
      <w:bookmarkEnd w:id="94"/>
    </w:p>
    <w:p w:rsidR="00351700" w:rsidRPr="001B05C8" w:rsidRDefault="00351700" w:rsidP="00351700">
      <w:r w:rsidRPr="001B05C8">
        <w:t>For year ended 30 June 2015</w:t>
      </w:r>
    </w:p>
    <w:p w:rsidR="00351700" w:rsidRPr="001B05C8" w:rsidRDefault="00351700" w:rsidP="00351700">
      <w:pPr>
        <w:pBdr>
          <w:bottom w:val="single" w:sz="4" w:space="1" w:color="auto"/>
        </w:pBdr>
      </w:pPr>
    </w:p>
    <w:p w:rsidR="00351700" w:rsidRPr="00330077" w:rsidRDefault="00351700" w:rsidP="00351700">
      <w:pPr>
        <w:rPr>
          <w:b/>
        </w:rPr>
      </w:pPr>
      <w:r w:rsidRPr="00330077">
        <w:rPr>
          <w:b/>
        </w:rPr>
        <w:t>Contents</w:t>
      </w:r>
    </w:p>
    <w:p w:rsidR="00351700" w:rsidRPr="00330077" w:rsidRDefault="00351700" w:rsidP="00351700">
      <w:r w:rsidRPr="00330077">
        <w:t>Statement by the Registrar</w:t>
      </w:r>
    </w:p>
    <w:p w:rsidR="00351700" w:rsidRPr="00330077" w:rsidRDefault="00351700" w:rsidP="00351700">
      <w:r w:rsidRPr="00330077">
        <w:t>Statement of Comprehensive Income</w:t>
      </w:r>
    </w:p>
    <w:p w:rsidR="00351700" w:rsidRPr="00330077" w:rsidRDefault="00351700" w:rsidP="00351700">
      <w:r w:rsidRPr="00330077">
        <w:t>Statement of Financial Position</w:t>
      </w:r>
    </w:p>
    <w:p w:rsidR="00351700" w:rsidRPr="00330077" w:rsidRDefault="00351700" w:rsidP="00351700">
      <w:r w:rsidRPr="00330077">
        <w:t>Statement of Changes in Equity</w:t>
      </w:r>
    </w:p>
    <w:p w:rsidR="00351700" w:rsidRPr="00330077" w:rsidRDefault="00351700" w:rsidP="00351700">
      <w:r w:rsidRPr="00330077">
        <w:t>Statement of Cash Flows</w:t>
      </w:r>
    </w:p>
    <w:p w:rsidR="00351700" w:rsidRPr="00330077" w:rsidRDefault="00351700" w:rsidP="00351700">
      <w:r w:rsidRPr="00330077">
        <w:t>Notes to the Financial Statements</w:t>
      </w:r>
    </w:p>
    <w:p w:rsidR="00351700" w:rsidRPr="00330077" w:rsidRDefault="00351700" w:rsidP="00351700">
      <w:r w:rsidRPr="00330077">
        <w:t>Auditors’ Independence Declaration</w:t>
      </w:r>
    </w:p>
    <w:p w:rsidR="004D0132" w:rsidRPr="00330077" w:rsidRDefault="00351700" w:rsidP="006A51DD">
      <w:r w:rsidRPr="00330077">
        <w:t>Independent Audit Report</w:t>
      </w:r>
    </w:p>
    <w:p w:rsidR="004D0132" w:rsidRPr="00330077" w:rsidRDefault="004D0132">
      <w:pPr>
        <w:tabs>
          <w:tab w:val="clear" w:pos="567"/>
        </w:tabs>
        <w:spacing w:after="200" w:line="276" w:lineRule="auto"/>
      </w:pPr>
      <w:r w:rsidRPr="00330077">
        <w:br w:type="page"/>
      </w:r>
    </w:p>
    <w:p w:rsidR="004D0132" w:rsidRPr="00330077" w:rsidRDefault="0074113B" w:rsidP="00BF3DB7">
      <w:pPr>
        <w:pStyle w:val="Heading3"/>
      </w:pPr>
      <w:r w:rsidRPr="00330077">
        <w:lastRenderedPageBreak/>
        <w:t>Tasmanian Pharmacy Authority</w:t>
      </w:r>
    </w:p>
    <w:p w:rsidR="0074113B" w:rsidRPr="00330077" w:rsidRDefault="0074113B" w:rsidP="0074113B">
      <w:r w:rsidRPr="00330077">
        <w:t>Statement by the Registrar</w:t>
      </w:r>
    </w:p>
    <w:p w:rsidR="0074113B" w:rsidRPr="00330077" w:rsidRDefault="0074113B" w:rsidP="006A51DD"/>
    <w:p w:rsidR="0074113B" w:rsidRPr="00330077" w:rsidRDefault="0074113B" w:rsidP="00380EA1">
      <w:r w:rsidRPr="00330077">
        <w:t>The Registrar has determined that the Authority is not a reporting entity and that this special purpose financial report should be prepared in accordance with the accounting policies outlined in Note 1 to the financial statements.</w:t>
      </w:r>
    </w:p>
    <w:p w:rsidR="0074113B" w:rsidRPr="00330077" w:rsidRDefault="0074113B" w:rsidP="00380EA1">
      <w:r w:rsidRPr="00330077">
        <w:t>In the opinion of the Registrar:</w:t>
      </w:r>
    </w:p>
    <w:p w:rsidR="0074113B" w:rsidRPr="00330077" w:rsidRDefault="0074113B" w:rsidP="0074113B">
      <w:pPr>
        <w:pStyle w:val="SDTextInd"/>
        <w:tabs>
          <w:tab w:val="clear" w:pos="396"/>
        </w:tabs>
        <w:rPr>
          <w:rFonts w:ascii="GillSans Light" w:hAnsi="GillSans Light"/>
          <w:sz w:val="22"/>
          <w:szCs w:val="22"/>
        </w:rPr>
      </w:pPr>
    </w:p>
    <w:p w:rsidR="0074113B" w:rsidRPr="00330077" w:rsidRDefault="0074113B" w:rsidP="00380EA1">
      <w:pPr>
        <w:pStyle w:val="ListParagraph"/>
        <w:numPr>
          <w:ilvl w:val="2"/>
          <w:numId w:val="49"/>
        </w:numPr>
        <w:ind w:left="567" w:hanging="567"/>
      </w:pPr>
      <w:r w:rsidRPr="00330077">
        <w:t>The financial statements and notes, as set out on pages 2 to 8, present fairly the Authority's financial position as at 30 June 2015 and its performance for the year ended on that date in accordance with the accounting policies described in Note 1 to the financial statements; and</w:t>
      </w:r>
    </w:p>
    <w:p w:rsidR="0074113B" w:rsidRPr="00330077" w:rsidRDefault="0074113B" w:rsidP="00380EA1">
      <w:pPr>
        <w:pStyle w:val="ListParagraph"/>
        <w:numPr>
          <w:ilvl w:val="2"/>
          <w:numId w:val="49"/>
        </w:numPr>
        <w:ind w:left="567" w:hanging="567"/>
      </w:pPr>
      <w:r w:rsidRPr="00330077">
        <w:t>At the date of the statement, there are reasonable grounds to believe that the Authority will be able to pay its debts as and when they become due and payable.</w:t>
      </w:r>
    </w:p>
    <w:p w:rsidR="0074113B" w:rsidRPr="00330077" w:rsidRDefault="0074113B" w:rsidP="00380EA1">
      <w:r w:rsidRPr="00330077">
        <w:t>This statement is made in accordance with a resolution of the Authority, and is signed for and on behalf of the Authority by:</w:t>
      </w:r>
    </w:p>
    <w:p w:rsidR="0074113B" w:rsidRPr="00330077" w:rsidRDefault="0074113B" w:rsidP="006A51DD">
      <w:pPr>
        <w:rPr>
          <w:noProof/>
          <w:lang w:eastAsia="en-AU"/>
        </w:rPr>
      </w:pPr>
    </w:p>
    <w:p w:rsidR="0074113B" w:rsidRPr="00330077" w:rsidRDefault="0074113B" w:rsidP="006A51DD">
      <w:r w:rsidRPr="00330077">
        <w:rPr>
          <w:noProof/>
          <w:lang w:eastAsia="en-AU"/>
        </w:rPr>
        <w:drawing>
          <wp:inline distT="0" distB="0" distL="0" distR="0" wp14:anchorId="3246081D" wp14:editId="43B21893">
            <wp:extent cx="6216774" cy="159821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556" t="68380" r="16782" b="1513"/>
                    <a:stretch/>
                  </pic:blipFill>
                  <pic:spPr bwMode="auto">
                    <a:xfrm>
                      <a:off x="0" y="0"/>
                      <a:ext cx="6215278" cy="1597828"/>
                    </a:xfrm>
                    <a:prstGeom prst="rect">
                      <a:avLst/>
                    </a:prstGeom>
                    <a:ln>
                      <a:noFill/>
                    </a:ln>
                    <a:extLst>
                      <a:ext uri="{53640926-AAD7-44D8-BBD7-CCE9431645EC}">
                        <a14:shadowObscured xmlns:a14="http://schemas.microsoft.com/office/drawing/2010/main"/>
                      </a:ext>
                    </a:extLst>
                  </pic:spPr>
                </pic:pic>
              </a:graphicData>
            </a:graphic>
          </wp:inline>
        </w:drawing>
      </w:r>
    </w:p>
    <w:p w:rsidR="0074113B" w:rsidRPr="00330077" w:rsidRDefault="0074113B">
      <w:pPr>
        <w:tabs>
          <w:tab w:val="clear" w:pos="567"/>
        </w:tabs>
        <w:spacing w:after="200" w:line="276" w:lineRule="auto"/>
      </w:pPr>
      <w:r w:rsidRPr="00330077">
        <w:br w:type="page"/>
      </w:r>
    </w:p>
    <w:p w:rsidR="0074113B" w:rsidRPr="00330077" w:rsidRDefault="0074113B" w:rsidP="00BF3DB7">
      <w:pPr>
        <w:pStyle w:val="Heading3"/>
      </w:pPr>
      <w:r w:rsidRPr="00330077">
        <w:lastRenderedPageBreak/>
        <w:t>Tasmanian Pharmacy Authority</w:t>
      </w:r>
    </w:p>
    <w:p w:rsidR="0074113B" w:rsidRPr="00330077" w:rsidRDefault="0074113B" w:rsidP="006A51DD">
      <w:r w:rsidRPr="00330077">
        <w:t>Statement of Comprehensive Income</w:t>
      </w:r>
    </w:p>
    <w:p w:rsidR="0074113B" w:rsidRPr="00330077" w:rsidRDefault="0074113B" w:rsidP="006A51DD">
      <w:r w:rsidRPr="00330077">
        <w:t>For the Year Ended 30 June 2015</w:t>
      </w:r>
    </w:p>
    <w:tbl>
      <w:tblPr>
        <w:tblW w:w="0" w:type="auto"/>
        <w:tblInd w:w="43" w:type="dxa"/>
        <w:tblLayout w:type="fixed"/>
        <w:tblCellMar>
          <w:left w:w="0" w:type="dxa"/>
          <w:right w:w="0" w:type="dxa"/>
        </w:tblCellMar>
        <w:tblLook w:val="0000" w:firstRow="0" w:lastRow="0" w:firstColumn="0" w:lastColumn="0" w:noHBand="0" w:noVBand="0"/>
      </w:tblPr>
      <w:tblGrid>
        <w:gridCol w:w="5812"/>
        <w:gridCol w:w="578"/>
        <w:gridCol w:w="1298"/>
        <w:gridCol w:w="1299"/>
      </w:tblGrid>
      <w:tr w:rsidR="0074113B" w:rsidRPr="00BE6460" w:rsidTr="0074113B">
        <w:tc>
          <w:tcPr>
            <w:tcW w:w="5812" w:type="dxa"/>
            <w:tcBorders>
              <w:top w:val="nil"/>
              <w:left w:val="nil"/>
              <w:bottom w:val="nil"/>
              <w:right w:val="nil"/>
            </w:tcBorders>
            <w:tcMar>
              <w:left w:w="43" w:type="dxa"/>
              <w:right w:w="28" w:type="dxa"/>
            </w:tcMar>
            <w:vAlign w:val="bottom"/>
          </w:tcPr>
          <w:p w:rsidR="0074113B" w:rsidRPr="00BE6460" w:rsidRDefault="0074113B" w:rsidP="0074113B">
            <w:pPr>
              <w:rPr>
                <w:rFonts w:cs="Arial"/>
                <w:sz w:val="18"/>
                <w:szCs w:val="18"/>
              </w:rPr>
            </w:pP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CHd"/>
              <w:jc w:val="right"/>
              <w:rPr>
                <w:rFonts w:ascii="GillSans Light" w:hAnsi="GillSans Light"/>
                <w:color w:val="auto"/>
                <w:sz w:val="18"/>
                <w:szCs w:val="18"/>
              </w:rPr>
            </w:pPr>
            <w:r w:rsidRPr="00BE6460">
              <w:rPr>
                <w:rFonts w:ascii="GillSans Light" w:hAnsi="GillSans Light"/>
                <w:color w:val="auto"/>
                <w:sz w:val="18"/>
                <w:szCs w:val="18"/>
              </w:rPr>
              <w:t>2015</w:t>
            </w:r>
          </w:p>
          <w:p w:rsidR="0074113B" w:rsidRPr="00BE6460" w:rsidRDefault="0074113B" w:rsidP="00514C20">
            <w:pPr>
              <w:pStyle w:val="ISCPAYCHd"/>
              <w:jc w:val="right"/>
              <w:rPr>
                <w:rFonts w:ascii="GillSans Light" w:hAnsi="GillSans Light"/>
                <w:color w:val="auto"/>
              </w:rPr>
            </w:pPr>
            <w:r w:rsidRPr="00BE6460">
              <w:rPr>
                <w:rFonts w:ascii="GillSans Light" w:hAnsi="GillSans Light"/>
                <w:color w:val="auto"/>
              </w:rPr>
              <w:t>$</w:t>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CHd"/>
              <w:jc w:val="right"/>
              <w:rPr>
                <w:rFonts w:ascii="GillSans Light" w:hAnsi="GillSans Light"/>
                <w:color w:val="auto"/>
                <w:sz w:val="18"/>
                <w:szCs w:val="18"/>
              </w:rPr>
            </w:pPr>
            <w:r w:rsidRPr="00BE6460">
              <w:rPr>
                <w:rFonts w:ascii="GillSans Light" w:hAnsi="GillSans Light"/>
                <w:color w:val="auto"/>
                <w:sz w:val="18"/>
                <w:szCs w:val="18"/>
              </w:rPr>
              <w:t>2014</w:t>
            </w:r>
          </w:p>
          <w:p w:rsidR="0074113B" w:rsidRPr="00BE6460" w:rsidRDefault="0074113B" w:rsidP="00514C20">
            <w:pPr>
              <w:pStyle w:val="ISCPPYCHd"/>
              <w:jc w:val="right"/>
              <w:rPr>
                <w:rFonts w:ascii="GillSans Light" w:hAnsi="GillSans Light"/>
                <w:color w:val="auto"/>
              </w:rPr>
            </w:pPr>
            <w:r w:rsidRPr="00BE6460">
              <w:rPr>
                <w:rFonts w:ascii="GillSans Light" w:hAnsi="GillSans Light"/>
                <w:color w:val="auto"/>
              </w:rPr>
              <w:t>$</w:t>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Ti"/>
              <w:rPr>
                <w:rFonts w:ascii="GillSans Light" w:hAnsi="GillSans Light"/>
                <w:color w:val="auto"/>
                <w:sz w:val="18"/>
                <w:szCs w:val="18"/>
              </w:rPr>
            </w:pPr>
            <w:r w:rsidRPr="00BE6460">
              <w:rPr>
                <w:rFonts w:ascii="GillSans Light" w:hAnsi="GillSans Light"/>
                <w:color w:val="auto"/>
                <w:sz w:val="18"/>
                <w:szCs w:val="18"/>
              </w:rPr>
              <w:t>Income</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74113B">
            <w:pPr>
              <w:rPr>
                <w:rFonts w:cs="Arial"/>
                <w:sz w:val="18"/>
                <w:szCs w:val="18"/>
              </w:rPr>
            </w:pPr>
          </w:p>
        </w:tc>
        <w:tc>
          <w:tcPr>
            <w:tcW w:w="1299" w:type="dxa"/>
            <w:tcBorders>
              <w:top w:val="nil"/>
              <w:left w:val="nil"/>
              <w:bottom w:val="nil"/>
              <w:right w:val="nil"/>
            </w:tcBorders>
            <w:tcMar>
              <w:left w:w="44" w:type="dxa"/>
              <w:right w:w="28" w:type="dxa"/>
            </w:tcMar>
            <w:vAlign w:val="bottom"/>
          </w:tcPr>
          <w:p w:rsidR="0074113B" w:rsidRPr="00BE6460" w:rsidRDefault="0074113B" w:rsidP="0074113B">
            <w:pPr>
              <w:rPr>
                <w:rFonts w:cs="Arial"/>
                <w:sz w:val="18"/>
                <w:szCs w:val="18"/>
              </w:rPr>
            </w:pP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 xml:space="preserve">Annual renewal </w:t>
            </w:r>
            <w:r w:rsidRPr="00BE6460">
              <w:rPr>
                <w:rFonts w:ascii="GillSans Light" w:hAnsi="GillSans Light"/>
                <w:color w:val="auto"/>
                <w:sz w:val="18"/>
                <w:szCs w:val="18"/>
              </w:rPr>
              <w:noBreakHyphen/>
              <w:t xml:space="preserve"> body corporate EC</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12,373</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10,080</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 xml:space="preserve">Annual renewal </w:t>
            </w:r>
            <w:r w:rsidRPr="00BE6460">
              <w:rPr>
                <w:rFonts w:ascii="GillSans Light" w:hAnsi="GillSans Light"/>
                <w:color w:val="auto"/>
                <w:sz w:val="18"/>
                <w:szCs w:val="18"/>
              </w:rPr>
              <w:noBreakHyphen/>
              <w:t xml:space="preserve"> premises </w:t>
            </w:r>
            <w:proofErr w:type="spellStart"/>
            <w:r w:rsidRPr="00BE6460">
              <w:rPr>
                <w:rFonts w:ascii="GillSans Light" w:hAnsi="GillSans Light"/>
                <w:color w:val="auto"/>
                <w:sz w:val="18"/>
                <w:szCs w:val="18"/>
              </w:rPr>
              <w:t>reg</w:t>
            </w:r>
            <w:proofErr w:type="spellEnd"/>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55,209</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54,396</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 xml:space="preserve">Annual renewal </w:t>
            </w:r>
            <w:r w:rsidRPr="00BE6460">
              <w:rPr>
                <w:rFonts w:ascii="GillSans Light" w:hAnsi="GillSans Light"/>
                <w:color w:val="auto"/>
                <w:sz w:val="18"/>
                <w:szCs w:val="18"/>
              </w:rPr>
              <w:noBreakHyphen/>
              <w:t xml:space="preserve"> individual EC</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10,933</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10,527</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Application fee for individual EC</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1,377</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864</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Application fees for new body EC</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9,309</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5,957</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Application fees for new premises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2,753</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2,716</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Exempt premises application</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52</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51</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Interest</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single" w:sz="8" w:space="0" w:color="000000"/>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42</w:t>
            </w:r>
            <w:r w:rsidRPr="00BE6460">
              <w:rPr>
                <w:rFonts w:ascii="GillSans Light" w:hAnsi="GillSans Light"/>
                <w:color w:val="auto"/>
                <w:sz w:val="18"/>
                <w:szCs w:val="18"/>
              </w:rPr>
              <w:tab/>
            </w:r>
          </w:p>
        </w:tc>
        <w:tc>
          <w:tcPr>
            <w:tcW w:w="1299" w:type="dxa"/>
            <w:tcBorders>
              <w:top w:val="nil"/>
              <w:left w:val="nil"/>
              <w:bottom w:val="single" w:sz="8" w:space="0" w:color="000000"/>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69</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S"/>
              <w:rPr>
                <w:rFonts w:ascii="GillSans Light" w:hAnsi="GillSans Light"/>
                <w:color w:val="auto"/>
                <w:sz w:val="18"/>
                <w:szCs w:val="18"/>
              </w:rPr>
            </w:pPr>
            <w:r w:rsidRPr="00BE6460">
              <w:rPr>
                <w:rFonts w:ascii="GillSans Light" w:hAnsi="GillSans Light"/>
                <w:color w:val="auto"/>
                <w:sz w:val="18"/>
                <w:szCs w:val="18"/>
              </w:rPr>
              <w:t>Total Income</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nil"/>
              <w:left w:val="nil"/>
              <w:bottom w:val="single" w:sz="8" w:space="0" w:color="000000"/>
              <w:right w:val="nil"/>
            </w:tcBorders>
            <w:tcMar>
              <w:left w:w="72" w:type="dxa"/>
              <w:right w:w="28" w:type="dxa"/>
            </w:tcMar>
            <w:vAlign w:val="bottom"/>
          </w:tcPr>
          <w:p w:rsidR="0074113B" w:rsidRPr="00BE6460" w:rsidRDefault="0074113B" w:rsidP="00514C20">
            <w:pPr>
              <w:pStyle w:val="ISPAYS"/>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92,048</w:t>
            </w:r>
            <w:r w:rsidRPr="00BE6460">
              <w:rPr>
                <w:rFonts w:ascii="GillSans Light" w:hAnsi="GillSans Light"/>
                <w:color w:val="auto"/>
                <w:sz w:val="18"/>
                <w:szCs w:val="18"/>
              </w:rPr>
              <w:tab/>
            </w:r>
          </w:p>
        </w:tc>
        <w:tc>
          <w:tcPr>
            <w:tcW w:w="1299" w:type="dxa"/>
            <w:tcBorders>
              <w:top w:val="nil"/>
              <w:left w:val="nil"/>
              <w:bottom w:val="single" w:sz="8" w:space="0" w:color="000000"/>
              <w:right w:val="nil"/>
            </w:tcBorders>
            <w:tcMar>
              <w:left w:w="44" w:type="dxa"/>
              <w:right w:w="28" w:type="dxa"/>
            </w:tcMar>
            <w:vAlign w:val="bottom"/>
          </w:tcPr>
          <w:p w:rsidR="0074113B" w:rsidRPr="00BE6460" w:rsidRDefault="0074113B" w:rsidP="00514C20">
            <w:pPr>
              <w:pStyle w:val="ISPPYS"/>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84,660</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Ti"/>
              <w:rPr>
                <w:rFonts w:ascii="GillSans Light" w:hAnsi="GillSans Light"/>
                <w:color w:val="auto"/>
                <w:sz w:val="18"/>
                <w:szCs w:val="18"/>
              </w:rPr>
            </w:pPr>
            <w:r w:rsidRPr="00BE6460">
              <w:rPr>
                <w:rFonts w:ascii="GillSans Light" w:hAnsi="GillSans Light"/>
                <w:color w:val="auto"/>
                <w:sz w:val="18"/>
                <w:szCs w:val="18"/>
              </w:rPr>
              <w:t>Expenditure</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single" w:sz="8" w:space="0" w:color="000000"/>
              <w:left w:val="nil"/>
              <w:bottom w:val="nil"/>
              <w:right w:val="nil"/>
            </w:tcBorders>
            <w:tcMar>
              <w:left w:w="72" w:type="dxa"/>
              <w:right w:w="28" w:type="dxa"/>
            </w:tcMar>
            <w:vAlign w:val="bottom"/>
          </w:tcPr>
          <w:p w:rsidR="0074113B" w:rsidRPr="00BE6460" w:rsidRDefault="0074113B" w:rsidP="00514C20">
            <w:pPr>
              <w:spacing w:beforeLines="28" w:before="67" w:afterLines="28" w:after="67"/>
              <w:rPr>
                <w:rFonts w:cs="Arial"/>
                <w:sz w:val="18"/>
                <w:szCs w:val="18"/>
              </w:rPr>
            </w:pPr>
          </w:p>
        </w:tc>
        <w:tc>
          <w:tcPr>
            <w:tcW w:w="1299" w:type="dxa"/>
            <w:tcBorders>
              <w:top w:val="single" w:sz="8" w:space="0" w:color="000000"/>
              <w:left w:val="nil"/>
              <w:bottom w:val="nil"/>
              <w:right w:val="nil"/>
            </w:tcBorders>
            <w:tcMar>
              <w:left w:w="44" w:type="dxa"/>
              <w:right w:w="28" w:type="dxa"/>
            </w:tcMar>
            <w:vAlign w:val="bottom"/>
          </w:tcPr>
          <w:p w:rsidR="0074113B" w:rsidRPr="00BE6460" w:rsidRDefault="0074113B" w:rsidP="00514C20">
            <w:pPr>
              <w:spacing w:beforeLines="28" w:before="67" w:afterLines="28" w:after="67"/>
              <w:rPr>
                <w:rFonts w:cs="Arial"/>
                <w:sz w:val="18"/>
                <w:szCs w:val="18"/>
              </w:rPr>
            </w:pP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Accounting fees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1,400</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1,040</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Administration expenses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1,424</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2,069</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Depreciation expense</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199</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199</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Inspection expenses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7,811</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7,294</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Legal fees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4,551</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2,998</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Other staff expenses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1,322</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720</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Registrar fees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28,500</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28,155</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Sitting fees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14,052</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12,984</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Telephone and fax</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1,105</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872</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 xml:space="preserve">Travel </w:t>
            </w:r>
            <w:r w:rsidRPr="00BE6460">
              <w:rPr>
                <w:rFonts w:ascii="GillSans Light" w:hAnsi="GillSans Light"/>
                <w:color w:val="auto"/>
                <w:sz w:val="18"/>
                <w:szCs w:val="18"/>
              </w:rPr>
              <w:noBreakHyphen/>
              <w:t xml:space="preserve"> domestic</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nil"/>
              <w:left w:val="nil"/>
              <w:bottom w:val="nil"/>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1,140</w:t>
            </w:r>
            <w:r w:rsidRPr="00BE6460">
              <w:rPr>
                <w:rFonts w:ascii="GillSans Light" w:hAnsi="GillSans Light"/>
                <w:color w:val="auto"/>
                <w:sz w:val="18"/>
                <w:szCs w:val="18"/>
              </w:rPr>
              <w:tab/>
            </w:r>
          </w:p>
        </w:tc>
        <w:tc>
          <w:tcPr>
            <w:tcW w:w="1299" w:type="dxa"/>
            <w:tcBorders>
              <w:top w:val="nil"/>
              <w:left w:val="nil"/>
              <w:bottom w:val="nil"/>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1,036</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S"/>
              <w:rPr>
                <w:rFonts w:ascii="GillSans Light" w:hAnsi="GillSans Light"/>
                <w:color w:val="auto"/>
                <w:sz w:val="18"/>
                <w:szCs w:val="18"/>
              </w:rPr>
            </w:pPr>
            <w:r w:rsidRPr="00BE6460">
              <w:rPr>
                <w:rFonts w:ascii="GillSans Light" w:hAnsi="GillSans Light"/>
                <w:color w:val="auto"/>
                <w:sz w:val="18"/>
                <w:szCs w:val="18"/>
              </w:rPr>
              <w:t>Total Expenses</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single" w:sz="8" w:space="0" w:color="000000"/>
              <w:left w:val="nil"/>
              <w:bottom w:val="single" w:sz="8" w:space="0" w:color="000000"/>
              <w:right w:val="nil"/>
            </w:tcBorders>
            <w:tcMar>
              <w:left w:w="72" w:type="dxa"/>
              <w:right w:w="28" w:type="dxa"/>
            </w:tcMar>
            <w:vAlign w:val="bottom"/>
          </w:tcPr>
          <w:p w:rsidR="0074113B" w:rsidRPr="00BE6460" w:rsidRDefault="0074113B" w:rsidP="00514C20">
            <w:pPr>
              <w:pStyle w:val="ISPAYS"/>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61,504</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tcMar>
              <w:left w:w="44" w:type="dxa"/>
              <w:right w:w="28" w:type="dxa"/>
            </w:tcMar>
            <w:vAlign w:val="bottom"/>
          </w:tcPr>
          <w:p w:rsidR="0074113B" w:rsidRPr="00BE6460" w:rsidRDefault="0074113B" w:rsidP="00514C20">
            <w:pPr>
              <w:pStyle w:val="ISPPYS"/>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57,367</w:t>
            </w:r>
            <w:r w:rsidRPr="00BE6460">
              <w:rPr>
                <w:rFonts w:ascii="GillSans Light" w:hAnsi="GillSans Light"/>
                <w:color w:val="auto"/>
                <w:sz w:val="18"/>
                <w:szCs w:val="18"/>
              </w:rPr>
              <w:tab/>
            </w:r>
          </w:p>
        </w:tc>
      </w:tr>
      <w:tr w:rsidR="0074113B" w:rsidRPr="00BE6460" w:rsidTr="0074113B">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b/>
                <w:bCs/>
                <w:color w:val="auto"/>
                <w:sz w:val="18"/>
                <w:szCs w:val="18"/>
              </w:rPr>
            </w:pPr>
            <w:r w:rsidRPr="00BE6460">
              <w:rPr>
                <w:rFonts w:ascii="GillSans Light" w:hAnsi="GillSans Light"/>
                <w:b/>
                <w:bCs/>
                <w:color w:val="auto"/>
                <w:sz w:val="18"/>
                <w:szCs w:val="18"/>
              </w:rPr>
              <w:t>Net surplus/(deficit) for the year</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rPr>
                <w:rFonts w:cs="Arial"/>
                <w:sz w:val="18"/>
                <w:szCs w:val="18"/>
              </w:rPr>
            </w:pPr>
          </w:p>
        </w:tc>
        <w:tc>
          <w:tcPr>
            <w:tcW w:w="1298" w:type="dxa"/>
            <w:tcBorders>
              <w:top w:val="single" w:sz="8" w:space="0" w:color="000000"/>
              <w:left w:val="nil"/>
              <w:bottom w:val="single" w:sz="8" w:space="0" w:color="000000"/>
              <w:right w:val="nil"/>
            </w:tcBorders>
            <w:tcMar>
              <w:left w:w="72" w:type="dxa"/>
              <w:right w:w="28" w:type="dxa"/>
            </w:tcMar>
            <w:vAlign w:val="bottom"/>
          </w:tcPr>
          <w:p w:rsidR="0074113B" w:rsidRPr="00BE6460" w:rsidRDefault="0074113B" w:rsidP="00514C20">
            <w:pPr>
              <w:pStyle w:val="ISPAYS"/>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30,544</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tcMar>
              <w:left w:w="44" w:type="dxa"/>
              <w:right w:w="28" w:type="dxa"/>
            </w:tcMar>
            <w:vAlign w:val="bottom"/>
          </w:tcPr>
          <w:p w:rsidR="0074113B" w:rsidRPr="00BE6460" w:rsidRDefault="0074113B" w:rsidP="00514C20">
            <w:pPr>
              <w:pStyle w:val="ISPPYS"/>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27,293</w:t>
            </w:r>
            <w:r w:rsidRPr="00BE6460">
              <w:rPr>
                <w:rFonts w:ascii="GillSans Light" w:hAnsi="GillSans Light"/>
                <w:color w:val="auto"/>
                <w:sz w:val="18"/>
                <w:szCs w:val="18"/>
              </w:rPr>
              <w:tab/>
            </w:r>
          </w:p>
        </w:tc>
      </w:tr>
      <w:tr w:rsidR="0074113B" w:rsidRPr="00BE6460" w:rsidTr="00BF3DB7">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color w:val="auto"/>
                <w:sz w:val="18"/>
                <w:szCs w:val="18"/>
              </w:rPr>
            </w:pPr>
            <w:r w:rsidRPr="00BE6460">
              <w:rPr>
                <w:rFonts w:ascii="GillSans Light" w:hAnsi="GillSans Light"/>
                <w:color w:val="auto"/>
                <w:sz w:val="18"/>
                <w:szCs w:val="18"/>
              </w:rPr>
              <w:t>Other comprehensive Income</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color w:val="auto"/>
                <w:sz w:val="18"/>
                <w:szCs w:val="18"/>
              </w:rPr>
            </w:pPr>
          </w:p>
        </w:tc>
        <w:tc>
          <w:tcPr>
            <w:tcW w:w="1298" w:type="dxa"/>
            <w:tcBorders>
              <w:top w:val="single" w:sz="8" w:space="0" w:color="000000"/>
              <w:left w:val="nil"/>
              <w:bottom w:val="single" w:sz="8" w:space="0" w:color="000000"/>
              <w:right w:val="nil"/>
            </w:tcBorders>
            <w:tcMar>
              <w:left w:w="72" w:type="dxa"/>
              <w:right w:w="28" w:type="dxa"/>
            </w:tcMar>
            <w:vAlign w:val="bottom"/>
          </w:tcPr>
          <w:p w:rsidR="0074113B" w:rsidRPr="00BE6460" w:rsidRDefault="0074113B" w:rsidP="00514C20">
            <w:pPr>
              <w:pStyle w:val="ISPAY"/>
              <w:tabs>
                <w:tab w:val="right" w:pos="1128"/>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tcMar>
              <w:left w:w="44" w:type="dxa"/>
              <w:right w:w="28" w:type="dxa"/>
            </w:tcMar>
            <w:vAlign w:val="bottom"/>
          </w:tcPr>
          <w:p w:rsidR="0074113B" w:rsidRPr="00BE6460" w:rsidRDefault="0074113B" w:rsidP="00514C20">
            <w:pPr>
              <w:pStyle w:val="ISPPY"/>
              <w:tabs>
                <w:tab w:val="right" w:pos="1157"/>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w:t>
            </w:r>
            <w:r w:rsidRPr="00BE6460">
              <w:rPr>
                <w:rFonts w:ascii="GillSans Light" w:hAnsi="GillSans Light"/>
                <w:color w:val="auto"/>
                <w:sz w:val="18"/>
                <w:szCs w:val="18"/>
              </w:rPr>
              <w:tab/>
            </w:r>
          </w:p>
        </w:tc>
      </w:tr>
      <w:tr w:rsidR="0074113B" w:rsidRPr="00BE6460" w:rsidTr="00BF3DB7">
        <w:tc>
          <w:tcPr>
            <w:tcW w:w="5812" w:type="dxa"/>
            <w:tcBorders>
              <w:top w:val="nil"/>
              <w:left w:val="nil"/>
              <w:bottom w:val="nil"/>
              <w:right w:val="nil"/>
            </w:tcBorders>
            <w:tcMar>
              <w:left w:w="43" w:type="dxa"/>
              <w:right w:w="28" w:type="dxa"/>
            </w:tcMar>
          </w:tcPr>
          <w:p w:rsidR="0074113B" w:rsidRPr="00BE6460" w:rsidRDefault="0074113B" w:rsidP="0074113B">
            <w:pPr>
              <w:pStyle w:val="ISDesc"/>
              <w:rPr>
                <w:rFonts w:ascii="GillSans Light" w:hAnsi="GillSans Light"/>
                <w:b/>
                <w:bCs/>
                <w:color w:val="auto"/>
                <w:sz w:val="18"/>
                <w:szCs w:val="18"/>
              </w:rPr>
            </w:pPr>
            <w:r w:rsidRPr="00BE6460">
              <w:rPr>
                <w:rFonts w:ascii="GillSans Light" w:hAnsi="GillSans Light"/>
                <w:b/>
                <w:bCs/>
                <w:color w:val="auto"/>
                <w:sz w:val="18"/>
                <w:szCs w:val="18"/>
              </w:rPr>
              <w:t>Total comprehensive income for the year</w:t>
            </w:r>
          </w:p>
        </w:tc>
        <w:tc>
          <w:tcPr>
            <w:tcW w:w="578" w:type="dxa"/>
            <w:tcBorders>
              <w:top w:val="nil"/>
              <w:left w:val="nil"/>
              <w:bottom w:val="nil"/>
              <w:right w:val="nil"/>
            </w:tcBorders>
            <w:tcMar>
              <w:left w:w="45" w:type="dxa"/>
              <w:right w:w="28" w:type="dxa"/>
            </w:tcMar>
            <w:vAlign w:val="bottom"/>
          </w:tcPr>
          <w:p w:rsidR="0074113B" w:rsidRPr="00BE6460" w:rsidRDefault="0074113B" w:rsidP="0074113B">
            <w:pPr>
              <w:pStyle w:val="ISNoteNo"/>
              <w:rPr>
                <w:rFonts w:ascii="GillSans Light" w:hAnsi="GillSans Light"/>
                <w:b/>
                <w:bCs/>
                <w:color w:val="auto"/>
                <w:sz w:val="18"/>
                <w:szCs w:val="18"/>
              </w:rPr>
            </w:pPr>
          </w:p>
        </w:tc>
        <w:tc>
          <w:tcPr>
            <w:tcW w:w="1298" w:type="dxa"/>
            <w:tcBorders>
              <w:top w:val="single" w:sz="8" w:space="0" w:color="000000"/>
              <w:left w:val="nil"/>
              <w:bottom w:val="double" w:sz="4" w:space="0" w:color="auto"/>
              <w:right w:val="nil"/>
            </w:tcBorders>
            <w:tcMar>
              <w:left w:w="72" w:type="dxa"/>
              <w:right w:w="28" w:type="dxa"/>
            </w:tcMar>
            <w:vAlign w:val="bottom"/>
          </w:tcPr>
          <w:p w:rsidR="0074113B" w:rsidRPr="00BE6460" w:rsidRDefault="0074113B" w:rsidP="00514C20">
            <w:pPr>
              <w:pStyle w:val="ISPAY"/>
              <w:tabs>
                <w:tab w:val="right" w:pos="1169"/>
                <w:tab w:val="left" w:pos="1195"/>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30,544</w:t>
            </w:r>
            <w:r w:rsidRPr="00BE6460">
              <w:rPr>
                <w:rFonts w:ascii="GillSans Light" w:hAnsi="GillSans Light"/>
                <w:color w:val="auto"/>
                <w:sz w:val="18"/>
                <w:szCs w:val="18"/>
              </w:rPr>
              <w:tab/>
            </w:r>
          </w:p>
        </w:tc>
        <w:tc>
          <w:tcPr>
            <w:tcW w:w="1299" w:type="dxa"/>
            <w:tcBorders>
              <w:top w:val="single" w:sz="8" w:space="0" w:color="000000"/>
              <w:left w:val="nil"/>
              <w:bottom w:val="double" w:sz="4" w:space="0" w:color="auto"/>
              <w:right w:val="nil"/>
            </w:tcBorders>
            <w:tcMar>
              <w:left w:w="44" w:type="dxa"/>
              <w:right w:w="28" w:type="dxa"/>
            </w:tcMar>
            <w:vAlign w:val="bottom"/>
          </w:tcPr>
          <w:p w:rsidR="0074113B" w:rsidRPr="00BE6460" w:rsidRDefault="0074113B" w:rsidP="00514C20">
            <w:pPr>
              <w:pStyle w:val="ISPPY"/>
              <w:tabs>
                <w:tab w:val="right" w:pos="1198"/>
                <w:tab w:val="left" w:pos="1224"/>
              </w:tabs>
              <w:spacing w:beforeLines="28" w:before="67" w:afterLines="28" w:after="67"/>
              <w:rPr>
                <w:rFonts w:ascii="GillSans Light" w:hAnsi="GillSans Light"/>
                <w:color w:val="auto"/>
                <w:sz w:val="18"/>
                <w:szCs w:val="18"/>
              </w:rPr>
            </w:pPr>
            <w:r w:rsidRPr="00BE6460">
              <w:rPr>
                <w:rFonts w:ascii="GillSans Light" w:hAnsi="GillSans Light"/>
                <w:color w:val="auto"/>
                <w:sz w:val="18"/>
                <w:szCs w:val="18"/>
              </w:rPr>
              <w:tab/>
              <w:t>27,293</w:t>
            </w:r>
            <w:r w:rsidRPr="00BE6460">
              <w:rPr>
                <w:rFonts w:ascii="GillSans Light" w:hAnsi="GillSans Light"/>
                <w:color w:val="auto"/>
                <w:sz w:val="18"/>
                <w:szCs w:val="18"/>
              </w:rPr>
              <w:tab/>
            </w:r>
          </w:p>
        </w:tc>
      </w:tr>
    </w:tbl>
    <w:p w:rsidR="0074113B" w:rsidRPr="00330077" w:rsidRDefault="0074113B" w:rsidP="006A51DD"/>
    <w:p w:rsidR="0074113B" w:rsidRPr="00330077" w:rsidRDefault="0074113B">
      <w:pPr>
        <w:tabs>
          <w:tab w:val="clear" w:pos="567"/>
        </w:tabs>
        <w:spacing w:after="200" w:line="276" w:lineRule="auto"/>
      </w:pPr>
      <w:r w:rsidRPr="00330077">
        <w:br w:type="page"/>
      </w:r>
    </w:p>
    <w:p w:rsidR="0074113B" w:rsidRPr="00330077" w:rsidRDefault="0074113B" w:rsidP="00BF3DB7">
      <w:pPr>
        <w:pStyle w:val="Heading3"/>
      </w:pPr>
      <w:r w:rsidRPr="00330077">
        <w:lastRenderedPageBreak/>
        <w:t>Tasmanian Pharmacy Authority</w:t>
      </w:r>
    </w:p>
    <w:p w:rsidR="0074113B" w:rsidRPr="00330077" w:rsidRDefault="0074113B" w:rsidP="006A51DD">
      <w:r w:rsidRPr="00330077">
        <w:t>Statement of Financial Position</w:t>
      </w:r>
    </w:p>
    <w:p w:rsidR="0074113B" w:rsidRPr="00330077" w:rsidRDefault="0074113B" w:rsidP="006A51DD">
      <w:r w:rsidRPr="00330077">
        <w:t>As At 30 June 2015</w:t>
      </w:r>
    </w:p>
    <w:tbl>
      <w:tblPr>
        <w:tblW w:w="9083" w:type="dxa"/>
        <w:tblInd w:w="28" w:type="dxa"/>
        <w:tblLayout w:type="fixed"/>
        <w:tblCellMar>
          <w:left w:w="28" w:type="dxa"/>
          <w:right w:w="28" w:type="dxa"/>
        </w:tblCellMar>
        <w:tblLook w:val="0000" w:firstRow="0" w:lastRow="0" w:firstColumn="0" w:lastColumn="0" w:noHBand="0" w:noVBand="0"/>
      </w:tblPr>
      <w:tblGrid>
        <w:gridCol w:w="5812"/>
        <w:gridCol w:w="674"/>
        <w:gridCol w:w="1298"/>
        <w:gridCol w:w="1299"/>
      </w:tblGrid>
      <w:tr w:rsidR="00967C1E" w:rsidRPr="00BE6460" w:rsidTr="00967C1E">
        <w:tc>
          <w:tcPr>
            <w:tcW w:w="5812" w:type="dxa"/>
            <w:tcBorders>
              <w:top w:val="nil"/>
              <w:left w:val="nil"/>
              <w:bottom w:val="nil"/>
              <w:right w:val="nil"/>
            </w:tcBorders>
            <w:vAlign w:val="bottom"/>
          </w:tcPr>
          <w:p w:rsidR="00967C1E" w:rsidRPr="00BE6460" w:rsidRDefault="00967C1E" w:rsidP="006B081F">
            <w:pPr>
              <w:rPr>
                <w:sz w:val="18"/>
                <w:szCs w:val="18"/>
              </w:rPr>
            </w:pPr>
          </w:p>
          <w:p w:rsidR="0040029D" w:rsidRPr="00BE6460" w:rsidRDefault="0040029D" w:rsidP="006B081F">
            <w:pPr>
              <w:rPr>
                <w:sz w:val="18"/>
                <w:szCs w:val="18"/>
              </w:rPr>
            </w:pPr>
          </w:p>
          <w:p w:rsidR="0040029D" w:rsidRPr="00BE6460" w:rsidRDefault="0040029D" w:rsidP="00BF3DB7">
            <w:pPr>
              <w:rPr>
                <w:rFonts w:cs="Arial"/>
                <w:sz w:val="18"/>
                <w:szCs w:val="18"/>
              </w:rPr>
            </w:pPr>
          </w:p>
        </w:tc>
        <w:tc>
          <w:tcPr>
            <w:tcW w:w="674" w:type="dxa"/>
            <w:tcBorders>
              <w:top w:val="nil"/>
              <w:left w:val="nil"/>
              <w:bottom w:val="nil"/>
              <w:right w:val="nil"/>
            </w:tcBorders>
            <w:vAlign w:val="bottom"/>
          </w:tcPr>
          <w:p w:rsidR="00967C1E" w:rsidRPr="00BE6460" w:rsidRDefault="00967C1E" w:rsidP="00BF3DB7">
            <w:pPr>
              <w:pStyle w:val="BSNoteNoCHd"/>
              <w:rPr>
                <w:rFonts w:ascii="GillSans Light" w:hAnsi="GillSans Light"/>
                <w:color w:val="auto"/>
                <w:sz w:val="18"/>
                <w:szCs w:val="18"/>
              </w:rPr>
            </w:pPr>
            <w:r w:rsidRPr="00BE6460">
              <w:rPr>
                <w:rFonts w:ascii="GillSans Light" w:hAnsi="GillSans Light"/>
                <w:color w:val="auto"/>
                <w:sz w:val="18"/>
                <w:szCs w:val="18"/>
              </w:rPr>
              <w:t>Note</w:t>
            </w:r>
          </w:p>
        </w:tc>
        <w:tc>
          <w:tcPr>
            <w:tcW w:w="1298" w:type="dxa"/>
            <w:tcBorders>
              <w:top w:val="nil"/>
              <w:left w:val="nil"/>
              <w:bottom w:val="nil"/>
              <w:right w:val="nil"/>
            </w:tcBorders>
            <w:vAlign w:val="bottom"/>
          </w:tcPr>
          <w:p w:rsidR="00967C1E" w:rsidRPr="00BE6460" w:rsidRDefault="00967C1E" w:rsidP="006A4632">
            <w:pPr>
              <w:pStyle w:val="BSPAYCHd"/>
              <w:jc w:val="right"/>
              <w:rPr>
                <w:rFonts w:ascii="GillSans Light" w:hAnsi="GillSans Light"/>
                <w:color w:val="auto"/>
                <w:sz w:val="18"/>
                <w:szCs w:val="18"/>
              </w:rPr>
            </w:pPr>
            <w:r w:rsidRPr="00BE6460">
              <w:rPr>
                <w:rFonts w:ascii="GillSans Light" w:hAnsi="GillSans Light"/>
                <w:color w:val="auto"/>
                <w:sz w:val="18"/>
                <w:szCs w:val="18"/>
              </w:rPr>
              <w:t>2015</w:t>
            </w:r>
          </w:p>
          <w:p w:rsidR="00967C1E" w:rsidRPr="00BE6460" w:rsidRDefault="00967C1E" w:rsidP="006A4632">
            <w:pPr>
              <w:pStyle w:val="BSCPAYCHd"/>
              <w:jc w:val="right"/>
              <w:rPr>
                <w:rFonts w:ascii="GillSans Light" w:hAnsi="GillSans Light"/>
                <w:color w:val="auto"/>
              </w:rPr>
            </w:pPr>
            <w:r w:rsidRPr="00BE6460">
              <w:rPr>
                <w:rFonts w:ascii="GillSans Light" w:hAnsi="GillSans Light"/>
                <w:color w:val="auto"/>
              </w:rPr>
              <w:t>$</w:t>
            </w:r>
          </w:p>
        </w:tc>
        <w:tc>
          <w:tcPr>
            <w:tcW w:w="1299" w:type="dxa"/>
            <w:tcBorders>
              <w:top w:val="nil"/>
              <w:left w:val="nil"/>
              <w:bottom w:val="nil"/>
              <w:right w:val="nil"/>
            </w:tcBorders>
            <w:vAlign w:val="bottom"/>
          </w:tcPr>
          <w:p w:rsidR="00967C1E" w:rsidRPr="00BE6460" w:rsidRDefault="00967C1E" w:rsidP="006A4632">
            <w:pPr>
              <w:pStyle w:val="BSPPYCHd"/>
              <w:jc w:val="right"/>
              <w:rPr>
                <w:rFonts w:ascii="GillSans Light" w:hAnsi="GillSans Light"/>
                <w:color w:val="auto"/>
                <w:sz w:val="18"/>
                <w:szCs w:val="18"/>
              </w:rPr>
            </w:pPr>
            <w:r w:rsidRPr="00BE6460">
              <w:rPr>
                <w:rFonts w:ascii="GillSans Light" w:hAnsi="GillSans Light"/>
                <w:color w:val="auto"/>
                <w:sz w:val="18"/>
                <w:szCs w:val="18"/>
              </w:rPr>
              <w:t>2014</w:t>
            </w:r>
          </w:p>
          <w:p w:rsidR="00967C1E" w:rsidRPr="00BE6460" w:rsidRDefault="00967C1E" w:rsidP="006A4632">
            <w:pPr>
              <w:pStyle w:val="BSCPPYCHd"/>
              <w:jc w:val="right"/>
              <w:rPr>
                <w:rFonts w:ascii="GillSans Light" w:hAnsi="GillSans Light"/>
                <w:color w:val="auto"/>
              </w:rPr>
            </w:pPr>
            <w:r w:rsidRPr="00BE6460">
              <w:rPr>
                <w:rFonts w:ascii="GillSans Light" w:hAnsi="GillSans Light"/>
                <w:color w:val="auto"/>
              </w:rPr>
              <w:t>$</w:t>
            </w:r>
          </w:p>
        </w:tc>
      </w:tr>
      <w:tr w:rsidR="00967C1E" w:rsidRPr="00BE6460" w:rsidTr="00967C1E">
        <w:tc>
          <w:tcPr>
            <w:tcW w:w="5812" w:type="dxa"/>
            <w:tcBorders>
              <w:top w:val="nil"/>
              <w:left w:val="nil"/>
              <w:bottom w:val="nil"/>
              <w:right w:val="nil"/>
            </w:tcBorders>
          </w:tcPr>
          <w:p w:rsidR="00967C1E" w:rsidRPr="00BE6460" w:rsidRDefault="00380EA1" w:rsidP="00BF3DB7">
            <w:pPr>
              <w:pStyle w:val="BSDescTi"/>
              <w:rPr>
                <w:rFonts w:ascii="GillSans Light" w:hAnsi="GillSans Light"/>
                <w:color w:val="auto"/>
                <w:sz w:val="18"/>
                <w:szCs w:val="18"/>
              </w:rPr>
            </w:pPr>
            <w:r w:rsidRPr="00BE6460">
              <w:rPr>
                <w:rFonts w:ascii="GillSans Light" w:hAnsi="GillSans Light"/>
                <w:color w:val="auto"/>
                <w:sz w:val="18"/>
                <w:szCs w:val="18"/>
              </w:rPr>
              <w:t xml:space="preserve">Assets </w:t>
            </w:r>
          </w:p>
        </w:tc>
        <w:tc>
          <w:tcPr>
            <w:tcW w:w="674" w:type="dxa"/>
            <w:tcBorders>
              <w:top w:val="nil"/>
              <w:left w:val="nil"/>
              <w:bottom w:val="nil"/>
              <w:right w:val="nil"/>
            </w:tcBorders>
            <w:vAlign w:val="bottom"/>
          </w:tcPr>
          <w:p w:rsidR="00967C1E" w:rsidRPr="00BE6460" w:rsidRDefault="00967C1E" w:rsidP="00BF3DB7">
            <w:pPr>
              <w:rPr>
                <w:rFonts w:cs="Arial"/>
                <w:sz w:val="18"/>
                <w:szCs w:val="18"/>
              </w:rPr>
            </w:pPr>
          </w:p>
        </w:tc>
        <w:tc>
          <w:tcPr>
            <w:tcW w:w="1298" w:type="dxa"/>
            <w:tcBorders>
              <w:top w:val="nil"/>
              <w:left w:val="nil"/>
              <w:bottom w:val="nil"/>
              <w:right w:val="nil"/>
            </w:tcBorders>
            <w:vAlign w:val="bottom"/>
          </w:tcPr>
          <w:p w:rsidR="00967C1E" w:rsidRPr="00BE6460" w:rsidRDefault="00967C1E" w:rsidP="00BF3DB7">
            <w:pPr>
              <w:rPr>
                <w:rFonts w:cs="Arial"/>
                <w:sz w:val="18"/>
                <w:szCs w:val="18"/>
              </w:rPr>
            </w:pPr>
          </w:p>
        </w:tc>
        <w:tc>
          <w:tcPr>
            <w:tcW w:w="1299" w:type="dxa"/>
            <w:tcBorders>
              <w:top w:val="nil"/>
              <w:left w:val="nil"/>
              <w:bottom w:val="nil"/>
              <w:right w:val="nil"/>
            </w:tcBorders>
            <w:vAlign w:val="bottom"/>
          </w:tcPr>
          <w:p w:rsidR="00967C1E" w:rsidRPr="00BE6460" w:rsidRDefault="00967C1E" w:rsidP="00BF3DB7">
            <w:pPr>
              <w:rPr>
                <w:rFonts w:cs="Arial"/>
                <w:sz w:val="18"/>
                <w:szCs w:val="18"/>
              </w:rPr>
            </w:pPr>
          </w:p>
        </w:tc>
      </w:tr>
      <w:tr w:rsidR="00967C1E" w:rsidRPr="00BE6460" w:rsidTr="00967C1E">
        <w:tc>
          <w:tcPr>
            <w:tcW w:w="5812" w:type="dxa"/>
            <w:tcBorders>
              <w:top w:val="nil"/>
              <w:left w:val="nil"/>
              <w:bottom w:val="nil"/>
              <w:right w:val="nil"/>
            </w:tcBorders>
          </w:tcPr>
          <w:p w:rsidR="00967C1E" w:rsidRPr="00BE6460" w:rsidRDefault="00380EA1" w:rsidP="00BF3DB7">
            <w:pPr>
              <w:pStyle w:val="BSDescTi"/>
              <w:rPr>
                <w:rFonts w:ascii="GillSans Light" w:hAnsi="GillSans Light"/>
                <w:color w:val="auto"/>
                <w:sz w:val="18"/>
                <w:szCs w:val="18"/>
              </w:rPr>
            </w:pPr>
            <w:r w:rsidRPr="00BE6460">
              <w:rPr>
                <w:rFonts w:ascii="GillSans Light" w:hAnsi="GillSans Light"/>
                <w:color w:val="auto"/>
                <w:sz w:val="18"/>
                <w:szCs w:val="18"/>
              </w:rPr>
              <w:t xml:space="preserve">Current Assets </w:t>
            </w:r>
          </w:p>
        </w:tc>
        <w:tc>
          <w:tcPr>
            <w:tcW w:w="674" w:type="dxa"/>
            <w:tcBorders>
              <w:top w:val="nil"/>
              <w:left w:val="nil"/>
              <w:bottom w:val="nil"/>
              <w:right w:val="nil"/>
            </w:tcBorders>
            <w:vAlign w:val="bottom"/>
          </w:tcPr>
          <w:p w:rsidR="00967C1E" w:rsidRPr="00BE6460" w:rsidRDefault="00967C1E" w:rsidP="00BF3DB7">
            <w:pPr>
              <w:rPr>
                <w:rFonts w:cs="Arial"/>
                <w:sz w:val="18"/>
                <w:szCs w:val="18"/>
              </w:rPr>
            </w:pPr>
          </w:p>
        </w:tc>
        <w:tc>
          <w:tcPr>
            <w:tcW w:w="1298" w:type="dxa"/>
            <w:tcBorders>
              <w:top w:val="nil"/>
              <w:left w:val="nil"/>
              <w:bottom w:val="nil"/>
              <w:right w:val="nil"/>
            </w:tcBorders>
            <w:vAlign w:val="bottom"/>
          </w:tcPr>
          <w:p w:rsidR="00967C1E" w:rsidRPr="00BE6460" w:rsidRDefault="00967C1E" w:rsidP="00BF3DB7">
            <w:pPr>
              <w:rPr>
                <w:rFonts w:cs="Arial"/>
                <w:sz w:val="18"/>
                <w:szCs w:val="18"/>
              </w:rPr>
            </w:pPr>
          </w:p>
        </w:tc>
        <w:tc>
          <w:tcPr>
            <w:tcW w:w="1299" w:type="dxa"/>
            <w:tcBorders>
              <w:top w:val="nil"/>
              <w:left w:val="nil"/>
              <w:bottom w:val="nil"/>
              <w:right w:val="nil"/>
            </w:tcBorders>
            <w:vAlign w:val="bottom"/>
          </w:tcPr>
          <w:p w:rsidR="00967C1E" w:rsidRPr="00BE6460" w:rsidRDefault="00967C1E" w:rsidP="00BF3DB7">
            <w:pPr>
              <w:rPr>
                <w:rFonts w:cs="Arial"/>
                <w:sz w:val="18"/>
                <w:szCs w:val="18"/>
              </w:rPr>
            </w:pPr>
          </w:p>
        </w:tc>
      </w:tr>
      <w:tr w:rsidR="00967C1E" w:rsidRPr="00BE6460" w:rsidTr="00967C1E">
        <w:tc>
          <w:tcPr>
            <w:tcW w:w="5812" w:type="dxa"/>
            <w:tcBorders>
              <w:top w:val="nil"/>
              <w:left w:val="nil"/>
              <w:bottom w:val="nil"/>
              <w:right w:val="nil"/>
            </w:tcBorders>
          </w:tcPr>
          <w:p w:rsidR="00967C1E" w:rsidRPr="00BE6460" w:rsidRDefault="00967C1E" w:rsidP="006B081F">
            <w:pPr>
              <w:pStyle w:val="BSDesc"/>
              <w:spacing w:before="60" w:after="60"/>
              <w:rPr>
                <w:rFonts w:ascii="GillSans Light" w:hAnsi="GillSans Light"/>
                <w:color w:val="auto"/>
                <w:sz w:val="18"/>
                <w:szCs w:val="18"/>
              </w:rPr>
            </w:pPr>
            <w:r w:rsidRPr="00BE6460">
              <w:rPr>
                <w:rFonts w:ascii="GillSans Light" w:hAnsi="GillSans Light"/>
                <w:color w:val="auto"/>
                <w:sz w:val="18"/>
                <w:szCs w:val="18"/>
              </w:rPr>
              <w:t>Cash and cash equivalents</w:t>
            </w:r>
          </w:p>
        </w:tc>
        <w:tc>
          <w:tcPr>
            <w:tcW w:w="674" w:type="dxa"/>
            <w:tcBorders>
              <w:top w:val="nil"/>
              <w:left w:val="nil"/>
              <w:bottom w:val="nil"/>
              <w:right w:val="nil"/>
            </w:tcBorders>
            <w:vAlign w:val="bottom"/>
          </w:tcPr>
          <w:p w:rsidR="00967C1E" w:rsidRPr="00BE6460" w:rsidRDefault="00967C1E" w:rsidP="006B081F">
            <w:pPr>
              <w:pStyle w:val="BSNoteNo"/>
              <w:spacing w:before="60" w:after="60"/>
              <w:rPr>
                <w:rFonts w:ascii="GillSans Light" w:hAnsi="GillSans Light"/>
                <w:color w:val="auto"/>
                <w:sz w:val="18"/>
                <w:szCs w:val="18"/>
              </w:rPr>
            </w:pPr>
            <w:r w:rsidRPr="00BE6460">
              <w:rPr>
                <w:rFonts w:ascii="GillSans Light" w:hAnsi="GillSans Light"/>
                <w:color w:val="auto"/>
                <w:sz w:val="18"/>
                <w:szCs w:val="18"/>
              </w:rPr>
              <w:t>2</w:t>
            </w:r>
          </w:p>
        </w:tc>
        <w:tc>
          <w:tcPr>
            <w:tcW w:w="1298" w:type="dxa"/>
            <w:tcBorders>
              <w:top w:val="nil"/>
              <w:left w:val="nil"/>
              <w:bottom w:val="nil"/>
              <w:right w:val="nil"/>
            </w:tcBorders>
            <w:vAlign w:val="bottom"/>
          </w:tcPr>
          <w:p w:rsidR="00967C1E" w:rsidRPr="00BE6460" w:rsidRDefault="00967C1E" w:rsidP="006B081F">
            <w:pPr>
              <w:pStyle w:val="BS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180,838</w:t>
            </w:r>
            <w:r w:rsidRPr="00BE6460">
              <w:rPr>
                <w:rFonts w:ascii="GillSans Light" w:hAnsi="GillSans Light"/>
                <w:color w:val="auto"/>
                <w:sz w:val="18"/>
                <w:szCs w:val="18"/>
              </w:rPr>
              <w:tab/>
            </w:r>
          </w:p>
        </w:tc>
        <w:tc>
          <w:tcPr>
            <w:tcW w:w="1299" w:type="dxa"/>
            <w:tcBorders>
              <w:top w:val="nil"/>
              <w:left w:val="nil"/>
              <w:bottom w:val="nil"/>
              <w:right w:val="nil"/>
            </w:tcBorders>
            <w:vAlign w:val="bottom"/>
          </w:tcPr>
          <w:p w:rsidR="00967C1E" w:rsidRPr="00BE6460" w:rsidRDefault="00967C1E" w:rsidP="006B081F">
            <w:pPr>
              <w:pStyle w:val="BS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142,673</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967C1E" w:rsidP="006B081F">
            <w:pPr>
              <w:pStyle w:val="BSDesc"/>
              <w:spacing w:before="60" w:after="60"/>
              <w:rPr>
                <w:rFonts w:ascii="GillSans Light" w:hAnsi="GillSans Light"/>
                <w:color w:val="auto"/>
                <w:sz w:val="18"/>
                <w:szCs w:val="18"/>
              </w:rPr>
            </w:pPr>
            <w:r w:rsidRPr="00BE6460">
              <w:rPr>
                <w:rFonts w:ascii="GillSans Light" w:hAnsi="GillSans Light"/>
                <w:color w:val="auto"/>
                <w:sz w:val="18"/>
                <w:szCs w:val="18"/>
              </w:rPr>
              <w:t>Trade and other receivables</w:t>
            </w:r>
          </w:p>
        </w:tc>
        <w:tc>
          <w:tcPr>
            <w:tcW w:w="674" w:type="dxa"/>
            <w:tcBorders>
              <w:top w:val="nil"/>
              <w:left w:val="nil"/>
              <w:bottom w:val="nil"/>
              <w:right w:val="nil"/>
            </w:tcBorders>
            <w:vAlign w:val="bottom"/>
          </w:tcPr>
          <w:p w:rsidR="00967C1E" w:rsidRPr="00BE6460" w:rsidRDefault="00967C1E" w:rsidP="006B081F">
            <w:pPr>
              <w:pStyle w:val="BSNoteNo"/>
              <w:spacing w:before="60" w:after="60"/>
              <w:rPr>
                <w:rFonts w:ascii="GillSans Light" w:hAnsi="GillSans Light"/>
                <w:color w:val="auto"/>
                <w:sz w:val="18"/>
                <w:szCs w:val="18"/>
              </w:rPr>
            </w:pPr>
            <w:r w:rsidRPr="00BE6460">
              <w:rPr>
                <w:rFonts w:ascii="GillSans Light" w:hAnsi="GillSans Light"/>
                <w:color w:val="auto"/>
                <w:sz w:val="18"/>
                <w:szCs w:val="18"/>
              </w:rPr>
              <w:t>3</w:t>
            </w:r>
          </w:p>
        </w:tc>
        <w:tc>
          <w:tcPr>
            <w:tcW w:w="1298" w:type="dxa"/>
            <w:tcBorders>
              <w:top w:val="nil"/>
              <w:left w:val="nil"/>
              <w:bottom w:val="single" w:sz="8" w:space="0" w:color="000000"/>
              <w:right w:val="nil"/>
            </w:tcBorders>
            <w:vAlign w:val="bottom"/>
          </w:tcPr>
          <w:p w:rsidR="00967C1E" w:rsidRPr="00BE6460" w:rsidRDefault="00967C1E" w:rsidP="006B081F">
            <w:pPr>
              <w:pStyle w:val="BS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1,524</w:t>
            </w:r>
            <w:r w:rsidRPr="00BE6460">
              <w:rPr>
                <w:rFonts w:ascii="GillSans Light" w:hAnsi="GillSans Light"/>
                <w:color w:val="auto"/>
                <w:sz w:val="18"/>
                <w:szCs w:val="18"/>
              </w:rPr>
              <w:tab/>
            </w:r>
          </w:p>
        </w:tc>
        <w:tc>
          <w:tcPr>
            <w:tcW w:w="1299" w:type="dxa"/>
            <w:tcBorders>
              <w:top w:val="nil"/>
              <w:left w:val="nil"/>
              <w:bottom w:val="nil"/>
              <w:right w:val="nil"/>
            </w:tcBorders>
            <w:vAlign w:val="bottom"/>
          </w:tcPr>
          <w:p w:rsidR="00967C1E" w:rsidRPr="00BE6460" w:rsidRDefault="00967C1E" w:rsidP="006B081F">
            <w:pPr>
              <w:pStyle w:val="BS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3,547</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S"/>
              <w:spacing w:before="60" w:after="60"/>
              <w:rPr>
                <w:rFonts w:ascii="GillSans Light" w:hAnsi="GillSans Light"/>
                <w:color w:val="auto"/>
                <w:sz w:val="18"/>
                <w:szCs w:val="18"/>
              </w:rPr>
            </w:pPr>
            <w:r w:rsidRPr="00BE6460">
              <w:rPr>
                <w:rFonts w:ascii="GillSans Light" w:hAnsi="GillSans Light"/>
                <w:color w:val="auto"/>
                <w:sz w:val="18"/>
                <w:szCs w:val="18"/>
              </w:rPr>
              <w:t>Total Current Assets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double" w:sz="6" w:space="0" w:color="000000"/>
              <w:right w:val="nil"/>
            </w:tcBorders>
            <w:vAlign w:val="bottom"/>
          </w:tcPr>
          <w:p w:rsidR="00967C1E" w:rsidRPr="00BE6460" w:rsidRDefault="00967C1E" w:rsidP="006B081F">
            <w:pPr>
              <w:pStyle w:val="BSPA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182,362</w:t>
            </w:r>
            <w:r w:rsidRPr="00BE6460">
              <w:rPr>
                <w:rFonts w:ascii="GillSans Light" w:hAnsi="GillSans Light"/>
                <w:color w:val="auto"/>
                <w:sz w:val="18"/>
                <w:szCs w:val="18"/>
              </w:rPr>
              <w:tab/>
            </w:r>
          </w:p>
        </w:tc>
        <w:tc>
          <w:tcPr>
            <w:tcW w:w="1299" w:type="dxa"/>
            <w:tcBorders>
              <w:top w:val="single" w:sz="8" w:space="0" w:color="000000"/>
              <w:left w:val="nil"/>
              <w:bottom w:val="double" w:sz="6" w:space="0" w:color="000000"/>
              <w:right w:val="nil"/>
            </w:tcBorders>
            <w:vAlign w:val="bottom"/>
          </w:tcPr>
          <w:p w:rsidR="00967C1E" w:rsidRPr="00BE6460" w:rsidRDefault="00967C1E" w:rsidP="006B081F">
            <w:pPr>
              <w:pStyle w:val="BSPP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146,220</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Ti"/>
              <w:spacing w:before="60" w:after="60" w:line="240" w:lineRule="auto"/>
              <w:rPr>
                <w:rFonts w:ascii="GillSans Light" w:hAnsi="GillSans Light"/>
                <w:color w:val="auto"/>
                <w:sz w:val="18"/>
                <w:szCs w:val="18"/>
              </w:rPr>
            </w:pPr>
            <w:r w:rsidRPr="00BE6460">
              <w:rPr>
                <w:rFonts w:ascii="GillSans Light" w:hAnsi="GillSans Light"/>
                <w:color w:val="auto"/>
                <w:sz w:val="18"/>
                <w:szCs w:val="18"/>
              </w:rPr>
              <w:t>Non-Current – Assets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double" w:sz="6" w:space="0" w:color="000000"/>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9" w:type="dxa"/>
            <w:tcBorders>
              <w:top w:val="double" w:sz="6" w:space="0" w:color="000000"/>
              <w:left w:val="nil"/>
              <w:bottom w:val="nil"/>
              <w:right w:val="nil"/>
            </w:tcBorders>
            <w:vAlign w:val="bottom"/>
          </w:tcPr>
          <w:p w:rsidR="00967C1E" w:rsidRPr="00BE6460" w:rsidRDefault="00967C1E" w:rsidP="006B081F">
            <w:pPr>
              <w:spacing w:before="60" w:after="60" w:line="240" w:lineRule="auto"/>
              <w:rPr>
                <w:rFonts w:cs="Arial"/>
                <w:sz w:val="18"/>
                <w:szCs w:val="18"/>
              </w:rPr>
            </w:pPr>
          </w:p>
        </w:tc>
      </w:tr>
      <w:tr w:rsidR="00967C1E" w:rsidRPr="00BE6460" w:rsidTr="00967C1E">
        <w:tc>
          <w:tcPr>
            <w:tcW w:w="5812" w:type="dxa"/>
            <w:tcBorders>
              <w:top w:val="nil"/>
              <w:left w:val="nil"/>
              <w:bottom w:val="nil"/>
              <w:right w:val="nil"/>
            </w:tcBorders>
          </w:tcPr>
          <w:p w:rsidR="00967C1E" w:rsidRPr="00BE6460" w:rsidRDefault="00967C1E" w:rsidP="006B081F">
            <w:pPr>
              <w:pStyle w:val="BSDesc"/>
              <w:spacing w:before="60" w:after="60"/>
              <w:rPr>
                <w:rFonts w:ascii="GillSans Light" w:hAnsi="GillSans Light"/>
                <w:color w:val="auto"/>
                <w:sz w:val="18"/>
                <w:szCs w:val="18"/>
              </w:rPr>
            </w:pPr>
            <w:r w:rsidRPr="00BE6460">
              <w:rPr>
                <w:rFonts w:ascii="GillSans Light" w:hAnsi="GillSans Light"/>
                <w:color w:val="auto"/>
                <w:sz w:val="18"/>
                <w:szCs w:val="18"/>
              </w:rPr>
              <w:t>Plant and equipment</w:t>
            </w:r>
          </w:p>
        </w:tc>
        <w:tc>
          <w:tcPr>
            <w:tcW w:w="674" w:type="dxa"/>
            <w:tcBorders>
              <w:top w:val="nil"/>
              <w:left w:val="nil"/>
              <w:bottom w:val="nil"/>
              <w:right w:val="nil"/>
            </w:tcBorders>
            <w:vAlign w:val="bottom"/>
          </w:tcPr>
          <w:p w:rsidR="00967C1E" w:rsidRPr="00BE6460" w:rsidRDefault="00967C1E" w:rsidP="006B081F">
            <w:pPr>
              <w:pStyle w:val="BSNoteNo"/>
              <w:spacing w:before="60" w:after="60"/>
              <w:rPr>
                <w:rFonts w:ascii="GillSans Light" w:hAnsi="GillSans Light"/>
                <w:color w:val="auto"/>
                <w:sz w:val="18"/>
                <w:szCs w:val="18"/>
              </w:rPr>
            </w:pPr>
            <w:r w:rsidRPr="00BE6460">
              <w:rPr>
                <w:rFonts w:ascii="GillSans Light" w:hAnsi="GillSans Light"/>
                <w:color w:val="auto"/>
                <w:sz w:val="18"/>
                <w:szCs w:val="18"/>
              </w:rPr>
              <w:t>4</w:t>
            </w:r>
          </w:p>
        </w:tc>
        <w:tc>
          <w:tcPr>
            <w:tcW w:w="1298" w:type="dxa"/>
            <w:tcBorders>
              <w:top w:val="nil"/>
              <w:left w:val="nil"/>
              <w:bottom w:val="nil"/>
              <w:right w:val="nil"/>
            </w:tcBorders>
            <w:vAlign w:val="bottom"/>
          </w:tcPr>
          <w:p w:rsidR="00967C1E" w:rsidRPr="00BE6460" w:rsidRDefault="00967C1E" w:rsidP="006B081F">
            <w:pPr>
              <w:pStyle w:val="BS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316</w:t>
            </w:r>
            <w:r w:rsidRPr="00BE6460">
              <w:rPr>
                <w:rFonts w:ascii="GillSans Light" w:hAnsi="GillSans Light"/>
                <w:color w:val="auto"/>
                <w:sz w:val="18"/>
                <w:szCs w:val="18"/>
              </w:rPr>
              <w:tab/>
            </w:r>
          </w:p>
        </w:tc>
        <w:tc>
          <w:tcPr>
            <w:tcW w:w="1299" w:type="dxa"/>
            <w:tcBorders>
              <w:top w:val="nil"/>
              <w:left w:val="nil"/>
              <w:bottom w:val="nil"/>
              <w:right w:val="nil"/>
            </w:tcBorders>
            <w:vAlign w:val="bottom"/>
          </w:tcPr>
          <w:p w:rsidR="00967C1E" w:rsidRPr="00BE6460" w:rsidRDefault="00967C1E" w:rsidP="006B081F">
            <w:pPr>
              <w:pStyle w:val="BS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515</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S"/>
              <w:spacing w:before="60" w:after="60"/>
              <w:rPr>
                <w:rFonts w:ascii="GillSans Light" w:hAnsi="GillSans Light"/>
                <w:color w:val="auto"/>
                <w:sz w:val="18"/>
                <w:szCs w:val="18"/>
              </w:rPr>
            </w:pPr>
            <w:r w:rsidRPr="00BE6460">
              <w:rPr>
                <w:rFonts w:ascii="GillSans Light" w:hAnsi="GillSans Light"/>
                <w:color w:val="auto"/>
                <w:sz w:val="18"/>
                <w:szCs w:val="18"/>
              </w:rPr>
              <w:t>Total Non-Current Assets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single" w:sz="8" w:space="0" w:color="000000"/>
              <w:right w:val="nil"/>
            </w:tcBorders>
            <w:vAlign w:val="bottom"/>
          </w:tcPr>
          <w:p w:rsidR="00967C1E" w:rsidRPr="00BE6460" w:rsidRDefault="00967C1E" w:rsidP="006B081F">
            <w:pPr>
              <w:pStyle w:val="BSPA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316</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vAlign w:val="bottom"/>
          </w:tcPr>
          <w:p w:rsidR="00967C1E" w:rsidRPr="00BE6460" w:rsidRDefault="00967C1E" w:rsidP="006B081F">
            <w:pPr>
              <w:pStyle w:val="BSPP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515</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T"/>
              <w:spacing w:before="60" w:after="60"/>
              <w:rPr>
                <w:rFonts w:ascii="GillSans Light" w:hAnsi="GillSans Light"/>
                <w:color w:val="auto"/>
                <w:sz w:val="18"/>
                <w:szCs w:val="18"/>
              </w:rPr>
            </w:pPr>
            <w:r w:rsidRPr="00BE6460">
              <w:rPr>
                <w:rFonts w:ascii="GillSans Light" w:hAnsi="GillSans Light"/>
                <w:color w:val="auto"/>
                <w:sz w:val="18"/>
                <w:szCs w:val="18"/>
              </w:rPr>
              <w:t>Total Assets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single" w:sz="8" w:space="0" w:color="000000"/>
              <w:right w:val="nil"/>
            </w:tcBorders>
            <w:vAlign w:val="bottom"/>
          </w:tcPr>
          <w:p w:rsidR="00967C1E" w:rsidRPr="00BE6460" w:rsidRDefault="00967C1E" w:rsidP="006B081F">
            <w:pPr>
              <w:pStyle w:val="BSPAYT"/>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182,678</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vAlign w:val="bottom"/>
          </w:tcPr>
          <w:p w:rsidR="00967C1E" w:rsidRPr="00BE6460" w:rsidRDefault="00967C1E" w:rsidP="006B081F">
            <w:pPr>
              <w:pStyle w:val="BSPPYT"/>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146,735</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Ti"/>
              <w:spacing w:before="60" w:after="60" w:line="240" w:lineRule="auto"/>
              <w:rPr>
                <w:rFonts w:ascii="GillSans Light" w:hAnsi="GillSans Light"/>
                <w:color w:val="auto"/>
                <w:sz w:val="18"/>
                <w:szCs w:val="18"/>
              </w:rPr>
            </w:pPr>
            <w:r w:rsidRPr="00BE6460">
              <w:rPr>
                <w:rFonts w:ascii="GillSans Light" w:hAnsi="GillSans Light"/>
                <w:color w:val="auto"/>
                <w:sz w:val="18"/>
                <w:szCs w:val="18"/>
              </w:rPr>
              <w:t>Liabilities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9" w:type="dxa"/>
            <w:tcBorders>
              <w:top w:val="single" w:sz="8" w:space="0" w:color="000000"/>
              <w:left w:val="nil"/>
              <w:bottom w:val="nil"/>
              <w:right w:val="nil"/>
            </w:tcBorders>
            <w:vAlign w:val="bottom"/>
          </w:tcPr>
          <w:p w:rsidR="00967C1E" w:rsidRPr="00BE6460" w:rsidRDefault="00967C1E" w:rsidP="006B081F">
            <w:pPr>
              <w:spacing w:before="60" w:after="60" w:line="240" w:lineRule="auto"/>
              <w:rPr>
                <w:rFonts w:cs="Arial"/>
                <w:sz w:val="18"/>
                <w:szCs w:val="18"/>
              </w:rPr>
            </w:pPr>
          </w:p>
        </w:tc>
      </w:tr>
      <w:tr w:rsidR="00967C1E" w:rsidRPr="00BE6460" w:rsidTr="00967C1E">
        <w:tc>
          <w:tcPr>
            <w:tcW w:w="5812" w:type="dxa"/>
            <w:tcBorders>
              <w:top w:val="nil"/>
              <w:left w:val="nil"/>
              <w:bottom w:val="nil"/>
              <w:right w:val="nil"/>
            </w:tcBorders>
          </w:tcPr>
          <w:p w:rsidR="00967C1E" w:rsidRPr="00BE6460" w:rsidRDefault="00380EA1" w:rsidP="006B081F">
            <w:pPr>
              <w:pStyle w:val="BSDescTi"/>
              <w:spacing w:before="60" w:after="60" w:line="240" w:lineRule="auto"/>
              <w:rPr>
                <w:rFonts w:ascii="GillSans Light" w:hAnsi="GillSans Light"/>
                <w:color w:val="auto"/>
                <w:sz w:val="18"/>
                <w:szCs w:val="18"/>
              </w:rPr>
            </w:pPr>
            <w:r w:rsidRPr="00BE6460">
              <w:rPr>
                <w:rFonts w:ascii="GillSans Light" w:hAnsi="GillSans Light"/>
                <w:color w:val="auto"/>
                <w:sz w:val="18"/>
                <w:szCs w:val="18"/>
              </w:rPr>
              <w:t xml:space="preserve">Current Liabilities </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9"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r>
      <w:tr w:rsidR="00967C1E" w:rsidRPr="00BE6460" w:rsidTr="00967C1E">
        <w:tc>
          <w:tcPr>
            <w:tcW w:w="5812" w:type="dxa"/>
            <w:tcBorders>
              <w:top w:val="nil"/>
              <w:left w:val="nil"/>
              <w:bottom w:val="nil"/>
              <w:right w:val="nil"/>
            </w:tcBorders>
          </w:tcPr>
          <w:p w:rsidR="00967C1E" w:rsidRPr="00BE6460" w:rsidRDefault="00967C1E" w:rsidP="006B081F">
            <w:pPr>
              <w:pStyle w:val="BSDesc"/>
              <w:spacing w:before="60" w:after="60"/>
              <w:rPr>
                <w:rFonts w:ascii="GillSans Light" w:hAnsi="GillSans Light"/>
                <w:color w:val="auto"/>
                <w:sz w:val="18"/>
                <w:szCs w:val="18"/>
              </w:rPr>
            </w:pPr>
            <w:r w:rsidRPr="00BE6460">
              <w:rPr>
                <w:rFonts w:ascii="GillSans Light" w:hAnsi="GillSans Light"/>
                <w:color w:val="auto"/>
                <w:sz w:val="18"/>
                <w:szCs w:val="18"/>
              </w:rPr>
              <w:t>Trade and other payables</w:t>
            </w:r>
          </w:p>
        </w:tc>
        <w:tc>
          <w:tcPr>
            <w:tcW w:w="674" w:type="dxa"/>
            <w:tcBorders>
              <w:top w:val="nil"/>
              <w:left w:val="nil"/>
              <w:bottom w:val="nil"/>
              <w:right w:val="nil"/>
            </w:tcBorders>
            <w:vAlign w:val="bottom"/>
          </w:tcPr>
          <w:p w:rsidR="00967C1E" w:rsidRPr="00BE6460" w:rsidRDefault="00967C1E" w:rsidP="006B081F">
            <w:pPr>
              <w:pStyle w:val="BSNoteNo"/>
              <w:spacing w:before="60" w:after="60"/>
              <w:rPr>
                <w:rFonts w:ascii="GillSans Light" w:hAnsi="GillSans Light"/>
                <w:color w:val="auto"/>
                <w:sz w:val="18"/>
                <w:szCs w:val="18"/>
              </w:rPr>
            </w:pPr>
            <w:r w:rsidRPr="00BE6460">
              <w:rPr>
                <w:rFonts w:ascii="GillSans Light" w:hAnsi="GillSans Light"/>
                <w:color w:val="auto"/>
                <w:sz w:val="18"/>
                <w:szCs w:val="18"/>
              </w:rPr>
              <w:t>5</w:t>
            </w:r>
          </w:p>
        </w:tc>
        <w:tc>
          <w:tcPr>
            <w:tcW w:w="1298" w:type="dxa"/>
            <w:tcBorders>
              <w:top w:val="nil"/>
              <w:left w:val="nil"/>
              <w:bottom w:val="nil"/>
              <w:right w:val="nil"/>
            </w:tcBorders>
            <w:vAlign w:val="bottom"/>
          </w:tcPr>
          <w:p w:rsidR="00967C1E" w:rsidRPr="00BE6460" w:rsidRDefault="00967C1E" w:rsidP="006B081F">
            <w:pPr>
              <w:pStyle w:val="BS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9,901</w:t>
            </w:r>
            <w:r w:rsidRPr="00BE6460">
              <w:rPr>
                <w:rFonts w:ascii="GillSans Light" w:hAnsi="GillSans Light"/>
                <w:color w:val="auto"/>
                <w:sz w:val="18"/>
                <w:szCs w:val="18"/>
              </w:rPr>
              <w:tab/>
            </w:r>
          </w:p>
        </w:tc>
        <w:tc>
          <w:tcPr>
            <w:tcW w:w="1299" w:type="dxa"/>
            <w:tcBorders>
              <w:top w:val="nil"/>
              <w:left w:val="nil"/>
              <w:bottom w:val="nil"/>
              <w:right w:val="nil"/>
            </w:tcBorders>
            <w:vAlign w:val="bottom"/>
          </w:tcPr>
          <w:p w:rsidR="00967C1E" w:rsidRPr="00BE6460" w:rsidRDefault="00967C1E" w:rsidP="006B081F">
            <w:pPr>
              <w:pStyle w:val="BS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7,756</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967C1E" w:rsidP="006B081F">
            <w:pPr>
              <w:pStyle w:val="BSDesc"/>
              <w:spacing w:before="60" w:after="60"/>
              <w:rPr>
                <w:rFonts w:ascii="GillSans Light" w:hAnsi="GillSans Light"/>
                <w:color w:val="auto"/>
                <w:sz w:val="18"/>
                <w:szCs w:val="18"/>
              </w:rPr>
            </w:pPr>
            <w:r w:rsidRPr="00BE6460">
              <w:rPr>
                <w:rFonts w:ascii="GillSans Light" w:hAnsi="GillSans Light"/>
                <w:color w:val="auto"/>
                <w:sz w:val="18"/>
                <w:szCs w:val="18"/>
              </w:rPr>
              <w:t>Income received in advance</w:t>
            </w:r>
          </w:p>
        </w:tc>
        <w:tc>
          <w:tcPr>
            <w:tcW w:w="674" w:type="dxa"/>
            <w:tcBorders>
              <w:top w:val="nil"/>
              <w:left w:val="nil"/>
              <w:bottom w:val="nil"/>
              <w:right w:val="nil"/>
            </w:tcBorders>
            <w:vAlign w:val="bottom"/>
          </w:tcPr>
          <w:p w:rsidR="00967C1E" w:rsidRPr="00BE6460" w:rsidRDefault="00967C1E" w:rsidP="006B081F">
            <w:pPr>
              <w:pStyle w:val="BSNoteNo"/>
              <w:spacing w:before="60" w:after="60"/>
              <w:rPr>
                <w:rFonts w:ascii="GillSans Light" w:hAnsi="GillSans Light"/>
                <w:color w:val="auto"/>
                <w:sz w:val="18"/>
                <w:szCs w:val="18"/>
              </w:rPr>
            </w:pPr>
          </w:p>
        </w:tc>
        <w:tc>
          <w:tcPr>
            <w:tcW w:w="1298" w:type="dxa"/>
            <w:tcBorders>
              <w:top w:val="nil"/>
              <w:left w:val="nil"/>
              <w:bottom w:val="nil"/>
              <w:right w:val="nil"/>
            </w:tcBorders>
            <w:vAlign w:val="bottom"/>
          </w:tcPr>
          <w:p w:rsidR="00967C1E" w:rsidRPr="00BE6460" w:rsidRDefault="00967C1E" w:rsidP="006B081F">
            <w:pPr>
              <w:pStyle w:val="BS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80,793</w:t>
            </w:r>
            <w:r w:rsidRPr="00BE6460">
              <w:rPr>
                <w:rFonts w:ascii="GillSans Light" w:hAnsi="GillSans Light"/>
                <w:color w:val="auto"/>
                <w:sz w:val="18"/>
                <w:szCs w:val="18"/>
              </w:rPr>
              <w:tab/>
            </w:r>
          </w:p>
        </w:tc>
        <w:tc>
          <w:tcPr>
            <w:tcW w:w="1299" w:type="dxa"/>
            <w:tcBorders>
              <w:top w:val="nil"/>
              <w:left w:val="nil"/>
              <w:bottom w:val="nil"/>
              <w:right w:val="nil"/>
            </w:tcBorders>
            <w:vAlign w:val="bottom"/>
          </w:tcPr>
          <w:p w:rsidR="00967C1E" w:rsidRPr="00BE6460" w:rsidRDefault="00967C1E" w:rsidP="006B081F">
            <w:pPr>
              <w:pStyle w:val="BS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77,539</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S"/>
              <w:spacing w:before="60" w:after="60"/>
              <w:rPr>
                <w:rFonts w:ascii="GillSans Light" w:hAnsi="GillSans Light"/>
                <w:color w:val="auto"/>
                <w:sz w:val="18"/>
                <w:szCs w:val="18"/>
              </w:rPr>
            </w:pPr>
            <w:r w:rsidRPr="00BE6460">
              <w:rPr>
                <w:rFonts w:ascii="GillSans Light" w:hAnsi="GillSans Light"/>
                <w:color w:val="auto"/>
                <w:sz w:val="18"/>
                <w:szCs w:val="18"/>
              </w:rPr>
              <w:t>Total Liabilities</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single" w:sz="8" w:space="0" w:color="000000"/>
              <w:right w:val="nil"/>
            </w:tcBorders>
            <w:vAlign w:val="bottom"/>
          </w:tcPr>
          <w:p w:rsidR="00967C1E" w:rsidRPr="00BE6460" w:rsidRDefault="00967C1E" w:rsidP="006B081F">
            <w:pPr>
              <w:pStyle w:val="BSPA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90,694</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vAlign w:val="bottom"/>
          </w:tcPr>
          <w:p w:rsidR="00967C1E" w:rsidRPr="00BE6460" w:rsidRDefault="00967C1E" w:rsidP="006B081F">
            <w:pPr>
              <w:pStyle w:val="BSPP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85,295</w:t>
            </w:r>
            <w:r w:rsidRPr="00BE6460">
              <w:rPr>
                <w:rFonts w:ascii="GillSans Light" w:hAnsi="GillSans Light"/>
                <w:color w:val="auto"/>
                <w:sz w:val="18"/>
                <w:szCs w:val="18"/>
              </w:rPr>
              <w:tab/>
            </w:r>
          </w:p>
        </w:tc>
      </w:tr>
      <w:tr w:rsidR="00967C1E" w:rsidRPr="00BE6460" w:rsidTr="00967C1E">
        <w:tc>
          <w:tcPr>
            <w:tcW w:w="5812" w:type="dxa"/>
            <w:tcBorders>
              <w:top w:val="nil"/>
              <w:left w:val="nil"/>
              <w:bottom w:val="nil"/>
              <w:right w:val="nil"/>
            </w:tcBorders>
          </w:tcPr>
          <w:p w:rsidR="00967C1E" w:rsidRPr="00BE6460" w:rsidRDefault="00380EA1" w:rsidP="006B081F">
            <w:pPr>
              <w:pStyle w:val="BSDescT"/>
              <w:spacing w:before="60" w:after="60"/>
              <w:rPr>
                <w:rFonts w:ascii="GillSans Light" w:hAnsi="GillSans Light"/>
                <w:color w:val="auto"/>
                <w:sz w:val="18"/>
                <w:szCs w:val="18"/>
              </w:rPr>
            </w:pPr>
            <w:r w:rsidRPr="00BE6460">
              <w:rPr>
                <w:rFonts w:ascii="GillSans Light" w:hAnsi="GillSans Light"/>
                <w:color w:val="auto"/>
                <w:sz w:val="18"/>
                <w:szCs w:val="18"/>
              </w:rPr>
              <w:t xml:space="preserve">Net Assets </w:t>
            </w:r>
          </w:p>
        </w:tc>
        <w:tc>
          <w:tcPr>
            <w:tcW w:w="674" w:type="dxa"/>
            <w:tcBorders>
              <w:top w:val="nil"/>
              <w:left w:val="nil"/>
              <w:bottom w:val="nil"/>
              <w:right w:val="nil"/>
            </w:tcBorders>
            <w:vAlign w:val="bottom"/>
          </w:tcPr>
          <w:p w:rsidR="00967C1E" w:rsidRPr="00BE6460" w:rsidRDefault="00967C1E" w:rsidP="006B081F">
            <w:pPr>
              <w:spacing w:before="60" w:after="60" w:line="240" w:lineRule="auto"/>
              <w:rPr>
                <w:rFonts w:cs="Arial"/>
                <w:sz w:val="18"/>
                <w:szCs w:val="18"/>
              </w:rPr>
            </w:pPr>
          </w:p>
        </w:tc>
        <w:tc>
          <w:tcPr>
            <w:tcW w:w="1298" w:type="dxa"/>
            <w:tcBorders>
              <w:top w:val="single" w:sz="8" w:space="0" w:color="000000"/>
              <w:left w:val="nil"/>
              <w:bottom w:val="double" w:sz="6" w:space="0" w:color="000000"/>
              <w:right w:val="nil"/>
            </w:tcBorders>
            <w:vAlign w:val="bottom"/>
          </w:tcPr>
          <w:p w:rsidR="00967C1E" w:rsidRPr="00BE6460" w:rsidRDefault="00967C1E" w:rsidP="006B081F">
            <w:pPr>
              <w:pStyle w:val="BSPAYT"/>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91,984</w:t>
            </w:r>
            <w:r w:rsidRPr="00BE6460">
              <w:rPr>
                <w:rFonts w:ascii="GillSans Light" w:hAnsi="GillSans Light"/>
                <w:color w:val="auto"/>
                <w:sz w:val="18"/>
                <w:szCs w:val="18"/>
              </w:rPr>
              <w:tab/>
            </w:r>
          </w:p>
        </w:tc>
        <w:tc>
          <w:tcPr>
            <w:tcW w:w="1299" w:type="dxa"/>
            <w:tcBorders>
              <w:top w:val="single" w:sz="8" w:space="0" w:color="000000"/>
              <w:left w:val="nil"/>
              <w:bottom w:val="double" w:sz="6" w:space="0" w:color="000000"/>
              <w:right w:val="nil"/>
            </w:tcBorders>
            <w:vAlign w:val="bottom"/>
          </w:tcPr>
          <w:p w:rsidR="00967C1E" w:rsidRPr="00BE6460" w:rsidRDefault="00967C1E" w:rsidP="006B081F">
            <w:pPr>
              <w:pStyle w:val="BSPPYT"/>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61,440</w:t>
            </w:r>
            <w:r w:rsidRPr="00BE6460">
              <w:rPr>
                <w:rFonts w:ascii="GillSans Light" w:hAnsi="GillSans Light"/>
                <w:color w:val="auto"/>
                <w:sz w:val="18"/>
                <w:szCs w:val="18"/>
              </w:rPr>
              <w:tab/>
            </w:r>
          </w:p>
        </w:tc>
      </w:tr>
    </w:tbl>
    <w:p w:rsidR="00967C1E" w:rsidRPr="00330077" w:rsidRDefault="00967C1E" w:rsidP="006A51DD"/>
    <w:p w:rsidR="00967C1E" w:rsidRPr="00330077" w:rsidRDefault="00967C1E">
      <w:pPr>
        <w:tabs>
          <w:tab w:val="clear" w:pos="567"/>
        </w:tabs>
        <w:spacing w:after="200" w:line="276" w:lineRule="auto"/>
      </w:pPr>
      <w:r w:rsidRPr="00330077">
        <w:br w:type="page"/>
      </w:r>
    </w:p>
    <w:p w:rsidR="0074113B" w:rsidRPr="00330077" w:rsidRDefault="00967C1E" w:rsidP="00BF3DB7">
      <w:pPr>
        <w:pStyle w:val="Heading3"/>
      </w:pPr>
      <w:r w:rsidRPr="00330077">
        <w:lastRenderedPageBreak/>
        <w:t>Tasmanian Pharmacy Authority</w:t>
      </w:r>
    </w:p>
    <w:p w:rsidR="00967C1E" w:rsidRPr="00330077" w:rsidRDefault="00967C1E" w:rsidP="006A51DD">
      <w:r w:rsidRPr="00330077">
        <w:t>Statement of Changes in Equity</w:t>
      </w:r>
    </w:p>
    <w:p w:rsidR="00967C1E" w:rsidRPr="00330077" w:rsidRDefault="00967C1E" w:rsidP="006A51DD"/>
    <w:p w:rsidR="005B2186" w:rsidRPr="00330077" w:rsidRDefault="005B2186" w:rsidP="006A51DD"/>
    <w:tbl>
      <w:tblPr>
        <w:tblW w:w="0" w:type="auto"/>
        <w:tblInd w:w="73" w:type="dxa"/>
        <w:tblLayout w:type="fixed"/>
        <w:tblCellMar>
          <w:left w:w="0" w:type="dxa"/>
          <w:right w:w="28" w:type="dxa"/>
        </w:tblCellMar>
        <w:tblLook w:val="0000" w:firstRow="0" w:lastRow="0" w:firstColumn="0" w:lastColumn="0" w:noHBand="0" w:noVBand="0"/>
      </w:tblPr>
      <w:tblGrid>
        <w:gridCol w:w="5812"/>
        <w:gridCol w:w="578"/>
        <w:gridCol w:w="1338"/>
        <w:gridCol w:w="1224"/>
      </w:tblGrid>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BF3DB7">
            <w:pPr>
              <w:pStyle w:val="SEQDescCHd2"/>
              <w:rPr>
                <w:rFonts w:ascii="GillSans Light" w:hAnsi="GillSans Light"/>
                <w:color w:val="auto"/>
              </w:rPr>
            </w:pPr>
            <w:r w:rsidRPr="00BE6460">
              <w:rPr>
                <w:rFonts w:ascii="GillSans Light" w:hAnsi="GillSans Light"/>
                <w:color w:val="auto"/>
              </w:rPr>
              <w:t>2015</w:t>
            </w:r>
          </w:p>
        </w:tc>
        <w:tc>
          <w:tcPr>
            <w:tcW w:w="578" w:type="dxa"/>
            <w:tcBorders>
              <w:top w:val="nil"/>
              <w:left w:val="nil"/>
              <w:bottom w:val="nil"/>
              <w:right w:val="nil"/>
            </w:tcBorders>
            <w:tcMar>
              <w:left w:w="45" w:type="dxa"/>
            </w:tcMar>
            <w:vAlign w:val="bottom"/>
          </w:tcPr>
          <w:p w:rsidR="00967C1E" w:rsidRPr="00BE6460" w:rsidRDefault="00967C1E" w:rsidP="00BF3DB7">
            <w:pPr>
              <w:rPr>
                <w:rFonts w:cs="Arial"/>
                <w:sz w:val="18"/>
                <w:szCs w:val="18"/>
              </w:rPr>
            </w:pPr>
          </w:p>
        </w:tc>
        <w:tc>
          <w:tcPr>
            <w:tcW w:w="1338" w:type="dxa"/>
            <w:tcBorders>
              <w:top w:val="nil"/>
              <w:left w:val="nil"/>
              <w:bottom w:val="nil"/>
              <w:right w:val="nil"/>
            </w:tcBorders>
            <w:tcMar>
              <w:left w:w="45" w:type="dxa"/>
            </w:tcMar>
            <w:vAlign w:val="bottom"/>
          </w:tcPr>
          <w:p w:rsidR="00967C1E" w:rsidRPr="00BE6460" w:rsidRDefault="00967C1E" w:rsidP="00BF3DB7">
            <w:pPr>
              <w:rPr>
                <w:rFonts w:cs="Arial"/>
                <w:sz w:val="18"/>
                <w:szCs w:val="18"/>
              </w:rPr>
            </w:pPr>
          </w:p>
        </w:tc>
        <w:tc>
          <w:tcPr>
            <w:tcW w:w="1224" w:type="dxa"/>
            <w:tcBorders>
              <w:top w:val="nil"/>
              <w:left w:val="nil"/>
              <w:bottom w:val="nil"/>
              <w:right w:val="nil"/>
            </w:tcBorders>
            <w:tcMar>
              <w:left w:w="0" w:type="dxa"/>
            </w:tcMar>
            <w:vAlign w:val="bottom"/>
          </w:tcPr>
          <w:p w:rsidR="00967C1E" w:rsidRPr="00BE6460" w:rsidRDefault="00967C1E" w:rsidP="00BF3DB7">
            <w:pPr>
              <w:rPr>
                <w:rFonts w:cs="Arial"/>
                <w:sz w:val="18"/>
                <w:szCs w:val="18"/>
              </w:rPr>
            </w:pP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spacing w:beforeLines="28" w:before="67" w:afterLines="28" w:after="67"/>
              <w:rPr>
                <w:rFonts w:cs="Arial"/>
                <w:sz w:val="18"/>
                <w:szCs w:val="18"/>
              </w:rPr>
            </w:pPr>
          </w:p>
        </w:tc>
        <w:tc>
          <w:tcPr>
            <w:tcW w:w="578" w:type="dxa"/>
            <w:tcBorders>
              <w:top w:val="nil"/>
              <w:left w:val="nil"/>
              <w:bottom w:val="nil"/>
              <w:right w:val="nil"/>
            </w:tcBorders>
            <w:tcMar>
              <w:left w:w="45" w:type="dxa"/>
            </w:tcMar>
            <w:vAlign w:val="bottom"/>
          </w:tcPr>
          <w:p w:rsidR="00967C1E" w:rsidRPr="00BE6460" w:rsidRDefault="00967C1E" w:rsidP="00514C20">
            <w:pPr>
              <w:spacing w:beforeLines="28" w:before="67" w:afterLines="28" w:after="67"/>
              <w:rPr>
                <w:rFonts w:cs="Arial"/>
                <w:sz w:val="18"/>
                <w:szCs w:val="18"/>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AYCHd"/>
              <w:spacing w:beforeLines="28" w:before="67" w:afterLines="28" w:after="67"/>
              <w:jc w:val="right"/>
              <w:rPr>
                <w:rFonts w:ascii="GillSans Light" w:hAnsi="GillSans Light"/>
                <w:color w:val="auto"/>
              </w:rPr>
            </w:pPr>
            <w:r w:rsidRPr="00BE6460">
              <w:rPr>
                <w:rFonts w:ascii="GillSans Light" w:hAnsi="GillSans Light"/>
                <w:color w:val="auto"/>
              </w:rPr>
              <w:t>Accumulated surpluses</w:t>
            </w:r>
          </w:p>
          <w:p w:rsidR="00967C1E" w:rsidRPr="00BE6460" w:rsidRDefault="00967C1E" w:rsidP="00514C20">
            <w:pPr>
              <w:pStyle w:val="SEQCPCl04AYCHd"/>
              <w:spacing w:beforeLines="28" w:before="67" w:afterLines="28" w:after="67"/>
              <w:jc w:val="right"/>
              <w:rPr>
                <w:rFonts w:ascii="GillSans Light" w:hAnsi="GillSans Light"/>
                <w:color w:val="auto"/>
                <w:sz w:val="18"/>
                <w:szCs w:val="18"/>
              </w:rPr>
            </w:pPr>
            <w:r w:rsidRPr="00BE6460">
              <w:rPr>
                <w:rFonts w:ascii="GillSans Light" w:hAnsi="GillSans Light"/>
                <w:color w:val="auto"/>
                <w:sz w:val="18"/>
                <w:szCs w:val="18"/>
              </w:rPr>
              <w:t>$</w:t>
            </w:r>
          </w:p>
        </w:tc>
        <w:tc>
          <w:tcPr>
            <w:tcW w:w="1224" w:type="dxa"/>
            <w:tcBorders>
              <w:top w:val="nil"/>
              <w:left w:val="nil"/>
              <w:bottom w:val="nil"/>
              <w:right w:val="nil"/>
            </w:tcBorders>
            <w:tcMar>
              <w:left w:w="0" w:type="dxa"/>
            </w:tcMar>
            <w:vAlign w:val="bottom"/>
          </w:tcPr>
          <w:p w:rsidR="00967C1E" w:rsidRPr="00BE6460" w:rsidRDefault="00967C1E" w:rsidP="00514C20">
            <w:pPr>
              <w:pStyle w:val="SEQPCl15AYCHd"/>
              <w:spacing w:beforeLines="28" w:before="67" w:afterLines="28" w:after="67"/>
              <w:jc w:val="right"/>
              <w:rPr>
                <w:rFonts w:ascii="GillSans Light" w:hAnsi="GillSans Light"/>
                <w:color w:val="auto"/>
              </w:rPr>
            </w:pPr>
            <w:r w:rsidRPr="00BE6460">
              <w:rPr>
                <w:rFonts w:ascii="GillSans Light" w:hAnsi="GillSans Light"/>
                <w:color w:val="auto"/>
              </w:rPr>
              <w:t>Total</w:t>
            </w:r>
          </w:p>
          <w:p w:rsidR="00967C1E" w:rsidRPr="00BE6460" w:rsidRDefault="00967C1E" w:rsidP="00514C20">
            <w:pPr>
              <w:pStyle w:val="SEQCPCl15AYCHd"/>
              <w:spacing w:beforeLines="28" w:before="67" w:afterLines="28" w:after="67"/>
              <w:jc w:val="right"/>
              <w:rPr>
                <w:rFonts w:ascii="GillSans Light" w:hAnsi="GillSans Light"/>
                <w:color w:val="auto"/>
                <w:sz w:val="18"/>
                <w:szCs w:val="18"/>
              </w:rPr>
            </w:pPr>
            <w:r w:rsidRPr="00BE6460">
              <w:rPr>
                <w:rFonts w:ascii="GillSans Light" w:hAnsi="GillSans Light"/>
                <w:color w:val="auto"/>
                <w:sz w:val="18"/>
                <w:szCs w:val="18"/>
              </w:rPr>
              <w:t>$</w:t>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ColHead"/>
              <w:spacing w:before="60" w:after="60"/>
              <w:rPr>
                <w:rFonts w:ascii="GillSans Light" w:hAnsi="GillSans Light"/>
                <w:color w:val="auto"/>
              </w:rPr>
            </w:pPr>
            <w:r w:rsidRPr="00BE6460">
              <w:rPr>
                <w:rFonts w:ascii="GillSans Light" w:hAnsi="GillSans Light"/>
                <w:color w:val="auto"/>
              </w:rPr>
              <w:t xml:space="preserve">Balance at 1 July 2014 </w:t>
            </w:r>
          </w:p>
        </w:tc>
        <w:tc>
          <w:tcPr>
            <w:tcW w:w="578" w:type="dxa"/>
            <w:tcBorders>
              <w:top w:val="nil"/>
              <w:left w:val="nil"/>
              <w:bottom w:val="nil"/>
              <w:right w:val="nil"/>
            </w:tcBorders>
            <w:tcMar>
              <w:left w:w="45" w:type="dxa"/>
            </w:tcMar>
          </w:tcPr>
          <w:p w:rsidR="00967C1E" w:rsidRPr="00BE6460" w:rsidRDefault="00967C1E" w:rsidP="00514C20">
            <w:pPr>
              <w:pStyle w:val="SEQNoteNo"/>
              <w:spacing w:before="60" w:after="60"/>
              <w:rPr>
                <w:rFonts w:ascii="GillSans Light" w:hAnsi="GillSans Light"/>
                <w:color w:val="auto"/>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AY"/>
              <w:tabs>
                <w:tab w:val="right" w:pos="1236"/>
                <w:tab w:val="left" w:pos="1262"/>
              </w:tabs>
              <w:spacing w:before="60" w:after="60"/>
              <w:rPr>
                <w:rFonts w:ascii="GillSans Light" w:hAnsi="GillSans Light"/>
                <w:color w:val="auto"/>
              </w:rPr>
            </w:pPr>
            <w:r w:rsidRPr="00BE6460">
              <w:rPr>
                <w:rFonts w:ascii="GillSans Light" w:hAnsi="GillSans Light"/>
                <w:color w:val="auto"/>
              </w:rPr>
              <w:tab/>
              <w:t>61,440</w:t>
            </w:r>
            <w:r w:rsidRPr="00BE6460">
              <w:rPr>
                <w:rFonts w:ascii="GillSans Light" w:hAnsi="GillSans Light"/>
                <w:color w:val="auto"/>
              </w:rPr>
              <w:tab/>
            </w:r>
          </w:p>
        </w:tc>
        <w:tc>
          <w:tcPr>
            <w:tcW w:w="1224" w:type="dxa"/>
            <w:tcBorders>
              <w:top w:val="nil"/>
              <w:left w:val="nil"/>
              <w:bottom w:val="nil"/>
              <w:right w:val="nil"/>
            </w:tcBorders>
            <w:tcMar>
              <w:left w:w="0" w:type="dxa"/>
            </w:tcMar>
            <w:vAlign w:val="bottom"/>
          </w:tcPr>
          <w:p w:rsidR="00967C1E" w:rsidRPr="00BE6460" w:rsidRDefault="00967C1E" w:rsidP="00514C20">
            <w:pPr>
              <w:pStyle w:val="SEQPCl15AY"/>
              <w:tabs>
                <w:tab w:val="right" w:pos="1169"/>
                <w:tab w:val="left" w:pos="1195"/>
              </w:tabs>
              <w:spacing w:before="60" w:after="60"/>
              <w:rPr>
                <w:rFonts w:ascii="GillSans Light" w:hAnsi="GillSans Light"/>
                <w:color w:val="auto"/>
              </w:rPr>
            </w:pPr>
            <w:r w:rsidRPr="00BE6460">
              <w:rPr>
                <w:rFonts w:ascii="GillSans Light" w:hAnsi="GillSans Light"/>
                <w:color w:val="auto"/>
              </w:rPr>
              <w:tab/>
              <w:t>61,440</w:t>
            </w:r>
            <w:r w:rsidRPr="00BE6460">
              <w:rPr>
                <w:rFonts w:ascii="GillSans Light" w:hAnsi="GillSans Light"/>
                <w:color w:val="auto"/>
              </w:rPr>
              <w:tab/>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
              <w:spacing w:before="60" w:after="60"/>
              <w:rPr>
                <w:rFonts w:ascii="GillSans Light" w:hAnsi="GillSans Light"/>
                <w:color w:val="auto"/>
              </w:rPr>
            </w:pPr>
            <w:r w:rsidRPr="00BE6460">
              <w:rPr>
                <w:rFonts w:ascii="GillSans Light" w:hAnsi="GillSans Light"/>
                <w:color w:val="auto"/>
              </w:rPr>
              <w:t>Net surplus/(deficit) for the year</w:t>
            </w:r>
          </w:p>
        </w:tc>
        <w:tc>
          <w:tcPr>
            <w:tcW w:w="578" w:type="dxa"/>
            <w:tcBorders>
              <w:top w:val="nil"/>
              <w:left w:val="nil"/>
              <w:bottom w:val="nil"/>
              <w:right w:val="nil"/>
            </w:tcBorders>
            <w:tcMar>
              <w:left w:w="45" w:type="dxa"/>
            </w:tcMar>
          </w:tcPr>
          <w:p w:rsidR="00967C1E" w:rsidRPr="00BE6460" w:rsidRDefault="00967C1E" w:rsidP="00514C20">
            <w:pPr>
              <w:pStyle w:val="SEQNoteNo"/>
              <w:spacing w:before="60" w:after="60"/>
              <w:rPr>
                <w:rFonts w:ascii="GillSans Light" w:hAnsi="GillSans Light"/>
                <w:color w:val="auto"/>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AY"/>
              <w:tabs>
                <w:tab w:val="right" w:pos="1236"/>
                <w:tab w:val="left" w:pos="1262"/>
              </w:tabs>
              <w:spacing w:before="60" w:after="60"/>
              <w:rPr>
                <w:rFonts w:ascii="GillSans Light" w:hAnsi="GillSans Light"/>
                <w:color w:val="auto"/>
              </w:rPr>
            </w:pPr>
            <w:r w:rsidRPr="00BE6460">
              <w:rPr>
                <w:rFonts w:ascii="GillSans Light" w:hAnsi="GillSans Light"/>
                <w:color w:val="auto"/>
              </w:rPr>
              <w:tab/>
              <w:t>30,544</w:t>
            </w:r>
            <w:r w:rsidRPr="00BE6460">
              <w:rPr>
                <w:rFonts w:ascii="GillSans Light" w:hAnsi="GillSans Light"/>
                <w:color w:val="auto"/>
              </w:rPr>
              <w:tab/>
            </w:r>
          </w:p>
        </w:tc>
        <w:tc>
          <w:tcPr>
            <w:tcW w:w="1224" w:type="dxa"/>
            <w:tcBorders>
              <w:top w:val="nil"/>
              <w:left w:val="nil"/>
              <w:bottom w:val="nil"/>
              <w:right w:val="nil"/>
            </w:tcBorders>
            <w:tcMar>
              <w:left w:w="0" w:type="dxa"/>
            </w:tcMar>
            <w:vAlign w:val="bottom"/>
          </w:tcPr>
          <w:p w:rsidR="00967C1E" w:rsidRPr="00BE6460" w:rsidRDefault="00967C1E" w:rsidP="00514C20">
            <w:pPr>
              <w:pStyle w:val="SEQPCl15AY"/>
              <w:tabs>
                <w:tab w:val="right" w:pos="1169"/>
                <w:tab w:val="left" w:pos="1195"/>
              </w:tabs>
              <w:spacing w:before="60" w:after="60"/>
              <w:rPr>
                <w:rFonts w:ascii="GillSans Light" w:hAnsi="GillSans Light"/>
                <w:color w:val="auto"/>
              </w:rPr>
            </w:pPr>
            <w:r w:rsidRPr="00BE6460">
              <w:rPr>
                <w:rFonts w:ascii="GillSans Light" w:hAnsi="GillSans Light"/>
                <w:color w:val="auto"/>
              </w:rPr>
              <w:tab/>
              <w:t>30,544</w:t>
            </w:r>
            <w:r w:rsidRPr="00BE6460">
              <w:rPr>
                <w:rFonts w:ascii="GillSans Light" w:hAnsi="GillSans Light"/>
                <w:color w:val="auto"/>
              </w:rPr>
              <w:tab/>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S"/>
              <w:spacing w:before="60" w:after="60"/>
              <w:rPr>
                <w:rFonts w:ascii="GillSans Light" w:hAnsi="GillSans Light"/>
                <w:color w:val="auto"/>
              </w:rPr>
            </w:pPr>
            <w:r w:rsidRPr="00BE6460">
              <w:rPr>
                <w:rFonts w:ascii="GillSans Light" w:hAnsi="GillSans Light"/>
                <w:color w:val="auto"/>
              </w:rPr>
              <w:t>Balance at 30 June 2015</w:t>
            </w:r>
          </w:p>
        </w:tc>
        <w:tc>
          <w:tcPr>
            <w:tcW w:w="578" w:type="dxa"/>
            <w:tcBorders>
              <w:top w:val="nil"/>
              <w:left w:val="nil"/>
              <w:bottom w:val="nil"/>
              <w:right w:val="nil"/>
            </w:tcBorders>
            <w:tcMar>
              <w:left w:w="45" w:type="dxa"/>
            </w:tcMar>
          </w:tcPr>
          <w:p w:rsidR="00967C1E" w:rsidRPr="00BE6460" w:rsidRDefault="00967C1E" w:rsidP="00514C20">
            <w:pPr>
              <w:spacing w:before="60" w:after="60" w:line="240" w:lineRule="auto"/>
              <w:rPr>
                <w:rFonts w:cs="Arial"/>
                <w:sz w:val="18"/>
                <w:szCs w:val="18"/>
              </w:rPr>
            </w:pPr>
          </w:p>
        </w:tc>
        <w:tc>
          <w:tcPr>
            <w:tcW w:w="1338" w:type="dxa"/>
            <w:tcBorders>
              <w:top w:val="single" w:sz="8" w:space="0" w:color="000000"/>
              <w:left w:val="nil"/>
              <w:bottom w:val="double" w:sz="6" w:space="0" w:color="000000"/>
              <w:right w:val="nil"/>
            </w:tcBorders>
            <w:tcMar>
              <w:left w:w="45" w:type="dxa"/>
            </w:tcMar>
            <w:vAlign w:val="bottom"/>
          </w:tcPr>
          <w:p w:rsidR="00967C1E" w:rsidRPr="00BE6460" w:rsidRDefault="00967C1E" w:rsidP="00514C20">
            <w:pPr>
              <w:pStyle w:val="SEQPCl04AYS"/>
              <w:tabs>
                <w:tab w:val="right" w:pos="1236"/>
                <w:tab w:val="left" w:pos="1262"/>
              </w:tabs>
              <w:spacing w:before="60" w:after="60"/>
              <w:rPr>
                <w:rFonts w:ascii="GillSans Light" w:hAnsi="GillSans Light"/>
                <w:color w:val="auto"/>
              </w:rPr>
            </w:pPr>
            <w:r w:rsidRPr="00BE6460">
              <w:rPr>
                <w:rFonts w:ascii="GillSans Light" w:hAnsi="GillSans Light"/>
                <w:color w:val="auto"/>
              </w:rPr>
              <w:tab/>
              <w:t>91,984</w:t>
            </w:r>
            <w:r w:rsidRPr="00BE6460">
              <w:rPr>
                <w:rFonts w:ascii="GillSans Light" w:hAnsi="GillSans Light"/>
                <w:color w:val="auto"/>
              </w:rPr>
              <w:tab/>
            </w:r>
          </w:p>
        </w:tc>
        <w:tc>
          <w:tcPr>
            <w:tcW w:w="1224" w:type="dxa"/>
            <w:tcBorders>
              <w:top w:val="single" w:sz="8" w:space="0" w:color="000000"/>
              <w:left w:val="nil"/>
              <w:bottom w:val="double" w:sz="6" w:space="0" w:color="000000"/>
              <w:right w:val="nil"/>
            </w:tcBorders>
            <w:tcMar>
              <w:left w:w="0" w:type="dxa"/>
            </w:tcMar>
            <w:vAlign w:val="bottom"/>
          </w:tcPr>
          <w:p w:rsidR="00967C1E" w:rsidRPr="00BE6460" w:rsidRDefault="00967C1E" w:rsidP="00514C20">
            <w:pPr>
              <w:pStyle w:val="SEQPCl15AYS"/>
              <w:tabs>
                <w:tab w:val="right" w:pos="1169"/>
                <w:tab w:val="left" w:pos="1195"/>
              </w:tabs>
              <w:spacing w:before="60" w:after="60"/>
              <w:rPr>
                <w:rFonts w:ascii="GillSans Light" w:hAnsi="GillSans Light"/>
                <w:color w:val="auto"/>
              </w:rPr>
            </w:pPr>
            <w:r w:rsidRPr="00BE6460">
              <w:rPr>
                <w:rFonts w:ascii="GillSans Light" w:hAnsi="GillSans Light"/>
                <w:color w:val="auto"/>
              </w:rPr>
              <w:tab/>
              <w:t>91,984</w:t>
            </w:r>
            <w:r w:rsidRPr="00BE6460">
              <w:rPr>
                <w:rFonts w:ascii="GillSans Light" w:hAnsi="GillSans Light"/>
                <w:color w:val="auto"/>
              </w:rPr>
              <w:tab/>
            </w:r>
          </w:p>
        </w:tc>
      </w:tr>
    </w:tbl>
    <w:p w:rsidR="00967C1E" w:rsidRPr="00BE6460" w:rsidRDefault="00967C1E" w:rsidP="00514C20">
      <w:pPr>
        <w:spacing w:before="60" w:after="60" w:line="240" w:lineRule="auto"/>
        <w:rPr>
          <w:sz w:val="18"/>
          <w:szCs w:val="18"/>
        </w:rPr>
      </w:pPr>
    </w:p>
    <w:tbl>
      <w:tblPr>
        <w:tblW w:w="0" w:type="auto"/>
        <w:tblInd w:w="73" w:type="dxa"/>
        <w:tblLayout w:type="fixed"/>
        <w:tblCellMar>
          <w:left w:w="0" w:type="dxa"/>
          <w:right w:w="28" w:type="dxa"/>
        </w:tblCellMar>
        <w:tblLook w:val="0000" w:firstRow="0" w:lastRow="0" w:firstColumn="0" w:lastColumn="0" w:noHBand="0" w:noVBand="0"/>
      </w:tblPr>
      <w:tblGrid>
        <w:gridCol w:w="5812"/>
        <w:gridCol w:w="578"/>
        <w:gridCol w:w="1338"/>
        <w:gridCol w:w="1224"/>
      </w:tblGrid>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CHd2"/>
              <w:spacing w:before="60" w:after="60" w:line="240" w:lineRule="auto"/>
              <w:rPr>
                <w:rFonts w:ascii="GillSans Light" w:hAnsi="GillSans Light"/>
                <w:color w:val="auto"/>
              </w:rPr>
            </w:pPr>
            <w:r w:rsidRPr="00BE6460">
              <w:rPr>
                <w:rFonts w:ascii="GillSans Light" w:hAnsi="GillSans Light"/>
                <w:color w:val="auto"/>
              </w:rPr>
              <w:t>2014</w:t>
            </w:r>
          </w:p>
        </w:tc>
        <w:tc>
          <w:tcPr>
            <w:tcW w:w="578" w:type="dxa"/>
            <w:tcBorders>
              <w:top w:val="nil"/>
              <w:left w:val="nil"/>
              <w:bottom w:val="nil"/>
              <w:right w:val="nil"/>
            </w:tcBorders>
            <w:tcMar>
              <w:left w:w="45" w:type="dxa"/>
            </w:tcMar>
            <w:vAlign w:val="bottom"/>
          </w:tcPr>
          <w:p w:rsidR="00967C1E" w:rsidRPr="00BE6460" w:rsidRDefault="00967C1E" w:rsidP="00514C20">
            <w:pPr>
              <w:spacing w:before="60" w:after="60" w:line="240" w:lineRule="auto"/>
              <w:rPr>
                <w:rFonts w:cs="Arial"/>
                <w:sz w:val="18"/>
                <w:szCs w:val="18"/>
              </w:rPr>
            </w:pPr>
          </w:p>
        </w:tc>
        <w:tc>
          <w:tcPr>
            <w:tcW w:w="1338" w:type="dxa"/>
            <w:tcBorders>
              <w:top w:val="nil"/>
              <w:left w:val="nil"/>
              <w:bottom w:val="nil"/>
              <w:right w:val="nil"/>
            </w:tcBorders>
            <w:tcMar>
              <w:left w:w="45" w:type="dxa"/>
            </w:tcMar>
            <w:vAlign w:val="bottom"/>
          </w:tcPr>
          <w:p w:rsidR="00967C1E" w:rsidRPr="00BE6460" w:rsidRDefault="00967C1E" w:rsidP="00514C20">
            <w:pPr>
              <w:spacing w:before="60" w:after="60" w:line="240" w:lineRule="auto"/>
              <w:rPr>
                <w:rFonts w:cs="Arial"/>
                <w:sz w:val="18"/>
                <w:szCs w:val="18"/>
              </w:rPr>
            </w:pPr>
          </w:p>
        </w:tc>
        <w:tc>
          <w:tcPr>
            <w:tcW w:w="1224" w:type="dxa"/>
            <w:tcBorders>
              <w:top w:val="nil"/>
              <w:left w:val="nil"/>
              <w:bottom w:val="nil"/>
              <w:right w:val="nil"/>
            </w:tcBorders>
            <w:tcMar>
              <w:left w:w="0" w:type="dxa"/>
            </w:tcMar>
            <w:vAlign w:val="bottom"/>
          </w:tcPr>
          <w:p w:rsidR="00967C1E" w:rsidRPr="00BE6460" w:rsidRDefault="00967C1E" w:rsidP="00514C20">
            <w:pPr>
              <w:spacing w:before="60" w:after="60" w:line="240" w:lineRule="auto"/>
              <w:rPr>
                <w:rFonts w:cs="Arial"/>
                <w:sz w:val="18"/>
                <w:szCs w:val="18"/>
              </w:rPr>
            </w:pP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spacing w:before="60" w:after="60" w:line="240" w:lineRule="auto"/>
              <w:rPr>
                <w:rFonts w:cs="Arial"/>
                <w:sz w:val="18"/>
                <w:szCs w:val="18"/>
              </w:rPr>
            </w:pPr>
          </w:p>
        </w:tc>
        <w:tc>
          <w:tcPr>
            <w:tcW w:w="578" w:type="dxa"/>
            <w:tcBorders>
              <w:top w:val="nil"/>
              <w:left w:val="nil"/>
              <w:bottom w:val="nil"/>
              <w:right w:val="nil"/>
            </w:tcBorders>
            <w:tcMar>
              <w:left w:w="45" w:type="dxa"/>
            </w:tcMar>
            <w:vAlign w:val="bottom"/>
          </w:tcPr>
          <w:p w:rsidR="00967C1E" w:rsidRPr="00BE6460" w:rsidRDefault="00967C1E" w:rsidP="00514C20">
            <w:pPr>
              <w:spacing w:before="60" w:after="60" w:line="240" w:lineRule="auto"/>
              <w:rPr>
                <w:rFonts w:cs="Arial"/>
                <w:sz w:val="18"/>
                <w:szCs w:val="18"/>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PYCHd"/>
              <w:spacing w:before="60" w:after="60"/>
              <w:jc w:val="right"/>
              <w:rPr>
                <w:rFonts w:ascii="GillSans Light" w:hAnsi="GillSans Light"/>
                <w:color w:val="auto"/>
              </w:rPr>
            </w:pPr>
            <w:r w:rsidRPr="00BE6460">
              <w:rPr>
                <w:rFonts w:ascii="GillSans Light" w:hAnsi="GillSans Light"/>
                <w:color w:val="auto"/>
              </w:rPr>
              <w:t>Accumulated surpluses</w:t>
            </w:r>
          </w:p>
          <w:p w:rsidR="00967C1E" w:rsidRPr="00BE6460" w:rsidRDefault="00967C1E" w:rsidP="00514C20">
            <w:pPr>
              <w:pStyle w:val="SEQCPCl04PYCHd"/>
              <w:spacing w:before="60" w:after="60"/>
              <w:jc w:val="right"/>
              <w:rPr>
                <w:rFonts w:ascii="GillSans Light" w:hAnsi="GillSans Light"/>
                <w:color w:val="auto"/>
                <w:sz w:val="18"/>
                <w:szCs w:val="18"/>
              </w:rPr>
            </w:pPr>
            <w:r w:rsidRPr="00BE6460">
              <w:rPr>
                <w:rFonts w:ascii="GillSans Light" w:hAnsi="GillSans Light"/>
                <w:color w:val="auto"/>
                <w:sz w:val="18"/>
                <w:szCs w:val="18"/>
              </w:rPr>
              <w:t>$</w:t>
            </w:r>
          </w:p>
        </w:tc>
        <w:tc>
          <w:tcPr>
            <w:tcW w:w="1224" w:type="dxa"/>
            <w:tcBorders>
              <w:top w:val="nil"/>
              <w:left w:val="nil"/>
              <w:bottom w:val="nil"/>
              <w:right w:val="nil"/>
            </w:tcBorders>
            <w:tcMar>
              <w:left w:w="0" w:type="dxa"/>
            </w:tcMar>
            <w:vAlign w:val="bottom"/>
          </w:tcPr>
          <w:p w:rsidR="00967C1E" w:rsidRPr="00BE6460" w:rsidRDefault="00967C1E" w:rsidP="00514C20">
            <w:pPr>
              <w:pStyle w:val="SEQPCl15PYCHd"/>
              <w:spacing w:before="60" w:after="60"/>
              <w:jc w:val="right"/>
              <w:rPr>
                <w:rFonts w:ascii="GillSans Light" w:hAnsi="GillSans Light"/>
                <w:color w:val="auto"/>
              </w:rPr>
            </w:pPr>
            <w:r w:rsidRPr="00BE6460">
              <w:rPr>
                <w:rFonts w:ascii="GillSans Light" w:hAnsi="GillSans Light"/>
                <w:color w:val="auto"/>
              </w:rPr>
              <w:t>Total</w:t>
            </w:r>
          </w:p>
          <w:p w:rsidR="00967C1E" w:rsidRPr="00BE6460" w:rsidRDefault="00967C1E" w:rsidP="00514C20">
            <w:pPr>
              <w:pStyle w:val="SEQCPCl15PYCHd"/>
              <w:spacing w:before="60" w:after="60"/>
              <w:jc w:val="right"/>
              <w:rPr>
                <w:rFonts w:ascii="GillSans Light" w:hAnsi="GillSans Light"/>
                <w:color w:val="auto"/>
                <w:sz w:val="18"/>
                <w:szCs w:val="18"/>
              </w:rPr>
            </w:pPr>
            <w:r w:rsidRPr="00BE6460">
              <w:rPr>
                <w:rFonts w:ascii="GillSans Light" w:hAnsi="GillSans Light"/>
                <w:color w:val="auto"/>
                <w:sz w:val="18"/>
                <w:szCs w:val="18"/>
              </w:rPr>
              <w:t>$</w:t>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ColHead"/>
              <w:spacing w:before="60" w:after="60"/>
              <w:rPr>
                <w:rFonts w:ascii="GillSans Light" w:hAnsi="GillSans Light"/>
                <w:color w:val="auto"/>
              </w:rPr>
            </w:pPr>
            <w:r w:rsidRPr="00BE6460">
              <w:rPr>
                <w:rFonts w:ascii="GillSans Light" w:hAnsi="GillSans Light"/>
                <w:color w:val="auto"/>
              </w:rPr>
              <w:t xml:space="preserve">Balance at 1 July 2013 </w:t>
            </w:r>
          </w:p>
        </w:tc>
        <w:tc>
          <w:tcPr>
            <w:tcW w:w="578" w:type="dxa"/>
            <w:tcBorders>
              <w:top w:val="nil"/>
              <w:left w:val="nil"/>
              <w:bottom w:val="nil"/>
              <w:right w:val="nil"/>
            </w:tcBorders>
            <w:tcMar>
              <w:left w:w="45" w:type="dxa"/>
            </w:tcMar>
          </w:tcPr>
          <w:p w:rsidR="00967C1E" w:rsidRPr="00BE6460" w:rsidRDefault="00967C1E" w:rsidP="00514C20">
            <w:pPr>
              <w:pStyle w:val="SEQNoteNo"/>
              <w:spacing w:before="60" w:after="60"/>
              <w:rPr>
                <w:rFonts w:ascii="GillSans Light" w:hAnsi="GillSans Light"/>
                <w:color w:val="auto"/>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PY"/>
              <w:tabs>
                <w:tab w:val="right" w:pos="1236"/>
                <w:tab w:val="left" w:pos="1262"/>
              </w:tabs>
              <w:spacing w:before="60" w:after="60"/>
              <w:rPr>
                <w:rFonts w:ascii="GillSans Light" w:hAnsi="GillSans Light"/>
                <w:color w:val="auto"/>
              </w:rPr>
            </w:pPr>
            <w:r w:rsidRPr="00BE6460">
              <w:rPr>
                <w:rFonts w:ascii="GillSans Light" w:hAnsi="GillSans Light"/>
                <w:color w:val="auto"/>
              </w:rPr>
              <w:tab/>
              <w:t>34,147</w:t>
            </w:r>
            <w:r w:rsidRPr="00BE6460">
              <w:rPr>
                <w:rFonts w:ascii="GillSans Light" w:hAnsi="GillSans Light"/>
                <w:color w:val="auto"/>
              </w:rPr>
              <w:tab/>
            </w:r>
          </w:p>
        </w:tc>
        <w:tc>
          <w:tcPr>
            <w:tcW w:w="1224" w:type="dxa"/>
            <w:tcBorders>
              <w:top w:val="nil"/>
              <w:left w:val="nil"/>
              <w:bottom w:val="nil"/>
              <w:right w:val="nil"/>
            </w:tcBorders>
            <w:tcMar>
              <w:left w:w="0" w:type="dxa"/>
            </w:tcMar>
            <w:vAlign w:val="bottom"/>
          </w:tcPr>
          <w:p w:rsidR="00967C1E" w:rsidRPr="00BE6460" w:rsidRDefault="00967C1E" w:rsidP="00514C20">
            <w:pPr>
              <w:pStyle w:val="SEQPCl15PY"/>
              <w:tabs>
                <w:tab w:val="right" w:pos="1169"/>
                <w:tab w:val="left" w:pos="1195"/>
              </w:tabs>
              <w:spacing w:before="60" w:after="60"/>
              <w:rPr>
                <w:rFonts w:ascii="GillSans Light" w:hAnsi="GillSans Light"/>
                <w:color w:val="auto"/>
              </w:rPr>
            </w:pPr>
            <w:r w:rsidRPr="00BE6460">
              <w:rPr>
                <w:rFonts w:ascii="GillSans Light" w:hAnsi="GillSans Light"/>
                <w:color w:val="auto"/>
              </w:rPr>
              <w:tab/>
              <w:t>34,147</w:t>
            </w:r>
            <w:r w:rsidRPr="00BE6460">
              <w:rPr>
                <w:rFonts w:ascii="GillSans Light" w:hAnsi="GillSans Light"/>
                <w:color w:val="auto"/>
              </w:rPr>
              <w:tab/>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
              <w:spacing w:before="60" w:after="60"/>
              <w:rPr>
                <w:rFonts w:ascii="GillSans Light" w:hAnsi="GillSans Light"/>
                <w:color w:val="auto"/>
              </w:rPr>
            </w:pPr>
            <w:r w:rsidRPr="00BE6460">
              <w:rPr>
                <w:rFonts w:ascii="GillSans Light" w:hAnsi="GillSans Light"/>
                <w:color w:val="auto"/>
              </w:rPr>
              <w:t>Net surplus/(deficit) for the year</w:t>
            </w:r>
          </w:p>
        </w:tc>
        <w:tc>
          <w:tcPr>
            <w:tcW w:w="578" w:type="dxa"/>
            <w:tcBorders>
              <w:top w:val="nil"/>
              <w:left w:val="nil"/>
              <w:bottom w:val="nil"/>
              <w:right w:val="nil"/>
            </w:tcBorders>
            <w:tcMar>
              <w:left w:w="45" w:type="dxa"/>
            </w:tcMar>
          </w:tcPr>
          <w:p w:rsidR="00967C1E" w:rsidRPr="00BE6460" w:rsidRDefault="00967C1E" w:rsidP="00514C20">
            <w:pPr>
              <w:pStyle w:val="SEQNoteNo"/>
              <w:spacing w:before="60" w:after="60"/>
              <w:rPr>
                <w:rFonts w:ascii="GillSans Light" w:hAnsi="GillSans Light"/>
                <w:color w:val="auto"/>
              </w:rPr>
            </w:pPr>
          </w:p>
        </w:tc>
        <w:tc>
          <w:tcPr>
            <w:tcW w:w="1338" w:type="dxa"/>
            <w:tcBorders>
              <w:top w:val="nil"/>
              <w:left w:val="nil"/>
              <w:bottom w:val="nil"/>
              <w:right w:val="nil"/>
            </w:tcBorders>
            <w:tcMar>
              <w:left w:w="45" w:type="dxa"/>
            </w:tcMar>
            <w:vAlign w:val="bottom"/>
          </w:tcPr>
          <w:p w:rsidR="00967C1E" w:rsidRPr="00BE6460" w:rsidRDefault="00967C1E" w:rsidP="00514C20">
            <w:pPr>
              <w:pStyle w:val="SEQPCl04PY"/>
              <w:tabs>
                <w:tab w:val="right" w:pos="1236"/>
                <w:tab w:val="left" w:pos="1262"/>
              </w:tabs>
              <w:spacing w:before="60" w:after="60"/>
              <w:rPr>
                <w:rFonts w:ascii="GillSans Light" w:hAnsi="GillSans Light"/>
                <w:color w:val="auto"/>
              </w:rPr>
            </w:pPr>
            <w:r w:rsidRPr="00BE6460">
              <w:rPr>
                <w:rFonts w:ascii="GillSans Light" w:hAnsi="GillSans Light"/>
                <w:color w:val="auto"/>
              </w:rPr>
              <w:tab/>
              <w:t>27,293</w:t>
            </w:r>
            <w:r w:rsidRPr="00BE6460">
              <w:rPr>
                <w:rFonts w:ascii="GillSans Light" w:hAnsi="GillSans Light"/>
                <w:color w:val="auto"/>
              </w:rPr>
              <w:tab/>
            </w:r>
          </w:p>
        </w:tc>
        <w:tc>
          <w:tcPr>
            <w:tcW w:w="1224" w:type="dxa"/>
            <w:tcBorders>
              <w:top w:val="nil"/>
              <w:left w:val="nil"/>
              <w:bottom w:val="nil"/>
              <w:right w:val="nil"/>
            </w:tcBorders>
            <w:tcMar>
              <w:left w:w="0" w:type="dxa"/>
            </w:tcMar>
            <w:vAlign w:val="bottom"/>
          </w:tcPr>
          <w:p w:rsidR="00967C1E" w:rsidRPr="00BE6460" w:rsidRDefault="00967C1E" w:rsidP="00514C20">
            <w:pPr>
              <w:pStyle w:val="SEQPCl15PY"/>
              <w:tabs>
                <w:tab w:val="right" w:pos="1169"/>
                <w:tab w:val="left" w:pos="1195"/>
              </w:tabs>
              <w:spacing w:before="60" w:after="60"/>
              <w:rPr>
                <w:rFonts w:ascii="GillSans Light" w:hAnsi="GillSans Light"/>
                <w:color w:val="auto"/>
              </w:rPr>
            </w:pPr>
            <w:r w:rsidRPr="00BE6460">
              <w:rPr>
                <w:rFonts w:ascii="GillSans Light" w:hAnsi="GillSans Light"/>
                <w:color w:val="auto"/>
              </w:rPr>
              <w:tab/>
              <w:t>27,293</w:t>
            </w:r>
            <w:r w:rsidRPr="00BE6460">
              <w:rPr>
                <w:rFonts w:ascii="GillSans Light" w:hAnsi="GillSans Light"/>
                <w:color w:val="auto"/>
              </w:rPr>
              <w:tab/>
            </w:r>
          </w:p>
        </w:tc>
      </w:tr>
      <w:tr w:rsidR="005B2186" w:rsidRPr="00BE6460" w:rsidTr="005B2186">
        <w:tc>
          <w:tcPr>
            <w:tcW w:w="5812" w:type="dxa"/>
            <w:tcBorders>
              <w:top w:val="nil"/>
              <w:left w:val="nil"/>
              <w:bottom w:val="nil"/>
              <w:right w:val="nil"/>
            </w:tcBorders>
            <w:tcMar>
              <w:left w:w="73" w:type="dxa"/>
            </w:tcMar>
            <w:vAlign w:val="bottom"/>
          </w:tcPr>
          <w:p w:rsidR="00967C1E" w:rsidRPr="00BE6460" w:rsidRDefault="00967C1E" w:rsidP="00514C20">
            <w:pPr>
              <w:pStyle w:val="SEQDescS"/>
              <w:spacing w:before="60" w:after="60"/>
              <w:rPr>
                <w:rFonts w:ascii="GillSans Light" w:hAnsi="GillSans Light"/>
                <w:color w:val="auto"/>
              </w:rPr>
            </w:pPr>
            <w:r w:rsidRPr="00BE6460">
              <w:rPr>
                <w:rFonts w:ascii="GillSans Light" w:hAnsi="GillSans Light"/>
                <w:color w:val="auto"/>
              </w:rPr>
              <w:t>Balance at 30 June 2014</w:t>
            </w:r>
          </w:p>
        </w:tc>
        <w:tc>
          <w:tcPr>
            <w:tcW w:w="578" w:type="dxa"/>
            <w:tcBorders>
              <w:top w:val="nil"/>
              <w:left w:val="nil"/>
              <w:bottom w:val="nil"/>
              <w:right w:val="nil"/>
            </w:tcBorders>
            <w:tcMar>
              <w:left w:w="45" w:type="dxa"/>
            </w:tcMar>
          </w:tcPr>
          <w:p w:rsidR="00967C1E" w:rsidRPr="00BE6460" w:rsidRDefault="00967C1E" w:rsidP="00514C20">
            <w:pPr>
              <w:spacing w:before="60" w:after="60" w:line="240" w:lineRule="auto"/>
              <w:rPr>
                <w:rFonts w:cs="Arial"/>
                <w:sz w:val="18"/>
                <w:szCs w:val="18"/>
              </w:rPr>
            </w:pPr>
          </w:p>
        </w:tc>
        <w:tc>
          <w:tcPr>
            <w:tcW w:w="1338" w:type="dxa"/>
            <w:tcBorders>
              <w:top w:val="single" w:sz="8" w:space="0" w:color="000000"/>
              <w:left w:val="nil"/>
              <w:bottom w:val="double" w:sz="6" w:space="0" w:color="000000"/>
              <w:right w:val="nil"/>
            </w:tcBorders>
            <w:tcMar>
              <w:left w:w="45" w:type="dxa"/>
            </w:tcMar>
            <w:vAlign w:val="bottom"/>
          </w:tcPr>
          <w:p w:rsidR="00967C1E" w:rsidRPr="00BE6460" w:rsidRDefault="00967C1E" w:rsidP="00514C20">
            <w:pPr>
              <w:pStyle w:val="SEQPCl04PYS"/>
              <w:tabs>
                <w:tab w:val="right" w:pos="1236"/>
                <w:tab w:val="left" w:pos="1262"/>
              </w:tabs>
              <w:spacing w:before="60" w:after="60"/>
              <w:rPr>
                <w:rFonts w:ascii="GillSans Light" w:hAnsi="GillSans Light"/>
                <w:color w:val="auto"/>
              </w:rPr>
            </w:pPr>
            <w:r w:rsidRPr="00BE6460">
              <w:rPr>
                <w:rFonts w:ascii="GillSans Light" w:hAnsi="GillSans Light"/>
                <w:color w:val="auto"/>
              </w:rPr>
              <w:tab/>
              <w:t>61,440</w:t>
            </w:r>
            <w:r w:rsidRPr="00BE6460">
              <w:rPr>
                <w:rFonts w:ascii="GillSans Light" w:hAnsi="GillSans Light"/>
                <w:color w:val="auto"/>
              </w:rPr>
              <w:tab/>
            </w:r>
          </w:p>
        </w:tc>
        <w:tc>
          <w:tcPr>
            <w:tcW w:w="1224" w:type="dxa"/>
            <w:tcBorders>
              <w:top w:val="single" w:sz="8" w:space="0" w:color="000000"/>
              <w:left w:val="nil"/>
              <w:bottom w:val="double" w:sz="6" w:space="0" w:color="000000"/>
              <w:right w:val="nil"/>
            </w:tcBorders>
            <w:tcMar>
              <w:left w:w="0" w:type="dxa"/>
            </w:tcMar>
            <w:vAlign w:val="bottom"/>
          </w:tcPr>
          <w:p w:rsidR="00967C1E" w:rsidRPr="00BE6460" w:rsidRDefault="00967C1E" w:rsidP="00514C20">
            <w:pPr>
              <w:pStyle w:val="SEQPCl15PYS"/>
              <w:tabs>
                <w:tab w:val="right" w:pos="1169"/>
                <w:tab w:val="left" w:pos="1195"/>
              </w:tabs>
              <w:spacing w:before="60" w:after="60"/>
              <w:rPr>
                <w:rFonts w:ascii="GillSans Light" w:hAnsi="GillSans Light"/>
                <w:color w:val="auto"/>
              </w:rPr>
            </w:pPr>
            <w:r w:rsidRPr="00BE6460">
              <w:rPr>
                <w:rFonts w:ascii="GillSans Light" w:hAnsi="GillSans Light"/>
                <w:color w:val="auto"/>
              </w:rPr>
              <w:tab/>
              <w:t>61,440</w:t>
            </w:r>
            <w:r w:rsidRPr="00BE6460">
              <w:rPr>
                <w:rFonts w:ascii="GillSans Light" w:hAnsi="GillSans Light"/>
                <w:color w:val="auto"/>
              </w:rPr>
              <w:tab/>
            </w:r>
          </w:p>
        </w:tc>
      </w:tr>
    </w:tbl>
    <w:p w:rsidR="005B2186" w:rsidRPr="00330077" w:rsidRDefault="005B2186" w:rsidP="006A51DD"/>
    <w:p w:rsidR="005B2186" w:rsidRPr="00330077" w:rsidRDefault="005B2186">
      <w:pPr>
        <w:tabs>
          <w:tab w:val="clear" w:pos="567"/>
        </w:tabs>
        <w:spacing w:after="200" w:line="276" w:lineRule="auto"/>
      </w:pPr>
      <w:r w:rsidRPr="00330077">
        <w:br w:type="page"/>
      </w:r>
    </w:p>
    <w:p w:rsidR="00967C1E" w:rsidRPr="00330077" w:rsidRDefault="005B2186" w:rsidP="00BF3DB7">
      <w:pPr>
        <w:pStyle w:val="Heading3"/>
      </w:pPr>
      <w:r w:rsidRPr="00330077">
        <w:lastRenderedPageBreak/>
        <w:t>Tasmanian Pharmacy Authority</w:t>
      </w:r>
    </w:p>
    <w:p w:rsidR="005B2186" w:rsidRPr="00330077" w:rsidRDefault="005B2186" w:rsidP="006A51DD">
      <w:r w:rsidRPr="00330077">
        <w:t>Statement of Cash Flows</w:t>
      </w:r>
    </w:p>
    <w:p w:rsidR="005B2186" w:rsidRPr="00330077" w:rsidRDefault="005B2186" w:rsidP="006A51DD">
      <w:r w:rsidRPr="00330077">
        <w:t>For the Year Ended 30 June 2015</w:t>
      </w:r>
    </w:p>
    <w:p w:rsidR="005B2186" w:rsidRDefault="005B2186" w:rsidP="006A51DD"/>
    <w:p w:rsidR="0040029D" w:rsidRPr="00330077" w:rsidRDefault="0040029D" w:rsidP="006A51DD"/>
    <w:tbl>
      <w:tblPr>
        <w:tblW w:w="8987" w:type="dxa"/>
        <w:tblInd w:w="28" w:type="dxa"/>
        <w:tblLayout w:type="fixed"/>
        <w:tblCellMar>
          <w:left w:w="28" w:type="dxa"/>
          <w:right w:w="0" w:type="dxa"/>
        </w:tblCellMar>
        <w:tblLook w:val="0000" w:firstRow="0" w:lastRow="0" w:firstColumn="0" w:lastColumn="0" w:noHBand="0" w:noVBand="0"/>
      </w:tblPr>
      <w:tblGrid>
        <w:gridCol w:w="5812"/>
        <w:gridCol w:w="578"/>
        <w:gridCol w:w="1298"/>
        <w:gridCol w:w="1299"/>
      </w:tblGrid>
      <w:tr w:rsidR="005B2186" w:rsidRPr="00BE6460" w:rsidTr="005B2186">
        <w:tc>
          <w:tcPr>
            <w:tcW w:w="5812" w:type="dxa"/>
            <w:tcBorders>
              <w:top w:val="nil"/>
              <w:left w:val="nil"/>
              <w:bottom w:val="nil"/>
              <w:right w:val="nil"/>
            </w:tcBorders>
            <w:tcMar>
              <w:right w:w="28" w:type="dxa"/>
            </w:tcMar>
            <w:vAlign w:val="bottom"/>
          </w:tcPr>
          <w:p w:rsidR="005B2186" w:rsidRPr="00BE6460" w:rsidRDefault="005B2186" w:rsidP="00BF3DB7">
            <w:pPr>
              <w:rPr>
                <w:rFonts w:cs="Arial"/>
                <w:sz w:val="18"/>
                <w:szCs w:val="18"/>
              </w:rPr>
            </w:pPr>
          </w:p>
        </w:tc>
        <w:tc>
          <w:tcPr>
            <w:tcW w:w="578" w:type="dxa"/>
            <w:tcBorders>
              <w:top w:val="nil"/>
              <w:left w:val="nil"/>
              <w:bottom w:val="nil"/>
              <w:right w:val="nil"/>
            </w:tcBorders>
            <w:tcMar>
              <w:right w:w="28" w:type="dxa"/>
            </w:tcMar>
            <w:vAlign w:val="bottom"/>
          </w:tcPr>
          <w:p w:rsidR="005B2186" w:rsidRPr="00BE6460" w:rsidRDefault="005B2186" w:rsidP="00BF3DB7">
            <w:pPr>
              <w:pStyle w:val="CFNoteNoCHd"/>
              <w:rPr>
                <w:rFonts w:ascii="GillSans Light" w:hAnsi="GillSans Light"/>
                <w:color w:val="auto"/>
                <w:sz w:val="18"/>
                <w:szCs w:val="18"/>
              </w:rPr>
            </w:pPr>
            <w:r w:rsidRPr="00BE6460">
              <w:rPr>
                <w:rFonts w:ascii="GillSans Light" w:hAnsi="GillSans Light"/>
                <w:color w:val="auto"/>
                <w:sz w:val="18"/>
                <w:szCs w:val="18"/>
              </w:rPr>
              <w:t>Note</w:t>
            </w:r>
          </w:p>
        </w:tc>
        <w:tc>
          <w:tcPr>
            <w:tcW w:w="1298" w:type="dxa"/>
            <w:tcBorders>
              <w:top w:val="nil"/>
              <w:left w:val="nil"/>
              <w:bottom w:val="nil"/>
              <w:right w:val="nil"/>
            </w:tcBorders>
            <w:tcMar>
              <w:right w:w="28" w:type="dxa"/>
            </w:tcMar>
            <w:vAlign w:val="bottom"/>
          </w:tcPr>
          <w:p w:rsidR="005B2186" w:rsidRPr="00BE6460" w:rsidRDefault="005B2186" w:rsidP="006A4632">
            <w:pPr>
              <w:pStyle w:val="CFPAYCHd"/>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6A4632">
            <w:pPr>
              <w:pStyle w:val="CFCPAYCHd"/>
              <w:jc w:val="right"/>
              <w:rPr>
                <w:rFonts w:ascii="GillSans Light" w:hAnsi="GillSans Light"/>
                <w:color w:val="auto"/>
              </w:rPr>
            </w:pPr>
            <w:r w:rsidRPr="00BE6460">
              <w:rPr>
                <w:rFonts w:ascii="GillSans Light" w:hAnsi="GillSans Light"/>
                <w:color w:val="auto"/>
              </w:rPr>
              <w:t>$</w:t>
            </w:r>
          </w:p>
        </w:tc>
        <w:tc>
          <w:tcPr>
            <w:tcW w:w="1299" w:type="dxa"/>
            <w:tcBorders>
              <w:top w:val="nil"/>
              <w:left w:val="nil"/>
              <w:bottom w:val="nil"/>
              <w:right w:val="nil"/>
            </w:tcBorders>
            <w:tcMar>
              <w:right w:w="28" w:type="dxa"/>
            </w:tcMar>
            <w:vAlign w:val="bottom"/>
          </w:tcPr>
          <w:p w:rsidR="005B2186" w:rsidRPr="00BE6460" w:rsidRDefault="005B2186" w:rsidP="006A4632">
            <w:pPr>
              <w:pStyle w:val="CFPPYCHd"/>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6A4632">
            <w:pPr>
              <w:pStyle w:val="CFCPPYCHd"/>
              <w:jc w:val="right"/>
              <w:rPr>
                <w:rFonts w:ascii="GillSans Light" w:hAnsi="GillSans Light"/>
                <w:color w:val="auto"/>
              </w:rPr>
            </w:pPr>
            <w:r w:rsidRPr="00BE6460">
              <w:rPr>
                <w:rFonts w:ascii="GillSans Light" w:hAnsi="GillSans Light"/>
                <w:color w:val="auto"/>
              </w:rPr>
              <w:t>$</w:t>
            </w:r>
          </w:p>
        </w:tc>
      </w:tr>
      <w:tr w:rsidR="005B2186" w:rsidRPr="00BE6460" w:rsidTr="005B2186">
        <w:tc>
          <w:tcPr>
            <w:tcW w:w="5812" w:type="dxa"/>
            <w:tcBorders>
              <w:top w:val="nil"/>
              <w:left w:val="nil"/>
              <w:bottom w:val="nil"/>
              <w:right w:val="nil"/>
            </w:tcBorders>
            <w:tcMar>
              <w:right w:w="28" w:type="dxa"/>
            </w:tcMar>
          </w:tcPr>
          <w:p w:rsidR="005B2186" w:rsidRPr="00BE6460" w:rsidRDefault="0040029D" w:rsidP="0040029D">
            <w:pPr>
              <w:pStyle w:val="CFDescTi"/>
              <w:spacing w:before="60" w:after="60" w:line="240" w:lineRule="auto"/>
              <w:rPr>
                <w:rFonts w:ascii="GillSans Light" w:hAnsi="GillSans Light"/>
                <w:color w:val="auto"/>
                <w:sz w:val="18"/>
                <w:szCs w:val="18"/>
              </w:rPr>
            </w:pPr>
            <w:r w:rsidRPr="00BE6460">
              <w:rPr>
                <w:rFonts w:ascii="GillSans Light" w:hAnsi="GillSans Light"/>
                <w:color w:val="auto"/>
                <w:sz w:val="18"/>
                <w:szCs w:val="18"/>
              </w:rPr>
              <w:t>Cash Flows from Operating Activities</w:t>
            </w:r>
          </w:p>
        </w:tc>
        <w:tc>
          <w:tcPr>
            <w:tcW w:w="578" w:type="dxa"/>
            <w:tcBorders>
              <w:top w:val="nil"/>
              <w:left w:val="nil"/>
              <w:bottom w:val="nil"/>
              <w:right w:val="nil"/>
            </w:tcBorders>
            <w:tcMar>
              <w:right w:w="28" w:type="dxa"/>
            </w:tcMar>
            <w:vAlign w:val="bottom"/>
          </w:tcPr>
          <w:p w:rsidR="005B2186" w:rsidRPr="00BE6460" w:rsidRDefault="005B2186" w:rsidP="00514C20">
            <w:pPr>
              <w:spacing w:before="60" w:after="60" w:line="240" w:lineRule="auto"/>
              <w:rPr>
                <w:rFonts w:cs="Arial"/>
                <w:sz w:val="18"/>
                <w:szCs w:val="18"/>
              </w:rPr>
            </w:pPr>
          </w:p>
        </w:tc>
        <w:tc>
          <w:tcPr>
            <w:tcW w:w="1298" w:type="dxa"/>
            <w:tcBorders>
              <w:top w:val="nil"/>
              <w:left w:val="nil"/>
              <w:bottom w:val="nil"/>
              <w:right w:val="nil"/>
            </w:tcBorders>
            <w:tcMar>
              <w:right w:w="28" w:type="dxa"/>
            </w:tcMar>
            <w:vAlign w:val="bottom"/>
          </w:tcPr>
          <w:p w:rsidR="005B2186" w:rsidRPr="00BE6460" w:rsidRDefault="005B2186" w:rsidP="00514C20">
            <w:pPr>
              <w:spacing w:before="60" w:after="60" w:line="240" w:lineRule="auto"/>
              <w:rPr>
                <w:rFonts w:cs="Arial"/>
                <w:sz w:val="18"/>
                <w:szCs w:val="18"/>
              </w:rPr>
            </w:pPr>
          </w:p>
        </w:tc>
        <w:tc>
          <w:tcPr>
            <w:tcW w:w="1299" w:type="dxa"/>
            <w:tcBorders>
              <w:top w:val="nil"/>
              <w:left w:val="nil"/>
              <w:bottom w:val="nil"/>
              <w:right w:val="nil"/>
            </w:tcBorders>
            <w:tcMar>
              <w:right w:w="28" w:type="dxa"/>
            </w:tcMar>
            <w:vAlign w:val="bottom"/>
          </w:tcPr>
          <w:p w:rsidR="005B2186" w:rsidRPr="00BE6460" w:rsidRDefault="005B2186" w:rsidP="00514C20">
            <w:pPr>
              <w:spacing w:before="60" w:after="60" w:line="240" w:lineRule="auto"/>
              <w:rPr>
                <w:rFonts w:cs="Arial"/>
                <w:sz w:val="18"/>
                <w:szCs w:val="18"/>
              </w:rPr>
            </w:pPr>
          </w:p>
        </w:tc>
      </w:tr>
      <w:tr w:rsidR="005B2186" w:rsidRPr="00BE6460" w:rsidTr="005B2186">
        <w:tc>
          <w:tcPr>
            <w:tcW w:w="5812" w:type="dxa"/>
            <w:tcBorders>
              <w:top w:val="nil"/>
              <w:left w:val="nil"/>
              <w:bottom w:val="nil"/>
              <w:right w:val="nil"/>
            </w:tcBorders>
            <w:tcMar>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Receipts from customers</w:t>
            </w:r>
          </w:p>
        </w:tc>
        <w:tc>
          <w:tcPr>
            <w:tcW w:w="578" w:type="dxa"/>
            <w:tcBorders>
              <w:top w:val="nil"/>
              <w:left w:val="nil"/>
              <w:bottom w:val="nil"/>
              <w:right w:val="nil"/>
            </w:tcBorders>
            <w:tcMar>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p>
        </w:tc>
        <w:tc>
          <w:tcPr>
            <w:tcW w:w="1298" w:type="dxa"/>
            <w:tcBorders>
              <w:top w:val="nil"/>
              <w:left w:val="nil"/>
              <w:bottom w:val="nil"/>
              <w:right w:val="nil"/>
            </w:tcBorders>
            <w:tcMar>
              <w:right w:w="28" w:type="dxa"/>
            </w:tcMar>
            <w:vAlign w:val="bottom"/>
          </w:tcPr>
          <w:p w:rsidR="005B2186" w:rsidRPr="00BE6460" w:rsidRDefault="005B2186" w:rsidP="00514C20">
            <w:pPr>
              <w:pStyle w:val="CF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98,765</w:t>
            </w:r>
            <w:r w:rsidRPr="00BE6460">
              <w:rPr>
                <w:rFonts w:ascii="GillSans Light" w:hAnsi="GillSans Light"/>
                <w:color w:val="auto"/>
                <w:sz w:val="18"/>
                <w:szCs w:val="18"/>
              </w:rPr>
              <w:tab/>
            </w:r>
          </w:p>
        </w:tc>
        <w:tc>
          <w:tcPr>
            <w:tcW w:w="1299" w:type="dxa"/>
            <w:tcBorders>
              <w:top w:val="nil"/>
              <w:left w:val="nil"/>
              <w:bottom w:val="nil"/>
              <w:right w:val="nil"/>
            </w:tcBorders>
            <w:tcMar>
              <w:right w:w="28" w:type="dxa"/>
            </w:tcMar>
            <w:vAlign w:val="bottom"/>
          </w:tcPr>
          <w:p w:rsidR="005B2186" w:rsidRPr="00BE6460" w:rsidRDefault="005B2186" w:rsidP="00514C20">
            <w:pPr>
              <w:pStyle w:val="CF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86,987</w:t>
            </w:r>
            <w:r w:rsidRPr="00BE6460">
              <w:rPr>
                <w:rFonts w:ascii="GillSans Light" w:hAnsi="GillSans Light"/>
                <w:color w:val="auto"/>
                <w:sz w:val="18"/>
                <w:szCs w:val="18"/>
              </w:rPr>
              <w:tab/>
            </w:r>
          </w:p>
        </w:tc>
      </w:tr>
      <w:tr w:rsidR="005B2186" w:rsidRPr="00BE6460" w:rsidTr="005B2186">
        <w:tc>
          <w:tcPr>
            <w:tcW w:w="5812" w:type="dxa"/>
            <w:tcBorders>
              <w:top w:val="nil"/>
              <w:left w:val="nil"/>
              <w:bottom w:val="nil"/>
              <w:right w:val="nil"/>
            </w:tcBorders>
            <w:tcMar>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Interest received</w:t>
            </w:r>
          </w:p>
        </w:tc>
        <w:tc>
          <w:tcPr>
            <w:tcW w:w="578" w:type="dxa"/>
            <w:tcBorders>
              <w:top w:val="nil"/>
              <w:left w:val="nil"/>
              <w:bottom w:val="nil"/>
              <w:right w:val="nil"/>
            </w:tcBorders>
            <w:tcMar>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p>
        </w:tc>
        <w:tc>
          <w:tcPr>
            <w:tcW w:w="1298" w:type="dxa"/>
            <w:tcBorders>
              <w:top w:val="nil"/>
              <w:left w:val="nil"/>
              <w:bottom w:val="nil"/>
              <w:right w:val="nil"/>
            </w:tcBorders>
            <w:tcMar>
              <w:right w:w="28" w:type="dxa"/>
            </w:tcMar>
            <w:vAlign w:val="bottom"/>
          </w:tcPr>
          <w:p w:rsidR="005B2186" w:rsidRPr="00BE6460" w:rsidRDefault="005B2186" w:rsidP="00514C20">
            <w:pPr>
              <w:pStyle w:val="CF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42</w:t>
            </w:r>
            <w:r w:rsidRPr="00BE6460">
              <w:rPr>
                <w:rFonts w:ascii="GillSans Light" w:hAnsi="GillSans Light"/>
                <w:color w:val="auto"/>
                <w:sz w:val="18"/>
                <w:szCs w:val="18"/>
              </w:rPr>
              <w:tab/>
            </w:r>
          </w:p>
        </w:tc>
        <w:tc>
          <w:tcPr>
            <w:tcW w:w="1299" w:type="dxa"/>
            <w:tcBorders>
              <w:top w:val="nil"/>
              <w:left w:val="nil"/>
              <w:bottom w:val="nil"/>
              <w:right w:val="nil"/>
            </w:tcBorders>
            <w:tcMar>
              <w:right w:w="28" w:type="dxa"/>
            </w:tcMar>
            <w:vAlign w:val="bottom"/>
          </w:tcPr>
          <w:p w:rsidR="005B2186" w:rsidRPr="00BE6460" w:rsidRDefault="005B2186" w:rsidP="00514C20">
            <w:pPr>
              <w:pStyle w:val="CF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69</w:t>
            </w:r>
            <w:r w:rsidRPr="00BE6460">
              <w:rPr>
                <w:rFonts w:ascii="GillSans Light" w:hAnsi="GillSans Light"/>
                <w:color w:val="auto"/>
                <w:sz w:val="18"/>
                <w:szCs w:val="18"/>
              </w:rPr>
              <w:tab/>
            </w:r>
          </w:p>
        </w:tc>
      </w:tr>
      <w:tr w:rsidR="005B2186" w:rsidRPr="00BE6460" w:rsidTr="005B2186">
        <w:tc>
          <w:tcPr>
            <w:tcW w:w="5812" w:type="dxa"/>
            <w:tcBorders>
              <w:top w:val="nil"/>
              <w:left w:val="nil"/>
              <w:bottom w:val="nil"/>
              <w:right w:val="nil"/>
            </w:tcBorders>
            <w:tcMar>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Payments to suppliers and employees</w:t>
            </w:r>
          </w:p>
        </w:tc>
        <w:tc>
          <w:tcPr>
            <w:tcW w:w="578" w:type="dxa"/>
            <w:tcBorders>
              <w:top w:val="nil"/>
              <w:left w:val="nil"/>
              <w:bottom w:val="nil"/>
              <w:right w:val="nil"/>
            </w:tcBorders>
            <w:tcMar>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p>
        </w:tc>
        <w:tc>
          <w:tcPr>
            <w:tcW w:w="1298" w:type="dxa"/>
            <w:tcBorders>
              <w:top w:val="nil"/>
              <w:left w:val="nil"/>
              <w:bottom w:val="nil"/>
              <w:right w:val="nil"/>
            </w:tcBorders>
            <w:tcMar>
              <w:right w:w="28" w:type="dxa"/>
            </w:tcMar>
            <w:vAlign w:val="bottom"/>
          </w:tcPr>
          <w:p w:rsidR="005B2186" w:rsidRPr="00BE6460" w:rsidRDefault="005B2186" w:rsidP="00514C20">
            <w:pPr>
              <w:pStyle w:val="CFPA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(60,642)</w:t>
            </w:r>
            <w:r w:rsidRPr="00BE6460">
              <w:rPr>
                <w:rFonts w:ascii="GillSans Light" w:hAnsi="GillSans Light"/>
                <w:color w:val="auto"/>
                <w:sz w:val="18"/>
                <w:szCs w:val="18"/>
              </w:rPr>
              <w:tab/>
            </w:r>
          </w:p>
        </w:tc>
        <w:tc>
          <w:tcPr>
            <w:tcW w:w="1299" w:type="dxa"/>
            <w:tcBorders>
              <w:top w:val="nil"/>
              <w:left w:val="nil"/>
              <w:bottom w:val="nil"/>
              <w:right w:val="nil"/>
            </w:tcBorders>
            <w:tcMar>
              <w:right w:w="28" w:type="dxa"/>
            </w:tcMar>
            <w:vAlign w:val="bottom"/>
          </w:tcPr>
          <w:p w:rsidR="005B2186" w:rsidRPr="00BE6460" w:rsidRDefault="005B2186" w:rsidP="00514C20">
            <w:pPr>
              <w:pStyle w:val="CFPPY"/>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(55,453)</w:t>
            </w:r>
            <w:r w:rsidRPr="00BE6460">
              <w:rPr>
                <w:rFonts w:ascii="GillSans Light" w:hAnsi="GillSans Light"/>
                <w:color w:val="auto"/>
                <w:sz w:val="18"/>
                <w:szCs w:val="18"/>
              </w:rPr>
              <w:tab/>
            </w:r>
          </w:p>
        </w:tc>
      </w:tr>
      <w:tr w:rsidR="005B2186" w:rsidRPr="00BE6460" w:rsidTr="005B2186">
        <w:tc>
          <w:tcPr>
            <w:tcW w:w="5812" w:type="dxa"/>
            <w:tcBorders>
              <w:top w:val="nil"/>
              <w:left w:val="nil"/>
              <w:bottom w:val="nil"/>
              <w:right w:val="nil"/>
            </w:tcBorders>
            <w:tcMar>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Net cash provided by (used in) operating activities</w:t>
            </w:r>
          </w:p>
        </w:tc>
        <w:tc>
          <w:tcPr>
            <w:tcW w:w="578" w:type="dxa"/>
            <w:tcBorders>
              <w:top w:val="nil"/>
              <w:left w:val="nil"/>
              <w:bottom w:val="nil"/>
              <w:right w:val="nil"/>
            </w:tcBorders>
            <w:tcMar>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r w:rsidRPr="00BE6460">
              <w:rPr>
                <w:rFonts w:ascii="GillSans Light" w:hAnsi="GillSans Light"/>
                <w:color w:val="auto"/>
                <w:sz w:val="18"/>
                <w:szCs w:val="18"/>
              </w:rPr>
              <w:t>6</w:t>
            </w:r>
          </w:p>
        </w:tc>
        <w:tc>
          <w:tcPr>
            <w:tcW w:w="1298" w:type="dxa"/>
            <w:tcBorders>
              <w:top w:val="single" w:sz="8" w:space="0" w:color="000000"/>
              <w:left w:val="nil"/>
              <w:bottom w:val="single" w:sz="8" w:space="0" w:color="000000"/>
              <w:right w:val="nil"/>
            </w:tcBorders>
            <w:tcMar>
              <w:right w:w="28" w:type="dxa"/>
            </w:tcMar>
            <w:vAlign w:val="bottom"/>
          </w:tcPr>
          <w:p w:rsidR="005B2186" w:rsidRPr="00BE6460" w:rsidRDefault="005B2186" w:rsidP="00514C20">
            <w:pPr>
              <w:pStyle w:val="CFPA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38,165</w:t>
            </w:r>
            <w:r w:rsidRPr="00BE6460">
              <w:rPr>
                <w:rFonts w:ascii="GillSans Light" w:hAnsi="GillSans Light"/>
                <w:color w:val="auto"/>
                <w:sz w:val="18"/>
                <w:szCs w:val="18"/>
              </w:rPr>
              <w:tab/>
            </w:r>
          </w:p>
        </w:tc>
        <w:tc>
          <w:tcPr>
            <w:tcW w:w="1299" w:type="dxa"/>
            <w:tcBorders>
              <w:top w:val="single" w:sz="8" w:space="0" w:color="000000"/>
              <w:left w:val="nil"/>
              <w:bottom w:val="single" w:sz="8" w:space="0" w:color="000000"/>
              <w:right w:val="nil"/>
            </w:tcBorders>
            <w:tcMar>
              <w:right w:w="28" w:type="dxa"/>
            </w:tcMar>
            <w:vAlign w:val="bottom"/>
          </w:tcPr>
          <w:p w:rsidR="005B2186" w:rsidRPr="00BE6460" w:rsidRDefault="005B2186" w:rsidP="00514C20">
            <w:pPr>
              <w:pStyle w:val="CFPPYS"/>
              <w:tabs>
                <w:tab w:val="right" w:pos="1214"/>
                <w:tab w:val="left" w:pos="1240"/>
              </w:tabs>
              <w:spacing w:before="60" w:after="60"/>
              <w:rPr>
                <w:rFonts w:ascii="GillSans Light" w:hAnsi="GillSans Light"/>
                <w:color w:val="auto"/>
                <w:sz w:val="18"/>
                <w:szCs w:val="18"/>
              </w:rPr>
            </w:pPr>
            <w:r w:rsidRPr="00BE6460">
              <w:rPr>
                <w:rFonts w:ascii="GillSans Light" w:hAnsi="GillSans Light"/>
                <w:color w:val="auto"/>
                <w:sz w:val="18"/>
                <w:szCs w:val="18"/>
              </w:rPr>
              <w:tab/>
              <w:t>31,603</w:t>
            </w:r>
            <w:r w:rsidRPr="00BE6460">
              <w:rPr>
                <w:rFonts w:ascii="GillSans Light" w:hAnsi="GillSans Light"/>
                <w:color w:val="auto"/>
                <w:sz w:val="18"/>
                <w:szCs w:val="18"/>
              </w:rPr>
              <w:tab/>
            </w:r>
          </w:p>
        </w:tc>
      </w:tr>
    </w:tbl>
    <w:p w:rsidR="005B2186" w:rsidRPr="00BE6460" w:rsidRDefault="005B2186" w:rsidP="00514C20">
      <w:pPr>
        <w:spacing w:before="60" w:after="60" w:line="240" w:lineRule="auto"/>
        <w:rPr>
          <w:sz w:val="18"/>
          <w:szCs w:val="18"/>
        </w:rPr>
      </w:pPr>
    </w:p>
    <w:tbl>
      <w:tblPr>
        <w:tblW w:w="0" w:type="auto"/>
        <w:tblInd w:w="28" w:type="dxa"/>
        <w:tblLayout w:type="fixed"/>
        <w:tblCellMar>
          <w:left w:w="0" w:type="dxa"/>
          <w:right w:w="0" w:type="dxa"/>
        </w:tblCellMar>
        <w:tblLook w:val="0000" w:firstRow="0" w:lastRow="0" w:firstColumn="0" w:lastColumn="0" w:noHBand="0" w:noVBand="0"/>
      </w:tblPr>
      <w:tblGrid>
        <w:gridCol w:w="5812"/>
        <w:gridCol w:w="578"/>
        <w:gridCol w:w="1298"/>
        <w:gridCol w:w="1299"/>
      </w:tblGrid>
      <w:tr w:rsidR="005B2186" w:rsidRPr="00BE6460" w:rsidTr="005B2186">
        <w:tc>
          <w:tcPr>
            <w:tcW w:w="5812" w:type="dxa"/>
            <w:tcBorders>
              <w:top w:val="nil"/>
              <w:left w:val="nil"/>
              <w:bottom w:val="nil"/>
              <w:right w:val="nil"/>
            </w:tcBorders>
            <w:tcMar>
              <w:left w:w="28" w:type="dxa"/>
              <w:right w:w="28" w:type="dxa"/>
            </w:tcMar>
          </w:tcPr>
          <w:p w:rsidR="005B2186" w:rsidRPr="00BE6460" w:rsidRDefault="005B2186" w:rsidP="00011A63">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Net increase (decrease) in cash and cash equivalents held</w:t>
            </w:r>
          </w:p>
        </w:tc>
        <w:tc>
          <w:tcPr>
            <w:tcW w:w="578" w:type="dxa"/>
            <w:tcBorders>
              <w:top w:val="nil"/>
              <w:left w:val="nil"/>
              <w:bottom w:val="nil"/>
              <w:right w:val="nil"/>
            </w:tcBorders>
            <w:tcMar>
              <w:left w:w="28" w:type="dxa"/>
              <w:right w:w="28" w:type="dxa"/>
            </w:tcMar>
            <w:vAlign w:val="bottom"/>
          </w:tcPr>
          <w:p w:rsidR="005B2186" w:rsidRPr="00BE6460" w:rsidRDefault="005B2186" w:rsidP="00514C20">
            <w:pPr>
              <w:spacing w:before="60" w:after="60" w:line="240" w:lineRule="auto"/>
              <w:rPr>
                <w:rFonts w:cs="Arial"/>
                <w:sz w:val="18"/>
                <w:szCs w:val="18"/>
              </w:rPr>
            </w:pPr>
          </w:p>
        </w:tc>
        <w:tc>
          <w:tcPr>
            <w:tcW w:w="1298" w:type="dxa"/>
            <w:tcBorders>
              <w:top w:val="nil"/>
              <w:left w:val="nil"/>
              <w:bottom w:val="nil"/>
              <w:right w:val="nil"/>
            </w:tcBorders>
            <w:tcMar>
              <w:left w:w="28" w:type="dxa"/>
              <w:right w:w="28" w:type="dxa"/>
            </w:tcMar>
            <w:vAlign w:val="bottom"/>
          </w:tcPr>
          <w:p w:rsidR="005B2186" w:rsidRPr="00BE6460" w:rsidRDefault="005B2186" w:rsidP="00514C20">
            <w:pPr>
              <w:pStyle w:val="CFPAY"/>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38,165</w:t>
            </w:r>
            <w:r w:rsidRPr="00BE6460">
              <w:rPr>
                <w:rFonts w:ascii="GillSans Light" w:hAnsi="GillSans Light"/>
                <w:color w:val="auto"/>
                <w:sz w:val="18"/>
                <w:szCs w:val="18"/>
              </w:rPr>
              <w:tab/>
            </w:r>
          </w:p>
        </w:tc>
        <w:tc>
          <w:tcPr>
            <w:tcW w:w="1299" w:type="dxa"/>
            <w:tcBorders>
              <w:top w:val="nil"/>
              <w:left w:val="nil"/>
              <w:bottom w:val="nil"/>
              <w:right w:val="nil"/>
            </w:tcBorders>
            <w:tcMar>
              <w:left w:w="28" w:type="dxa"/>
              <w:right w:w="28" w:type="dxa"/>
            </w:tcMar>
            <w:vAlign w:val="bottom"/>
          </w:tcPr>
          <w:p w:rsidR="005B2186" w:rsidRPr="00BE6460" w:rsidRDefault="005B2186" w:rsidP="00514C20">
            <w:pPr>
              <w:pStyle w:val="CFPPY"/>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31,603</w:t>
            </w:r>
            <w:r w:rsidRPr="00BE6460">
              <w:rPr>
                <w:rFonts w:ascii="GillSans Light" w:hAnsi="GillSans Light"/>
                <w:color w:val="auto"/>
                <w:sz w:val="18"/>
                <w:szCs w:val="18"/>
              </w:rPr>
              <w:tab/>
            </w:r>
          </w:p>
        </w:tc>
      </w:tr>
      <w:tr w:rsidR="005B2186" w:rsidRPr="00BE6460" w:rsidTr="005B2186">
        <w:tc>
          <w:tcPr>
            <w:tcW w:w="5812" w:type="dxa"/>
            <w:tcBorders>
              <w:top w:val="nil"/>
              <w:left w:val="nil"/>
              <w:bottom w:val="nil"/>
              <w:right w:val="nil"/>
            </w:tcBorders>
            <w:tcMar>
              <w:left w:w="28" w:type="dxa"/>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Cash and cash equivalents at beginning of year</w:t>
            </w:r>
          </w:p>
        </w:tc>
        <w:tc>
          <w:tcPr>
            <w:tcW w:w="578" w:type="dxa"/>
            <w:tcBorders>
              <w:top w:val="nil"/>
              <w:left w:val="nil"/>
              <w:bottom w:val="nil"/>
              <w:right w:val="nil"/>
            </w:tcBorders>
            <w:tcMar>
              <w:left w:w="28" w:type="dxa"/>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p>
        </w:tc>
        <w:tc>
          <w:tcPr>
            <w:tcW w:w="1298" w:type="dxa"/>
            <w:tcBorders>
              <w:top w:val="nil"/>
              <w:left w:val="nil"/>
              <w:bottom w:val="nil"/>
              <w:right w:val="nil"/>
            </w:tcBorders>
            <w:tcMar>
              <w:left w:w="28" w:type="dxa"/>
              <w:right w:w="28" w:type="dxa"/>
            </w:tcMar>
            <w:vAlign w:val="bottom"/>
          </w:tcPr>
          <w:p w:rsidR="005B2186" w:rsidRPr="00BE6460" w:rsidRDefault="005B2186" w:rsidP="00514C20">
            <w:pPr>
              <w:pStyle w:val="CFPAY"/>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142,673</w:t>
            </w:r>
            <w:r w:rsidRPr="00BE6460">
              <w:rPr>
                <w:rFonts w:ascii="GillSans Light" w:hAnsi="GillSans Light"/>
                <w:color w:val="auto"/>
                <w:sz w:val="18"/>
                <w:szCs w:val="18"/>
              </w:rPr>
              <w:tab/>
            </w:r>
          </w:p>
        </w:tc>
        <w:tc>
          <w:tcPr>
            <w:tcW w:w="1299" w:type="dxa"/>
            <w:tcBorders>
              <w:top w:val="nil"/>
              <w:left w:val="nil"/>
              <w:bottom w:val="nil"/>
              <w:right w:val="nil"/>
            </w:tcBorders>
            <w:tcMar>
              <w:left w:w="28" w:type="dxa"/>
              <w:right w:w="28" w:type="dxa"/>
            </w:tcMar>
            <w:vAlign w:val="bottom"/>
          </w:tcPr>
          <w:p w:rsidR="005B2186" w:rsidRPr="00BE6460" w:rsidRDefault="005B2186" w:rsidP="00514C20">
            <w:pPr>
              <w:pStyle w:val="CFPPY"/>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111,070</w:t>
            </w:r>
            <w:r w:rsidRPr="00BE6460">
              <w:rPr>
                <w:rFonts w:ascii="GillSans Light" w:hAnsi="GillSans Light"/>
                <w:color w:val="auto"/>
                <w:sz w:val="18"/>
                <w:szCs w:val="18"/>
              </w:rPr>
              <w:tab/>
            </w:r>
          </w:p>
        </w:tc>
      </w:tr>
      <w:tr w:rsidR="005B2186" w:rsidRPr="00BE6460" w:rsidTr="005B2186">
        <w:tc>
          <w:tcPr>
            <w:tcW w:w="5812" w:type="dxa"/>
            <w:tcBorders>
              <w:top w:val="nil"/>
              <w:left w:val="nil"/>
              <w:bottom w:val="nil"/>
              <w:right w:val="nil"/>
            </w:tcBorders>
            <w:tcMar>
              <w:left w:w="28" w:type="dxa"/>
              <w:right w:w="28" w:type="dxa"/>
            </w:tcMar>
          </w:tcPr>
          <w:p w:rsidR="005B2186" w:rsidRPr="00BE6460" w:rsidRDefault="005B2186" w:rsidP="00514C20">
            <w:pPr>
              <w:pStyle w:val="CFDesc"/>
              <w:spacing w:before="60" w:after="60"/>
              <w:rPr>
                <w:rFonts w:ascii="GillSans Light" w:hAnsi="GillSans Light"/>
                <w:color w:val="auto"/>
                <w:sz w:val="18"/>
                <w:szCs w:val="18"/>
              </w:rPr>
            </w:pPr>
            <w:r w:rsidRPr="00BE6460">
              <w:rPr>
                <w:rFonts w:ascii="GillSans Light" w:hAnsi="GillSans Light"/>
                <w:color w:val="auto"/>
                <w:sz w:val="18"/>
                <w:szCs w:val="18"/>
              </w:rPr>
              <w:t>Cash and cash equivalents at end of financial year</w:t>
            </w:r>
          </w:p>
        </w:tc>
        <w:tc>
          <w:tcPr>
            <w:tcW w:w="578" w:type="dxa"/>
            <w:tcBorders>
              <w:top w:val="nil"/>
              <w:left w:val="nil"/>
              <w:bottom w:val="nil"/>
              <w:right w:val="nil"/>
            </w:tcBorders>
            <w:tcMar>
              <w:left w:w="28" w:type="dxa"/>
              <w:right w:w="28" w:type="dxa"/>
            </w:tcMar>
            <w:vAlign w:val="bottom"/>
          </w:tcPr>
          <w:p w:rsidR="005B2186" w:rsidRPr="00BE6460" w:rsidRDefault="005B2186" w:rsidP="00514C20">
            <w:pPr>
              <w:pStyle w:val="CFNoteNo"/>
              <w:spacing w:before="60" w:after="60"/>
              <w:rPr>
                <w:rFonts w:ascii="GillSans Light" w:hAnsi="GillSans Light"/>
                <w:color w:val="auto"/>
                <w:sz w:val="18"/>
                <w:szCs w:val="18"/>
              </w:rPr>
            </w:pPr>
            <w:r w:rsidRPr="00BE6460">
              <w:rPr>
                <w:rFonts w:ascii="GillSans Light" w:hAnsi="GillSans Light"/>
                <w:color w:val="auto"/>
                <w:sz w:val="18"/>
                <w:szCs w:val="18"/>
              </w:rPr>
              <w:t>2</w:t>
            </w:r>
          </w:p>
        </w:tc>
        <w:tc>
          <w:tcPr>
            <w:tcW w:w="1298" w:type="dxa"/>
            <w:tcBorders>
              <w:top w:val="single" w:sz="8" w:space="0" w:color="000000"/>
              <w:left w:val="nil"/>
              <w:bottom w:val="double" w:sz="6" w:space="0" w:color="000000"/>
              <w:right w:val="nil"/>
            </w:tcBorders>
            <w:tcMar>
              <w:left w:w="28" w:type="dxa"/>
              <w:right w:w="28" w:type="dxa"/>
            </w:tcMar>
            <w:vAlign w:val="bottom"/>
          </w:tcPr>
          <w:p w:rsidR="005B2186" w:rsidRPr="00BE6460" w:rsidRDefault="005B2186" w:rsidP="00514C20">
            <w:pPr>
              <w:pStyle w:val="CFPAYT"/>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180,838</w:t>
            </w:r>
            <w:r w:rsidRPr="00BE6460">
              <w:rPr>
                <w:rFonts w:ascii="GillSans Light" w:hAnsi="GillSans Light"/>
                <w:color w:val="auto"/>
                <w:sz w:val="18"/>
                <w:szCs w:val="18"/>
              </w:rPr>
              <w:tab/>
            </w:r>
          </w:p>
        </w:tc>
        <w:tc>
          <w:tcPr>
            <w:tcW w:w="1299" w:type="dxa"/>
            <w:tcBorders>
              <w:top w:val="single" w:sz="8" w:space="0" w:color="000000"/>
              <w:left w:val="nil"/>
              <w:bottom w:val="double" w:sz="6" w:space="0" w:color="000000"/>
              <w:right w:val="nil"/>
            </w:tcBorders>
            <w:tcMar>
              <w:left w:w="28" w:type="dxa"/>
              <w:right w:w="28" w:type="dxa"/>
            </w:tcMar>
            <w:vAlign w:val="bottom"/>
          </w:tcPr>
          <w:p w:rsidR="005B2186" w:rsidRPr="00BE6460" w:rsidRDefault="005B2186" w:rsidP="00514C20">
            <w:pPr>
              <w:pStyle w:val="CFPPYT"/>
              <w:tabs>
                <w:tab w:val="right" w:pos="1212"/>
                <w:tab w:val="left" w:pos="1238"/>
              </w:tabs>
              <w:spacing w:before="60" w:after="60"/>
              <w:rPr>
                <w:rFonts w:ascii="GillSans Light" w:hAnsi="GillSans Light"/>
                <w:color w:val="auto"/>
                <w:sz w:val="18"/>
                <w:szCs w:val="18"/>
              </w:rPr>
            </w:pPr>
            <w:r w:rsidRPr="00BE6460">
              <w:rPr>
                <w:rFonts w:ascii="GillSans Light" w:hAnsi="GillSans Light"/>
                <w:color w:val="auto"/>
                <w:sz w:val="18"/>
                <w:szCs w:val="18"/>
              </w:rPr>
              <w:tab/>
              <w:t>142,673</w:t>
            </w:r>
            <w:r w:rsidRPr="00BE6460">
              <w:rPr>
                <w:rFonts w:ascii="GillSans Light" w:hAnsi="GillSans Light"/>
                <w:color w:val="auto"/>
                <w:sz w:val="18"/>
                <w:szCs w:val="18"/>
              </w:rPr>
              <w:tab/>
            </w:r>
          </w:p>
        </w:tc>
      </w:tr>
    </w:tbl>
    <w:p w:rsidR="005B2186" w:rsidRPr="00330077" w:rsidRDefault="005B2186" w:rsidP="006A51DD"/>
    <w:p w:rsidR="005B2186" w:rsidRPr="00330077" w:rsidRDefault="005B2186">
      <w:pPr>
        <w:tabs>
          <w:tab w:val="clear" w:pos="567"/>
        </w:tabs>
        <w:spacing w:after="200" w:line="276" w:lineRule="auto"/>
      </w:pPr>
      <w:r w:rsidRPr="00330077">
        <w:br w:type="page"/>
      </w:r>
    </w:p>
    <w:tbl>
      <w:tblPr>
        <w:tblW w:w="0" w:type="auto"/>
        <w:tblLayout w:type="fixed"/>
        <w:tblCellMar>
          <w:left w:w="0" w:type="dxa"/>
          <w:right w:w="0" w:type="dxa"/>
        </w:tblCellMar>
        <w:tblLook w:val="0000" w:firstRow="0" w:lastRow="0" w:firstColumn="0" w:lastColumn="0" w:noHBand="0" w:noVBand="0"/>
      </w:tblPr>
      <w:tblGrid>
        <w:gridCol w:w="9921"/>
      </w:tblGrid>
      <w:tr w:rsidR="005B2186" w:rsidRPr="00330077" w:rsidTr="00BF3DB7">
        <w:tc>
          <w:tcPr>
            <w:tcW w:w="9921" w:type="dxa"/>
            <w:tcBorders>
              <w:top w:val="nil"/>
              <w:left w:val="nil"/>
              <w:bottom w:val="nil"/>
              <w:right w:val="nil"/>
            </w:tcBorders>
          </w:tcPr>
          <w:p w:rsidR="005B2186" w:rsidRPr="00BF3DB7" w:rsidRDefault="005B2186" w:rsidP="00BF3DB7">
            <w:pPr>
              <w:pStyle w:val="Heading3"/>
            </w:pPr>
            <w:r w:rsidRPr="00BF3DB7">
              <w:lastRenderedPageBreak/>
              <w:t>Tasmanian Pharmacy Authority</w:t>
            </w:r>
          </w:p>
          <w:p w:rsidR="005B2186" w:rsidRPr="00330077" w:rsidRDefault="005B2186" w:rsidP="00BF3DB7">
            <w:pPr>
              <w:rPr>
                <w:b/>
              </w:rPr>
            </w:pPr>
            <w:r w:rsidRPr="00330077">
              <w:t>Notes to the Financial Statements</w:t>
            </w:r>
          </w:p>
          <w:p w:rsidR="005B2186" w:rsidRPr="00330077" w:rsidRDefault="005B2186" w:rsidP="00BF3DB7">
            <w:pPr>
              <w:rPr>
                <w:b/>
              </w:rPr>
            </w:pPr>
            <w:r w:rsidRPr="00330077">
              <w:t>30 June 2015</w:t>
            </w:r>
          </w:p>
          <w:p w:rsidR="005B2186" w:rsidRDefault="005B2186" w:rsidP="00BF3DB7">
            <w:pPr>
              <w:pStyle w:val="NtHeading1"/>
              <w:ind w:left="397"/>
              <w:rPr>
                <w:rFonts w:ascii="GillSans Light" w:hAnsi="GillSans Light"/>
                <w:b w:val="0"/>
                <w:color w:val="auto"/>
                <w:sz w:val="22"/>
                <w:szCs w:val="22"/>
              </w:rPr>
            </w:pPr>
          </w:p>
          <w:p w:rsidR="005B2186" w:rsidRPr="00330077" w:rsidRDefault="005B2186" w:rsidP="00BF3DB7">
            <w:pPr>
              <w:pStyle w:val="NtHeading1"/>
              <w:ind w:left="397"/>
              <w:rPr>
                <w:rFonts w:ascii="GillSans Light" w:hAnsi="GillSans Light"/>
                <w:color w:val="auto"/>
                <w:sz w:val="22"/>
                <w:szCs w:val="22"/>
              </w:rPr>
            </w:pPr>
            <w:r w:rsidRPr="00330077">
              <w:rPr>
                <w:rFonts w:ascii="GillSans Light" w:hAnsi="GillSans Light"/>
                <w:color w:val="auto"/>
                <w:sz w:val="22"/>
                <w:szCs w:val="22"/>
              </w:rPr>
              <w:t>1</w:t>
            </w:r>
            <w:r w:rsidRPr="00330077">
              <w:rPr>
                <w:rFonts w:ascii="GillSans Light" w:hAnsi="GillSans Light"/>
                <w:color w:val="auto"/>
                <w:sz w:val="22"/>
                <w:szCs w:val="22"/>
              </w:rPr>
              <w:tab/>
              <w:t>Summary of Significant Accounting Policies</w:t>
            </w:r>
          </w:p>
        </w:tc>
      </w:tr>
      <w:tr w:rsidR="005B2186" w:rsidRPr="00330077" w:rsidTr="00BF3DB7">
        <w:tc>
          <w:tcPr>
            <w:tcW w:w="9921" w:type="dxa"/>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(a)</w:t>
            </w:r>
            <w:r w:rsidRPr="00330077">
              <w:rPr>
                <w:rFonts w:ascii="GillSans Light" w:hAnsi="GillSans Light"/>
                <w:color w:val="auto"/>
                <w:sz w:val="22"/>
                <w:szCs w:val="22"/>
              </w:rPr>
              <w:tab/>
              <w:t>Basis of preparation</w:t>
            </w:r>
          </w:p>
        </w:tc>
      </w:tr>
    </w:tbl>
    <w:p w:rsidR="005B2186" w:rsidRPr="00330077" w:rsidRDefault="005B2186" w:rsidP="00380EA1">
      <w:r w:rsidRPr="00330077">
        <w:t xml:space="preserve">This financial report is a special purpose financial report prepared in order to satisfy the financial reporting requirements of the </w:t>
      </w:r>
      <w:r w:rsidRPr="00330077">
        <w:rPr>
          <w:i/>
          <w:iCs/>
        </w:rPr>
        <w:t>Pharmacy Control Act 2001</w:t>
      </w:r>
      <w:r w:rsidRPr="00330077">
        <w:t>. The Registrar has determined that the not</w:t>
      </w:r>
      <w:r w:rsidRPr="00330077">
        <w:noBreakHyphen/>
        <w:t>for</w:t>
      </w:r>
      <w:r w:rsidRPr="00330077">
        <w:noBreakHyphen/>
        <w:t>profit Authority is not a reporting entity.  The Authority is a not</w:t>
      </w:r>
      <w:r w:rsidRPr="00330077">
        <w:noBreakHyphen/>
        <w:t>for</w:t>
      </w:r>
      <w:r w:rsidRPr="00330077">
        <w:noBreakHyphen/>
        <w:t>profit entity for financial reporting purposes.</w:t>
      </w:r>
    </w:p>
    <w:p w:rsidR="005B2186" w:rsidRPr="00330077" w:rsidRDefault="005B2186" w:rsidP="00380EA1">
      <w:r w:rsidRPr="00330077">
        <w:t>The financial report has been prepared on accruals and is based on historic costs and does not take into account changing money values or, except where specifically stated, current valuations of non</w:t>
      </w:r>
      <w:r w:rsidRPr="00330077">
        <w:noBreakHyphen/>
        <w:t>current assets.</w:t>
      </w:r>
    </w:p>
    <w:p w:rsidR="005B2186" w:rsidRPr="00330077" w:rsidRDefault="005B2186" w:rsidP="00380EA1">
      <w:r w:rsidRPr="00330077">
        <w:t>The following significant accounting policies, which are consistent with the previous period unless otherwise stated, have been adopted in the preparation of this financial report.</w:t>
      </w:r>
    </w:p>
    <w:tbl>
      <w:tblPr>
        <w:tblW w:w="0" w:type="auto"/>
        <w:tblLayout w:type="fixed"/>
        <w:tblCellMar>
          <w:left w:w="0" w:type="dxa"/>
          <w:right w:w="0" w:type="dxa"/>
        </w:tblCellMar>
        <w:tblLook w:val="0000" w:firstRow="0" w:lastRow="0" w:firstColumn="0" w:lastColumn="0" w:noHBand="0" w:noVBand="0"/>
      </w:tblPr>
      <w:tblGrid>
        <w:gridCol w:w="9921"/>
      </w:tblGrid>
      <w:tr w:rsidR="005B2186" w:rsidRPr="00330077" w:rsidTr="00BF3DB7">
        <w:tc>
          <w:tcPr>
            <w:tcW w:w="9921" w:type="dxa"/>
            <w:tcBorders>
              <w:top w:val="nil"/>
              <w:left w:val="nil"/>
              <w:bottom w:val="nil"/>
              <w:right w:val="nil"/>
            </w:tcBorders>
          </w:tcPr>
          <w:p w:rsidR="005B2186" w:rsidRPr="00330077" w:rsidRDefault="005B2186" w:rsidP="00380EA1">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t>(b)</w:t>
            </w:r>
            <w:r w:rsidRPr="00330077">
              <w:rPr>
                <w:rFonts w:ascii="GillSans Light" w:hAnsi="GillSans Light"/>
                <w:color w:val="auto"/>
                <w:sz w:val="22"/>
                <w:szCs w:val="22"/>
              </w:rPr>
              <w:tab/>
              <w:t>Comparative figures</w:t>
            </w:r>
          </w:p>
        </w:tc>
      </w:tr>
    </w:tbl>
    <w:p w:rsidR="005B2186" w:rsidRPr="00330077" w:rsidRDefault="005B2186" w:rsidP="00380EA1">
      <w:r w:rsidRPr="00330077">
        <w:t>Comparative figures have been adjusted to conform to changes in presentation for the current financial year.</w:t>
      </w:r>
    </w:p>
    <w:tbl>
      <w:tblPr>
        <w:tblW w:w="0" w:type="auto"/>
        <w:tblLayout w:type="fixed"/>
        <w:tblCellMar>
          <w:left w:w="0" w:type="dxa"/>
          <w:right w:w="0" w:type="dxa"/>
        </w:tblCellMar>
        <w:tblLook w:val="0000" w:firstRow="0" w:lastRow="0" w:firstColumn="0" w:lastColumn="0" w:noHBand="0" w:noVBand="0"/>
      </w:tblPr>
      <w:tblGrid>
        <w:gridCol w:w="9921"/>
      </w:tblGrid>
      <w:tr w:rsidR="005B2186" w:rsidRPr="00330077" w:rsidTr="00BF3DB7">
        <w:tc>
          <w:tcPr>
            <w:tcW w:w="9921" w:type="dxa"/>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(c)</w:t>
            </w:r>
            <w:r w:rsidRPr="00330077">
              <w:rPr>
                <w:rFonts w:ascii="GillSans Light" w:hAnsi="GillSans Light"/>
                <w:color w:val="auto"/>
                <w:sz w:val="22"/>
                <w:szCs w:val="22"/>
              </w:rPr>
              <w:tab/>
              <w:t>Cash and cash equivalents</w:t>
            </w:r>
          </w:p>
        </w:tc>
      </w:tr>
    </w:tbl>
    <w:p w:rsidR="005B2186" w:rsidRPr="00330077" w:rsidRDefault="005B2186" w:rsidP="00380EA1">
      <w:r w:rsidRPr="00330077">
        <w:t>Cash and cash equivalents include cash on hand, deposits held at call with banks, other short</w:t>
      </w:r>
      <w:r w:rsidRPr="00330077">
        <w:noBreakHyphen/>
        <w:t>term highly liquid investments.</w:t>
      </w:r>
    </w:p>
    <w:tbl>
      <w:tblPr>
        <w:tblW w:w="0" w:type="auto"/>
        <w:tblLayout w:type="fixed"/>
        <w:tblCellMar>
          <w:left w:w="0" w:type="dxa"/>
          <w:right w:w="0" w:type="dxa"/>
        </w:tblCellMar>
        <w:tblLook w:val="0000" w:firstRow="0" w:lastRow="0" w:firstColumn="0" w:lastColumn="0" w:noHBand="0" w:noVBand="0"/>
      </w:tblPr>
      <w:tblGrid>
        <w:gridCol w:w="9921"/>
      </w:tblGrid>
      <w:tr w:rsidR="005B2186" w:rsidRPr="00330077" w:rsidTr="00BF3DB7">
        <w:tc>
          <w:tcPr>
            <w:tcW w:w="9921" w:type="dxa"/>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(d)</w:t>
            </w:r>
            <w:r w:rsidRPr="00330077">
              <w:rPr>
                <w:rFonts w:ascii="GillSans Light" w:hAnsi="GillSans Light"/>
                <w:color w:val="auto"/>
                <w:sz w:val="22"/>
                <w:szCs w:val="22"/>
              </w:rPr>
              <w:tab/>
              <w:t>Property, plant and equipment</w:t>
            </w:r>
          </w:p>
        </w:tc>
      </w:tr>
    </w:tbl>
    <w:p w:rsidR="005B2186" w:rsidRPr="00330077" w:rsidRDefault="005B2186" w:rsidP="00380EA1">
      <w:r w:rsidRPr="00330077">
        <w:t>Property, plant and equipment are carried at cost. All assets excluding freehold land, are depreciated over their useful lives to the Authority.</w:t>
      </w:r>
    </w:p>
    <w:p w:rsidR="005B2186" w:rsidRPr="00330077" w:rsidRDefault="005B2186" w:rsidP="00380EA1">
      <w:r w:rsidRPr="00330077">
        <w:t>The depreciation rates used for each class of depreciable asset are shown below:</w:t>
      </w:r>
    </w:p>
    <w:tbl>
      <w:tblPr>
        <w:tblW w:w="0" w:type="auto"/>
        <w:tblLayout w:type="fixed"/>
        <w:tblCellMar>
          <w:left w:w="0" w:type="dxa"/>
          <w:right w:w="28" w:type="dxa"/>
        </w:tblCellMar>
        <w:tblLook w:val="0000" w:firstRow="0" w:lastRow="0" w:firstColumn="0" w:lastColumn="0" w:noHBand="0" w:noVBand="0"/>
      </w:tblPr>
      <w:tblGrid>
        <w:gridCol w:w="963"/>
        <w:gridCol w:w="4031"/>
        <w:gridCol w:w="1644"/>
        <w:gridCol w:w="3283"/>
      </w:tblGrid>
      <w:tr w:rsidR="005B2186" w:rsidRPr="00330077" w:rsidTr="00BF3DB7">
        <w:trPr>
          <w:gridBefore w:val="1"/>
          <w:gridAfter w:val="1"/>
          <w:wBefore w:w="963" w:type="dxa"/>
          <w:wAfter w:w="3283" w:type="dxa"/>
        </w:trPr>
        <w:tc>
          <w:tcPr>
            <w:tcW w:w="4031" w:type="dxa"/>
            <w:tcBorders>
              <w:top w:val="nil"/>
              <w:left w:val="nil"/>
              <w:bottom w:val="nil"/>
              <w:right w:val="nil"/>
            </w:tcBorders>
            <w:tcMar>
              <w:left w:w="0" w:type="dxa"/>
            </w:tcMar>
            <w:vAlign w:val="bottom"/>
          </w:tcPr>
          <w:p w:rsidR="005B2186" w:rsidRPr="00330077" w:rsidRDefault="005B2186" w:rsidP="00BF3DB7">
            <w:pPr>
              <w:pStyle w:val="NtF2DescCHd1"/>
              <w:rPr>
                <w:rFonts w:ascii="GillSans Light" w:hAnsi="GillSans Light"/>
                <w:color w:val="auto"/>
                <w:sz w:val="22"/>
                <w:szCs w:val="22"/>
              </w:rPr>
            </w:pPr>
            <w:r w:rsidRPr="00330077">
              <w:rPr>
                <w:rFonts w:ascii="GillSans Light" w:hAnsi="GillSans Light"/>
                <w:color w:val="auto"/>
                <w:sz w:val="22"/>
                <w:szCs w:val="22"/>
              </w:rPr>
              <w:t>Fixed asset class</w:t>
            </w:r>
          </w:p>
        </w:tc>
        <w:tc>
          <w:tcPr>
            <w:tcW w:w="1644" w:type="dxa"/>
            <w:tcBorders>
              <w:top w:val="nil"/>
              <w:left w:val="nil"/>
              <w:bottom w:val="nil"/>
              <w:right w:val="nil"/>
            </w:tcBorders>
            <w:tcMar>
              <w:left w:w="28" w:type="dxa"/>
            </w:tcMar>
            <w:vAlign w:val="bottom"/>
          </w:tcPr>
          <w:p w:rsidR="005B2186" w:rsidRPr="00330077" w:rsidRDefault="005B2186" w:rsidP="00BF3DB7">
            <w:pPr>
              <w:pStyle w:val="NtF2DescCHd1"/>
              <w:rPr>
                <w:rFonts w:ascii="GillSans Light" w:hAnsi="GillSans Light"/>
                <w:color w:val="auto"/>
                <w:sz w:val="22"/>
                <w:szCs w:val="22"/>
              </w:rPr>
            </w:pPr>
            <w:r w:rsidRPr="00330077">
              <w:rPr>
                <w:rFonts w:ascii="GillSans Light" w:hAnsi="GillSans Light"/>
                <w:color w:val="auto"/>
                <w:sz w:val="22"/>
                <w:szCs w:val="22"/>
              </w:rPr>
              <w:t>Depreciation rate</w:t>
            </w:r>
          </w:p>
        </w:tc>
      </w:tr>
      <w:tr w:rsidR="005B2186" w:rsidRPr="00330077" w:rsidTr="00BF3DB7">
        <w:trPr>
          <w:gridBefore w:val="1"/>
          <w:gridAfter w:val="1"/>
          <w:wBefore w:w="963" w:type="dxa"/>
          <w:wAfter w:w="3283" w:type="dxa"/>
        </w:trPr>
        <w:tc>
          <w:tcPr>
            <w:tcW w:w="4031" w:type="dxa"/>
            <w:tcBorders>
              <w:top w:val="nil"/>
              <w:left w:val="nil"/>
              <w:bottom w:val="nil"/>
              <w:right w:val="nil"/>
            </w:tcBorders>
            <w:tcMar>
              <w:left w:w="0" w:type="dxa"/>
            </w:tcMar>
            <w:vAlign w:val="center"/>
          </w:tcPr>
          <w:p w:rsidR="005B2186" w:rsidRPr="00330077" w:rsidRDefault="005B2186" w:rsidP="00BF3DB7">
            <w:pPr>
              <w:pStyle w:val="NtF2Desc"/>
              <w:rPr>
                <w:rFonts w:ascii="GillSans Light" w:hAnsi="GillSans Light"/>
                <w:color w:val="auto"/>
                <w:sz w:val="22"/>
                <w:szCs w:val="22"/>
              </w:rPr>
            </w:pPr>
            <w:r w:rsidRPr="00330077">
              <w:rPr>
                <w:rFonts w:ascii="GillSans Light" w:hAnsi="GillSans Light"/>
                <w:color w:val="auto"/>
                <w:sz w:val="22"/>
                <w:szCs w:val="22"/>
              </w:rPr>
              <w:t>Computer equipment</w:t>
            </w:r>
          </w:p>
        </w:tc>
        <w:tc>
          <w:tcPr>
            <w:tcW w:w="1644" w:type="dxa"/>
            <w:tcBorders>
              <w:top w:val="nil"/>
              <w:left w:val="nil"/>
              <w:bottom w:val="nil"/>
              <w:right w:val="nil"/>
            </w:tcBorders>
            <w:tcMar>
              <w:left w:w="28" w:type="dxa"/>
            </w:tcMar>
            <w:vAlign w:val="center"/>
          </w:tcPr>
          <w:p w:rsidR="005B2186" w:rsidRPr="00330077" w:rsidRDefault="005B2186" w:rsidP="00BF3DB7">
            <w:pPr>
              <w:pStyle w:val="NtF2xCl01"/>
              <w:tabs>
                <w:tab w:val="right" w:pos="1560"/>
                <w:tab w:val="left" w:pos="1586"/>
              </w:tabs>
              <w:rPr>
                <w:rFonts w:ascii="GillSans Light" w:hAnsi="GillSans Light"/>
                <w:color w:val="auto"/>
                <w:sz w:val="22"/>
                <w:szCs w:val="22"/>
              </w:rPr>
            </w:pPr>
            <w:r w:rsidRPr="00330077">
              <w:rPr>
                <w:rFonts w:ascii="GillSans Light" w:hAnsi="GillSans Light"/>
                <w:color w:val="auto"/>
                <w:sz w:val="22"/>
                <w:szCs w:val="22"/>
              </w:rPr>
              <w:tab/>
              <w:t xml:space="preserve">  20%</w:t>
            </w:r>
            <w:r w:rsidRPr="00330077">
              <w:rPr>
                <w:rFonts w:ascii="GillSans Light" w:hAnsi="GillSans Light"/>
                <w:color w:val="auto"/>
                <w:sz w:val="22"/>
                <w:szCs w:val="22"/>
              </w:rPr>
              <w:tab/>
            </w:r>
          </w:p>
        </w:tc>
      </w:tr>
      <w:tr w:rsidR="005B2186" w:rsidRPr="00330077" w:rsidTr="00BF3DB7">
        <w:tblPrEx>
          <w:tblCellMar>
            <w:right w:w="0" w:type="dxa"/>
          </w:tblCellMar>
        </w:tblPrEx>
        <w:tc>
          <w:tcPr>
            <w:tcW w:w="9921" w:type="dxa"/>
            <w:gridSpan w:val="4"/>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(e)</w:t>
            </w:r>
            <w:r w:rsidRPr="00330077">
              <w:rPr>
                <w:rFonts w:ascii="GillSans Light" w:hAnsi="GillSans Light"/>
                <w:color w:val="auto"/>
                <w:sz w:val="22"/>
                <w:szCs w:val="22"/>
              </w:rPr>
              <w:tab/>
              <w:t>Income tax</w:t>
            </w:r>
          </w:p>
        </w:tc>
      </w:tr>
    </w:tbl>
    <w:p w:rsidR="005B2186" w:rsidRPr="00330077" w:rsidRDefault="005B2186" w:rsidP="00380EA1">
      <w:r w:rsidRPr="00330077">
        <w:t>The Authority is exempt from income tax under Division 50 of the Income Tax Assessment Act 1997.</w:t>
      </w:r>
    </w:p>
    <w:tbl>
      <w:tblPr>
        <w:tblW w:w="9921" w:type="dxa"/>
        <w:tblLayout w:type="fixed"/>
        <w:tblCellMar>
          <w:left w:w="0" w:type="dxa"/>
          <w:right w:w="0" w:type="dxa"/>
        </w:tblCellMar>
        <w:tblLook w:val="0000" w:firstRow="0" w:lastRow="0" w:firstColumn="0" w:lastColumn="0" w:noHBand="0" w:noVBand="0"/>
      </w:tblPr>
      <w:tblGrid>
        <w:gridCol w:w="9921"/>
      </w:tblGrid>
      <w:tr w:rsidR="005B2186" w:rsidRPr="00330077" w:rsidTr="005B2186">
        <w:tc>
          <w:tcPr>
            <w:tcW w:w="9921" w:type="dxa"/>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(f)</w:t>
            </w:r>
            <w:r w:rsidRPr="00330077">
              <w:rPr>
                <w:rFonts w:ascii="GillSans Light" w:hAnsi="GillSans Light"/>
                <w:color w:val="auto"/>
                <w:sz w:val="22"/>
                <w:szCs w:val="22"/>
              </w:rPr>
              <w:tab/>
              <w:t>Revenue and other income</w:t>
            </w:r>
          </w:p>
        </w:tc>
      </w:tr>
    </w:tbl>
    <w:p w:rsidR="005B2186" w:rsidRPr="00330077" w:rsidRDefault="005B2186" w:rsidP="00380EA1">
      <w:r w:rsidRPr="00330077">
        <w:t>Registration and application fee income is recognised in the period to which it relates.</w:t>
      </w:r>
    </w:p>
    <w:p w:rsidR="005B2186" w:rsidRPr="00330077" w:rsidRDefault="005B2186" w:rsidP="00380EA1">
      <w:r w:rsidRPr="00330077">
        <w:t>Interest revenue is recognised upon receipt.</w:t>
      </w:r>
    </w:p>
    <w:p w:rsidR="00380EA1" w:rsidRDefault="005B2186" w:rsidP="00380EA1">
      <w:r w:rsidRPr="00330077">
        <w:t>All revenue is stated net of the amount of goods and services tax (GST).</w:t>
      </w:r>
    </w:p>
    <w:p w:rsidR="00380EA1" w:rsidRDefault="00380EA1">
      <w:pPr>
        <w:tabs>
          <w:tab w:val="clear" w:pos="567"/>
        </w:tabs>
        <w:spacing w:after="200" w:line="276" w:lineRule="auto"/>
      </w:pPr>
      <w:r>
        <w:br w:type="page"/>
      </w:r>
    </w:p>
    <w:p w:rsidR="005B2186" w:rsidRPr="00330077" w:rsidRDefault="00380EA1" w:rsidP="00380EA1">
      <w:pPr>
        <w:rPr>
          <w:b/>
        </w:rPr>
      </w:pPr>
      <w:r w:rsidRPr="00330077">
        <w:rPr>
          <w:b/>
        </w:rPr>
        <w:lastRenderedPageBreak/>
        <w:t>1</w:t>
      </w:r>
      <w:r w:rsidRPr="00330077">
        <w:rPr>
          <w:b/>
        </w:rPr>
        <w:tab/>
        <w:t>Summary of Significant Accounting Policies (cont'd)</w:t>
      </w:r>
    </w:p>
    <w:tbl>
      <w:tblPr>
        <w:tblW w:w="9921" w:type="dxa"/>
        <w:tblLayout w:type="fixed"/>
        <w:tblCellMar>
          <w:left w:w="0" w:type="dxa"/>
          <w:right w:w="0" w:type="dxa"/>
        </w:tblCellMar>
        <w:tblLook w:val="0000" w:firstRow="0" w:lastRow="0" w:firstColumn="0" w:lastColumn="0" w:noHBand="0" w:noVBand="0"/>
      </w:tblPr>
      <w:tblGrid>
        <w:gridCol w:w="9921"/>
      </w:tblGrid>
      <w:tr w:rsidR="005B2186" w:rsidRPr="00330077" w:rsidTr="005B2186">
        <w:tc>
          <w:tcPr>
            <w:tcW w:w="9921" w:type="dxa"/>
            <w:tcBorders>
              <w:top w:val="nil"/>
              <w:left w:val="nil"/>
              <w:bottom w:val="nil"/>
              <w:right w:val="nil"/>
            </w:tcBorders>
          </w:tcPr>
          <w:p w:rsidR="005B2186" w:rsidRPr="00330077" w:rsidRDefault="005B2186" w:rsidP="00380EA1">
            <w:pPr>
              <w:pStyle w:val="NtHeading3"/>
              <w:ind w:left="567" w:hanging="567"/>
              <w:rPr>
                <w:rFonts w:ascii="GillSans Light" w:hAnsi="GillSans Light"/>
                <w:color w:val="auto"/>
                <w:sz w:val="22"/>
                <w:szCs w:val="22"/>
              </w:rPr>
            </w:pPr>
            <w:r w:rsidRPr="00330077">
              <w:rPr>
                <w:rFonts w:ascii="GillSans Light" w:hAnsi="GillSans Light"/>
                <w:color w:val="auto"/>
                <w:sz w:val="22"/>
                <w:szCs w:val="22"/>
              </w:rPr>
              <w:t>(g)</w:t>
            </w:r>
            <w:r w:rsidRPr="00330077">
              <w:rPr>
                <w:rFonts w:ascii="GillSans Light" w:hAnsi="GillSans Light"/>
                <w:color w:val="auto"/>
                <w:sz w:val="22"/>
                <w:szCs w:val="22"/>
              </w:rPr>
              <w:tab/>
              <w:t>Goods and services tax (GST)</w:t>
            </w:r>
          </w:p>
        </w:tc>
      </w:tr>
    </w:tbl>
    <w:p w:rsidR="005B2186" w:rsidRPr="00330077" w:rsidRDefault="005B2186" w:rsidP="00380EA1">
      <w:r w:rsidRPr="00330077">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tbl>
      <w:tblPr>
        <w:tblW w:w="9921" w:type="dxa"/>
        <w:tblLayout w:type="fixed"/>
        <w:tblCellMar>
          <w:left w:w="0" w:type="dxa"/>
          <w:right w:w="0" w:type="dxa"/>
        </w:tblCellMar>
        <w:tblLook w:val="0000" w:firstRow="0" w:lastRow="0" w:firstColumn="0" w:lastColumn="0" w:noHBand="0" w:noVBand="0"/>
      </w:tblPr>
      <w:tblGrid>
        <w:gridCol w:w="397"/>
        <w:gridCol w:w="5982"/>
        <w:gridCol w:w="1299"/>
        <w:gridCol w:w="1298"/>
        <w:gridCol w:w="945"/>
      </w:tblGrid>
      <w:tr w:rsidR="005B2186" w:rsidRPr="00D8644E" w:rsidTr="00330077">
        <w:tc>
          <w:tcPr>
            <w:tcW w:w="9921" w:type="dxa"/>
            <w:gridSpan w:val="5"/>
            <w:tcBorders>
              <w:top w:val="nil"/>
              <w:left w:val="nil"/>
              <w:bottom w:val="nil"/>
              <w:right w:val="nil"/>
            </w:tcBorders>
          </w:tcPr>
          <w:p w:rsidR="005B2186" w:rsidRPr="00D8644E" w:rsidRDefault="005B2186" w:rsidP="00BF3DB7">
            <w:pPr>
              <w:pStyle w:val="NtHeading3"/>
              <w:tabs>
                <w:tab w:val="clear" w:pos="963"/>
              </w:tabs>
              <w:ind w:left="567" w:hanging="567"/>
              <w:rPr>
                <w:rFonts w:ascii="GillSans Light" w:hAnsi="GillSans Light"/>
                <w:color w:val="auto"/>
                <w:sz w:val="22"/>
                <w:szCs w:val="22"/>
              </w:rPr>
            </w:pPr>
            <w:r w:rsidRPr="00D8644E">
              <w:rPr>
                <w:rFonts w:ascii="GillSans Light" w:hAnsi="GillSans Light"/>
                <w:color w:val="auto"/>
                <w:sz w:val="22"/>
                <w:szCs w:val="22"/>
              </w:rPr>
              <w:t>2</w:t>
            </w:r>
            <w:r w:rsidRPr="00D8644E">
              <w:rPr>
                <w:rFonts w:ascii="GillSans Light" w:hAnsi="GillSans Light"/>
                <w:color w:val="auto"/>
                <w:sz w:val="22"/>
                <w:szCs w:val="22"/>
              </w:rPr>
              <w:tab/>
              <w:t>Cash and Cash Equivalents</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spacing w:before="60" w:after="60"/>
              <w:ind w:right="633"/>
              <w:rPr>
                <w:rFonts w:cs="Arial"/>
                <w:sz w:val="18"/>
                <w:szCs w:val="18"/>
              </w:rPr>
            </w:pPr>
          </w:p>
        </w:tc>
        <w:tc>
          <w:tcPr>
            <w:tcW w:w="1299" w:type="dxa"/>
            <w:tcBorders>
              <w:top w:val="nil"/>
              <w:left w:val="nil"/>
              <w:bottom w:val="nil"/>
              <w:right w:val="nil"/>
            </w:tcBorders>
            <w:tcMar>
              <w:left w:w="72" w:type="dxa"/>
            </w:tcMar>
            <w:vAlign w:val="bottom"/>
          </w:tcPr>
          <w:p w:rsidR="005B2186" w:rsidRPr="00BE6460" w:rsidRDefault="005B2186" w:rsidP="00380EA1">
            <w:pPr>
              <w:pStyle w:val="NtA1PA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380EA1">
            <w:pPr>
              <w:pStyle w:val="NtACPAYCHd"/>
              <w:spacing w:before="60" w:after="60"/>
              <w:ind w:left="-28"/>
              <w:jc w:val="right"/>
              <w:rPr>
                <w:rFonts w:ascii="GillSans Light" w:hAnsi="GillSans Light"/>
                <w:color w:val="auto"/>
              </w:rPr>
            </w:pPr>
            <w:r w:rsidRPr="00BE6460">
              <w:rPr>
                <w:rFonts w:ascii="GillSans Light" w:hAnsi="GillSans Light"/>
                <w:color w:val="auto"/>
              </w:rPr>
              <w:t>$</w:t>
            </w:r>
          </w:p>
        </w:tc>
        <w:tc>
          <w:tcPr>
            <w:tcW w:w="1298" w:type="dxa"/>
            <w:tcBorders>
              <w:top w:val="nil"/>
              <w:left w:val="nil"/>
              <w:bottom w:val="nil"/>
              <w:right w:val="nil"/>
            </w:tcBorders>
            <w:tcMar>
              <w:left w:w="43" w:type="dxa"/>
            </w:tcMar>
            <w:vAlign w:val="bottom"/>
          </w:tcPr>
          <w:p w:rsidR="005B2186" w:rsidRPr="00BE6460" w:rsidRDefault="005B2186" w:rsidP="00380EA1">
            <w:pPr>
              <w:pStyle w:val="NtA1PP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380EA1">
            <w:pPr>
              <w:pStyle w:val="NtACPPYCHd"/>
              <w:spacing w:before="60" w:after="60"/>
              <w:ind w:left="-28"/>
              <w:jc w:val="right"/>
              <w:rPr>
                <w:rFonts w:ascii="GillSans Light" w:hAnsi="GillSans Light"/>
                <w:color w:val="auto"/>
              </w:rPr>
            </w:pPr>
            <w:r w:rsidRPr="00BE6460">
              <w:rPr>
                <w:rFonts w:ascii="GillSans Light" w:hAnsi="GillSans Light"/>
                <w:color w:val="auto"/>
              </w:rPr>
              <w:t>$</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Cash on hand</w:t>
            </w:r>
          </w:p>
        </w:tc>
        <w:tc>
          <w:tcPr>
            <w:tcW w:w="1299" w:type="dxa"/>
            <w:tcBorders>
              <w:top w:val="nil"/>
              <w:left w:val="nil"/>
              <w:bottom w:val="nil"/>
              <w:right w:val="nil"/>
            </w:tcBorders>
            <w:tcMar>
              <w:left w:w="72" w:type="dxa"/>
            </w:tcMar>
            <w:vAlign w:val="bottom"/>
          </w:tcPr>
          <w:p w:rsidR="005B2186" w:rsidRPr="00BE6460" w:rsidRDefault="005B2186" w:rsidP="00380EA1">
            <w:pPr>
              <w:pStyle w:val="NtA1PAY"/>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180,838</w:t>
            </w:r>
            <w:r w:rsidRPr="00BE6460">
              <w:rPr>
                <w:rFonts w:ascii="GillSans Light" w:hAnsi="GillSans Light"/>
                <w:color w:val="auto"/>
                <w:sz w:val="18"/>
                <w:szCs w:val="18"/>
              </w:rPr>
              <w:tab/>
            </w:r>
          </w:p>
        </w:tc>
        <w:tc>
          <w:tcPr>
            <w:tcW w:w="1298" w:type="dxa"/>
            <w:tcBorders>
              <w:top w:val="nil"/>
              <w:left w:val="nil"/>
              <w:bottom w:val="nil"/>
              <w:right w:val="nil"/>
            </w:tcBorders>
            <w:tcMar>
              <w:left w:w="43" w:type="dxa"/>
            </w:tcMar>
            <w:vAlign w:val="bottom"/>
          </w:tcPr>
          <w:p w:rsidR="005B2186" w:rsidRPr="00BE6460" w:rsidRDefault="005B2186" w:rsidP="00380EA1">
            <w:pPr>
              <w:pStyle w:val="NtA1PPY"/>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142,673</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pStyle w:val="NtDescTiNo"/>
              <w:spacing w:before="60" w:after="60"/>
              <w:rPr>
                <w:rFonts w:ascii="GillSans Light" w:hAnsi="GillSans Light"/>
                <w:color w:val="auto"/>
                <w:sz w:val="18"/>
                <w:szCs w:val="18"/>
              </w:rPr>
            </w:pPr>
          </w:p>
        </w:tc>
        <w:tc>
          <w:tcPr>
            <w:tcW w:w="1299" w:type="dxa"/>
            <w:tcBorders>
              <w:top w:val="single" w:sz="8" w:space="0" w:color="000000"/>
              <w:left w:val="nil"/>
              <w:bottom w:val="double" w:sz="6" w:space="0" w:color="000000"/>
              <w:right w:val="nil"/>
            </w:tcBorders>
            <w:tcMar>
              <w:left w:w="72" w:type="dxa"/>
            </w:tcMar>
            <w:vAlign w:val="bottom"/>
          </w:tcPr>
          <w:p w:rsidR="005B2186" w:rsidRPr="00BE6460" w:rsidRDefault="005B2186" w:rsidP="00380EA1">
            <w:pPr>
              <w:pStyle w:val="NtA1PAYT"/>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180,838</w:t>
            </w:r>
            <w:r w:rsidRPr="00BE6460">
              <w:rPr>
                <w:rFonts w:ascii="GillSans Light" w:hAnsi="GillSans Light"/>
                <w:color w:val="auto"/>
                <w:sz w:val="18"/>
                <w:szCs w:val="18"/>
              </w:rPr>
              <w:tab/>
            </w:r>
          </w:p>
        </w:tc>
        <w:tc>
          <w:tcPr>
            <w:tcW w:w="1298" w:type="dxa"/>
            <w:tcBorders>
              <w:top w:val="single" w:sz="8" w:space="0" w:color="000000"/>
              <w:left w:val="nil"/>
              <w:bottom w:val="double" w:sz="6" w:space="0" w:color="000000"/>
              <w:right w:val="nil"/>
            </w:tcBorders>
            <w:tcMar>
              <w:left w:w="43" w:type="dxa"/>
            </w:tcMar>
            <w:vAlign w:val="bottom"/>
          </w:tcPr>
          <w:p w:rsidR="005B2186" w:rsidRPr="00BE6460" w:rsidRDefault="005B2186" w:rsidP="00380EA1">
            <w:pPr>
              <w:pStyle w:val="NtA1PPYT"/>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142,673</w:t>
            </w:r>
            <w:r w:rsidRPr="00BE6460">
              <w:rPr>
                <w:rFonts w:ascii="GillSans Light" w:hAnsi="GillSans Light"/>
                <w:color w:val="auto"/>
                <w:sz w:val="18"/>
                <w:szCs w:val="18"/>
              </w:rPr>
              <w:tab/>
            </w:r>
          </w:p>
        </w:tc>
      </w:tr>
      <w:tr w:rsidR="005B2186" w:rsidRPr="00D8644E" w:rsidTr="00330077">
        <w:trPr>
          <w:gridAfter w:val="1"/>
          <w:wAfter w:w="945" w:type="dxa"/>
        </w:trPr>
        <w:tc>
          <w:tcPr>
            <w:tcW w:w="8976" w:type="dxa"/>
            <w:gridSpan w:val="4"/>
            <w:tcBorders>
              <w:top w:val="nil"/>
              <w:left w:val="nil"/>
              <w:bottom w:val="nil"/>
              <w:right w:val="nil"/>
            </w:tcBorders>
          </w:tcPr>
          <w:p w:rsidR="005B2186" w:rsidRPr="00D8644E" w:rsidRDefault="005B2186" w:rsidP="00380EA1">
            <w:pPr>
              <w:pStyle w:val="NtHeading3"/>
              <w:tabs>
                <w:tab w:val="clear" w:pos="963"/>
                <w:tab w:val="left" w:pos="397"/>
              </w:tabs>
              <w:spacing w:before="60" w:after="60"/>
              <w:ind w:left="-28" w:hanging="396"/>
              <w:rPr>
                <w:rFonts w:ascii="GillSans Light" w:hAnsi="GillSans Light"/>
                <w:color w:val="auto"/>
                <w:sz w:val="22"/>
                <w:szCs w:val="22"/>
              </w:rPr>
            </w:pPr>
            <w:r w:rsidRPr="00D8644E">
              <w:rPr>
                <w:rFonts w:ascii="GillSans Light" w:hAnsi="GillSans Light"/>
                <w:color w:val="auto"/>
                <w:sz w:val="22"/>
                <w:szCs w:val="22"/>
              </w:rPr>
              <w:t>3</w:t>
            </w:r>
            <w:r w:rsidRPr="00D8644E">
              <w:rPr>
                <w:rFonts w:ascii="GillSans Light" w:hAnsi="GillSans Light"/>
                <w:color w:val="auto"/>
                <w:sz w:val="22"/>
                <w:szCs w:val="22"/>
              </w:rPr>
              <w:tab/>
            </w:r>
            <w:r w:rsidR="00D8644E" w:rsidRPr="00D8644E">
              <w:rPr>
                <w:rFonts w:ascii="GillSans Light" w:hAnsi="GillSans Light"/>
                <w:color w:val="auto"/>
                <w:sz w:val="22"/>
                <w:szCs w:val="22"/>
              </w:rPr>
              <w:t>3</w:t>
            </w:r>
            <w:r w:rsidR="00D8644E" w:rsidRPr="00D8644E">
              <w:rPr>
                <w:rFonts w:ascii="GillSans Light" w:hAnsi="GillSans Light"/>
                <w:color w:val="auto"/>
                <w:sz w:val="22"/>
                <w:szCs w:val="22"/>
              </w:rPr>
              <w:tab/>
            </w:r>
            <w:r w:rsidRPr="00D8644E">
              <w:rPr>
                <w:rFonts w:ascii="GillSans Light" w:hAnsi="GillSans Light"/>
                <w:color w:val="auto"/>
                <w:sz w:val="22"/>
                <w:szCs w:val="22"/>
              </w:rPr>
              <w:t>Trade and Other Receivables</w:t>
            </w:r>
          </w:p>
        </w:tc>
      </w:tr>
      <w:tr w:rsidR="005B2186" w:rsidRPr="00BE6460" w:rsidTr="00330077">
        <w:trPr>
          <w:gridBefore w:val="1"/>
          <w:gridAfter w:val="1"/>
          <w:wBefore w:w="397" w:type="dxa"/>
          <w:wAfter w:w="945" w:type="dxa"/>
        </w:trPr>
        <w:tc>
          <w:tcPr>
            <w:tcW w:w="5982" w:type="dxa"/>
            <w:tcBorders>
              <w:top w:val="nil"/>
              <w:left w:val="nil"/>
              <w:bottom w:val="nil"/>
              <w:right w:val="nil"/>
            </w:tcBorders>
            <w:tcMar>
              <w:left w:w="43" w:type="dxa"/>
              <w:right w:w="28" w:type="dxa"/>
            </w:tcMar>
            <w:vAlign w:val="bottom"/>
          </w:tcPr>
          <w:p w:rsidR="005B2186" w:rsidRPr="00BE6460" w:rsidRDefault="005B2186" w:rsidP="00380EA1">
            <w:pPr>
              <w:spacing w:before="60" w:after="60"/>
              <w:rPr>
                <w:rFonts w:cs="Arial"/>
                <w:sz w:val="18"/>
                <w:szCs w:val="18"/>
              </w:rPr>
            </w:pPr>
          </w:p>
        </w:tc>
        <w:tc>
          <w:tcPr>
            <w:tcW w:w="1299" w:type="dxa"/>
            <w:tcBorders>
              <w:top w:val="nil"/>
              <w:left w:val="nil"/>
              <w:bottom w:val="nil"/>
              <w:right w:val="nil"/>
            </w:tcBorders>
            <w:tcMar>
              <w:left w:w="72" w:type="dxa"/>
              <w:right w:w="28" w:type="dxa"/>
            </w:tcMar>
            <w:vAlign w:val="bottom"/>
          </w:tcPr>
          <w:p w:rsidR="005B2186" w:rsidRPr="00BE6460" w:rsidRDefault="005B2186" w:rsidP="00380EA1">
            <w:pPr>
              <w:pStyle w:val="NtA1PA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380EA1">
            <w:pPr>
              <w:pStyle w:val="NtACPAYCHd"/>
              <w:spacing w:before="60" w:after="60"/>
              <w:ind w:left="-28"/>
              <w:jc w:val="right"/>
              <w:rPr>
                <w:rFonts w:ascii="GillSans Light" w:hAnsi="GillSans Light"/>
                <w:color w:val="auto"/>
              </w:rPr>
            </w:pPr>
            <w:r w:rsidRPr="00BE6460">
              <w:rPr>
                <w:rFonts w:ascii="GillSans Light" w:hAnsi="GillSans Light"/>
                <w:color w:val="auto"/>
              </w:rPr>
              <w:t>$</w:t>
            </w:r>
          </w:p>
        </w:tc>
        <w:tc>
          <w:tcPr>
            <w:tcW w:w="1298" w:type="dxa"/>
            <w:tcBorders>
              <w:top w:val="nil"/>
              <w:left w:val="nil"/>
              <w:bottom w:val="nil"/>
              <w:right w:val="nil"/>
            </w:tcBorders>
            <w:tcMar>
              <w:left w:w="43" w:type="dxa"/>
              <w:right w:w="28" w:type="dxa"/>
            </w:tcMar>
            <w:vAlign w:val="bottom"/>
          </w:tcPr>
          <w:p w:rsidR="005B2186" w:rsidRPr="00BE6460" w:rsidRDefault="005B2186" w:rsidP="00380EA1">
            <w:pPr>
              <w:pStyle w:val="NtA1PP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380EA1">
            <w:pPr>
              <w:pStyle w:val="NtACPPYCHd"/>
              <w:spacing w:before="60" w:after="60"/>
              <w:ind w:left="-28"/>
              <w:jc w:val="right"/>
              <w:rPr>
                <w:rFonts w:ascii="GillSans Light" w:hAnsi="GillSans Light"/>
                <w:color w:val="auto"/>
              </w:rPr>
            </w:pPr>
            <w:r w:rsidRPr="00BE6460">
              <w:rPr>
                <w:rFonts w:ascii="GillSans Light" w:hAnsi="GillSans Light"/>
                <w:color w:val="auto"/>
              </w:rPr>
              <w:t>$</w:t>
            </w:r>
          </w:p>
        </w:tc>
      </w:tr>
      <w:tr w:rsidR="005B2186" w:rsidRPr="00BE6460" w:rsidTr="00330077">
        <w:trPr>
          <w:gridBefore w:val="1"/>
          <w:gridAfter w:val="1"/>
          <w:wBefore w:w="397" w:type="dxa"/>
          <w:wAfter w:w="945" w:type="dxa"/>
        </w:trPr>
        <w:tc>
          <w:tcPr>
            <w:tcW w:w="5982" w:type="dxa"/>
            <w:tcBorders>
              <w:top w:val="nil"/>
              <w:left w:val="nil"/>
              <w:bottom w:val="nil"/>
              <w:right w:val="nil"/>
            </w:tcBorders>
            <w:tcMar>
              <w:left w:w="43"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Trade receivables</w:t>
            </w:r>
          </w:p>
        </w:tc>
        <w:tc>
          <w:tcPr>
            <w:tcW w:w="1299" w:type="dxa"/>
            <w:tcBorders>
              <w:top w:val="nil"/>
              <w:left w:val="nil"/>
              <w:bottom w:val="nil"/>
              <w:right w:val="nil"/>
            </w:tcBorders>
            <w:tcMar>
              <w:left w:w="72" w:type="dxa"/>
              <w:right w:w="28" w:type="dxa"/>
            </w:tcMar>
            <w:vAlign w:val="bottom"/>
          </w:tcPr>
          <w:p w:rsidR="005B2186" w:rsidRPr="00BE6460" w:rsidRDefault="005B2186" w:rsidP="00380EA1">
            <w:pPr>
              <w:pStyle w:val="NtA1PAY"/>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1,051</w:t>
            </w:r>
            <w:r w:rsidRPr="00BE6460">
              <w:rPr>
                <w:rFonts w:ascii="GillSans Light" w:hAnsi="GillSans Light"/>
                <w:color w:val="auto"/>
                <w:sz w:val="18"/>
                <w:szCs w:val="18"/>
              </w:rPr>
              <w:tab/>
            </w:r>
          </w:p>
        </w:tc>
        <w:tc>
          <w:tcPr>
            <w:tcW w:w="1298" w:type="dxa"/>
            <w:tcBorders>
              <w:top w:val="nil"/>
              <w:left w:val="nil"/>
              <w:bottom w:val="nil"/>
              <w:right w:val="nil"/>
            </w:tcBorders>
            <w:tcMar>
              <w:left w:w="43" w:type="dxa"/>
              <w:right w:w="28" w:type="dxa"/>
            </w:tcMar>
            <w:vAlign w:val="bottom"/>
          </w:tcPr>
          <w:p w:rsidR="005B2186" w:rsidRPr="00BE6460" w:rsidRDefault="005B2186" w:rsidP="00380EA1">
            <w:pPr>
              <w:pStyle w:val="NtA1PPY"/>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3,370</w:t>
            </w:r>
            <w:r w:rsidRPr="00BE6460">
              <w:rPr>
                <w:rFonts w:ascii="GillSans Light" w:hAnsi="GillSans Light"/>
                <w:color w:val="auto"/>
                <w:sz w:val="18"/>
                <w:szCs w:val="18"/>
              </w:rPr>
              <w:tab/>
            </w:r>
          </w:p>
        </w:tc>
      </w:tr>
      <w:tr w:rsidR="005B2186" w:rsidRPr="00BE6460" w:rsidTr="00330077">
        <w:trPr>
          <w:gridBefore w:val="1"/>
          <w:gridAfter w:val="1"/>
          <w:wBefore w:w="397" w:type="dxa"/>
          <w:wAfter w:w="945" w:type="dxa"/>
        </w:trPr>
        <w:tc>
          <w:tcPr>
            <w:tcW w:w="5982" w:type="dxa"/>
            <w:tcBorders>
              <w:top w:val="nil"/>
              <w:left w:val="nil"/>
              <w:bottom w:val="nil"/>
              <w:right w:val="nil"/>
            </w:tcBorders>
            <w:tcMar>
              <w:left w:w="43"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GST receivable</w:t>
            </w:r>
          </w:p>
        </w:tc>
        <w:tc>
          <w:tcPr>
            <w:tcW w:w="1299" w:type="dxa"/>
            <w:tcBorders>
              <w:top w:val="nil"/>
              <w:left w:val="nil"/>
              <w:bottom w:val="nil"/>
              <w:right w:val="nil"/>
            </w:tcBorders>
            <w:tcMar>
              <w:left w:w="72" w:type="dxa"/>
              <w:right w:w="28" w:type="dxa"/>
            </w:tcMar>
            <w:vAlign w:val="bottom"/>
          </w:tcPr>
          <w:p w:rsidR="005B2186" w:rsidRPr="00BE6460" w:rsidRDefault="005B2186" w:rsidP="00380EA1">
            <w:pPr>
              <w:pStyle w:val="NtA1PAY"/>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473</w:t>
            </w:r>
            <w:r w:rsidRPr="00BE6460">
              <w:rPr>
                <w:rFonts w:ascii="GillSans Light" w:hAnsi="GillSans Light"/>
                <w:color w:val="auto"/>
                <w:sz w:val="18"/>
                <w:szCs w:val="18"/>
              </w:rPr>
              <w:tab/>
            </w:r>
          </w:p>
        </w:tc>
        <w:tc>
          <w:tcPr>
            <w:tcW w:w="1298" w:type="dxa"/>
            <w:tcBorders>
              <w:top w:val="nil"/>
              <w:left w:val="nil"/>
              <w:bottom w:val="nil"/>
              <w:right w:val="nil"/>
            </w:tcBorders>
            <w:tcMar>
              <w:left w:w="43" w:type="dxa"/>
              <w:right w:w="28" w:type="dxa"/>
            </w:tcMar>
            <w:vAlign w:val="bottom"/>
          </w:tcPr>
          <w:p w:rsidR="005B2186" w:rsidRPr="00BE6460" w:rsidRDefault="005B2186" w:rsidP="00380EA1">
            <w:pPr>
              <w:pStyle w:val="NtA1PPY"/>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177</w:t>
            </w:r>
            <w:r w:rsidRPr="00BE6460">
              <w:rPr>
                <w:rFonts w:ascii="GillSans Light" w:hAnsi="GillSans Light"/>
                <w:color w:val="auto"/>
                <w:sz w:val="18"/>
                <w:szCs w:val="18"/>
              </w:rPr>
              <w:tab/>
            </w:r>
          </w:p>
        </w:tc>
      </w:tr>
      <w:tr w:rsidR="005B2186" w:rsidRPr="00BE6460" w:rsidTr="00330077">
        <w:trPr>
          <w:gridBefore w:val="1"/>
          <w:gridAfter w:val="1"/>
          <w:wBefore w:w="397" w:type="dxa"/>
          <w:wAfter w:w="945" w:type="dxa"/>
        </w:trPr>
        <w:tc>
          <w:tcPr>
            <w:tcW w:w="5982" w:type="dxa"/>
            <w:tcBorders>
              <w:top w:val="nil"/>
              <w:left w:val="nil"/>
              <w:bottom w:val="nil"/>
              <w:right w:val="nil"/>
            </w:tcBorders>
            <w:tcMar>
              <w:left w:w="43" w:type="dxa"/>
              <w:right w:w="28" w:type="dxa"/>
            </w:tcMar>
          </w:tcPr>
          <w:p w:rsidR="005B2186" w:rsidRPr="00BE6460" w:rsidRDefault="005B2186" w:rsidP="00380EA1">
            <w:pPr>
              <w:pStyle w:val="NtA1DescT"/>
              <w:spacing w:before="60" w:after="60"/>
              <w:rPr>
                <w:rFonts w:ascii="GillSans Light" w:hAnsi="GillSans Light"/>
                <w:color w:val="auto"/>
                <w:sz w:val="18"/>
                <w:szCs w:val="18"/>
              </w:rPr>
            </w:pPr>
          </w:p>
        </w:tc>
        <w:tc>
          <w:tcPr>
            <w:tcW w:w="1299" w:type="dxa"/>
            <w:tcBorders>
              <w:top w:val="single" w:sz="8" w:space="0" w:color="000000"/>
              <w:left w:val="nil"/>
              <w:bottom w:val="double" w:sz="6" w:space="0" w:color="000000"/>
              <w:right w:val="nil"/>
            </w:tcBorders>
            <w:tcMar>
              <w:left w:w="72" w:type="dxa"/>
              <w:right w:w="28" w:type="dxa"/>
            </w:tcMar>
            <w:vAlign w:val="bottom"/>
          </w:tcPr>
          <w:p w:rsidR="005B2186" w:rsidRPr="00BE6460" w:rsidRDefault="005B2186" w:rsidP="00380EA1">
            <w:pPr>
              <w:pStyle w:val="NtA1PAYT"/>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1,524</w:t>
            </w:r>
            <w:r w:rsidRPr="00BE6460">
              <w:rPr>
                <w:rFonts w:ascii="GillSans Light" w:hAnsi="GillSans Light"/>
                <w:color w:val="auto"/>
                <w:sz w:val="18"/>
                <w:szCs w:val="18"/>
              </w:rPr>
              <w:tab/>
            </w:r>
          </w:p>
        </w:tc>
        <w:tc>
          <w:tcPr>
            <w:tcW w:w="1298" w:type="dxa"/>
            <w:tcBorders>
              <w:top w:val="single" w:sz="8" w:space="0" w:color="000000"/>
              <w:left w:val="nil"/>
              <w:bottom w:val="double" w:sz="6" w:space="0" w:color="000000"/>
              <w:right w:val="nil"/>
            </w:tcBorders>
            <w:tcMar>
              <w:left w:w="43" w:type="dxa"/>
              <w:right w:w="28" w:type="dxa"/>
            </w:tcMar>
            <w:vAlign w:val="bottom"/>
          </w:tcPr>
          <w:p w:rsidR="005B2186" w:rsidRPr="00BE6460" w:rsidRDefault="005B2186" w:rsidP="00380EA1">
            <w:pPr>
              <w:pStyle w:val="NtA1PPYT"/>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3,547</w:t>
            </w:r>
            <w:r w:rsidRPr="00BE6460">
              <w:rPr>
                <w:rFonts w:ascii="GillSans Light" w:hAnsi="GillSans Light"/>
                <w:color w:val="auto"/>
                <w:sz w:val="18"/>
                <w:szCs w:val="18"/>
              </w:rPr>
              <w:tab/>
            </w:r>
          </w:p>
        </w:tc>
      </w:tr>
      <w:tr w:rsidR="005B2186" w:rsidRPr="00D8644E" w:rsidTr="00330077">
        <w:trPr>
          <w:gridAfter w:val="1"/>
          <w:wAfter w:w="945" w:type="dxa"/>
        </w:trPr>
        <w:tc>
          <w:tcPr>
            <w:tcW w:w="8976" w:type="dxa"/>
            <w:gridSpan w:val="4"/>
            <w:tcBorders>
              <w:top w:val="nil"/>
              <w:left w:val="nil"/>
              <w:bottom w:val="nil"/>
              <w:right w:val="nil"/>
            </w:tcBorders>
          </w:tcPr>
          <w:p w:rsidR="005B2186" w:rsidRPr="00D8644E" w:rsidRDefault="005B2186" w:rsidP="00380EA1">
            <w:pPr>
              <w:pStyle w:val="NtHeading3"/>
              <w:tabs>
                <w:tab w:val="clear" w:pos="963"/>
                <w:tab w:val="left" w:pos="397"/>
              </w:tabs>
              <w:spacing w:before="60" w:after="60"/>
              <w:ind w:left="-28" w:hanging="396"/>
              <w:rPr>
                <w:rFonts w:ascii="GillSans Light" w:hAnsi="GillSans Light"/>
                <w:color w:val="auto"/>
                <w:sz w:val="22"/>
                <w:szCs w:val="22"/>
              </w:rPr>
            </w:pPr>
            <w:r w:rsidRPr="00D8644E">
              <w:rPr>
                <w:rFonts w:ascii="GillSans Light" w:hAnsi="GillSans Light"/>
                <w:color w:val="auto"/>
                <w:sz w:val="22"/>
                <w:szCs w:val="22"/>
              </w:rPr>
              <w:t>4</w:t>
            </w:r>
            <w:r w:rsidRPr="00D8644E">
              <w:rPr>
                <w:rFonts w:ascii="GillSans Light" w:hAnsi="GillSans Light"/>
                <w:color w:val="auto"/>
                <w:sz w:val="22"/>
                <w:szCs w:val="22"/>
              </w:rPr>
              <w:tab/>
            </w:r>
            <w:r w:rsidR="00D8644E" w:rsidRPr="00D8644E">
              <w:rPr>
                <w:rFonts w:ascii="GillSans Light" w:hAnsi="GillSans Light"/>
                <w:color w:val="auto"/>
                <w:sz w:val="22"/>
                <w:szCs w:val="22"/>
              </w:rPr>
              <w:t>4</w:t>
            </w:r>
            <w:r w:rsidR="00D8644E" w:rsidRPr="00D8644E">
              <w:rPr>
                <w:rFonts w:ascii="GillSans Light" w:hAnsi="GillSans Light"/>
                <w:color w:val="auto"/>
                <w:sz w:val="22"/>
                <w:szCs w:val="22"/>
              </w:rPr>
              <w:tab/>
            </w:r>
            <w:r w:rsidRPr="00D8644E">
              <w:rPr>
                <w:rFonts w:ascii="GillSans Light" w:hAnsi="GillSans Light"/>
                <w:color w:val="auto"/>
                <w:sz w:val="22"/>
                <w:szCs w:val="22"/>
              </w:rPr>
              <w:t>Property, Plant and Equipment</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spacing w:before="60" w:after="60"/>
              <w:rPr>
                <w:rFonts w:cs="Arial"/>
                <w:sz w:val="18"/>
                <w:szCs w:val="18"/>
              </w:rPr>
            </w:pPr>
          </w:p>
        </w:tc>
        <w:tc>
          <w:tcPr>
            <w:tcW w:w="1299" w:type="dxa"/>
            <w:tcBorders>
              <w:top w:val="nil"/>
              <w:left w:val="nil"/>
              <w:bottom w:val="nil"/>
              <w:right w:val="nil"/>
            </w:tcBorders>
            <w:tcMar>
              <w:left w:w="72" w:type="dxa"/>
            </w:tcMar>
            <w:vAlign w:val="bottom"/>
          </w:tcPr>
          <w:p w:rsidR="005B2186" w:rsidRPr="00BE6460" w:rsidRDefault="005B2186" w:rsidP="00380EA1">
            <w:pPr>
              <w:pStyle w:val="NtA1PA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380EA1">
            <w:pPr>
              <w:pStyle w:val="NtACPAYCHd"/>
              <w:spacing w:before="60" w:after="60"/>
              <w:ind w:left="-28"/>
              <w:jc w:val="right"/>
              <w:rPr>
                <w:rFonts w:ascii="GillSans Light" w:hAnsi="GillSans Light"/>
                <w:color w:val="auto"/>
              </w:rPr>
            </w:pPr>
            <w:r w:rsidRPr="00BE6460">
              <w:rPr>
                <w:rFonts w:ascii="GillSans Light" w:hAnsi="GillSans Light"/>
                <w:color w:val="auto"/>
              </w:rPr>
              <w:t>$</w:t>
            </w:r>
          </w:p>
        </w:tc>
        <w:tc>
          <w:tcPr>
            <w:tcW w:w="1298" w:type="dxa"/>
            <w:tcBorders>
              <w:top w:val="nil"/>
              <w:left w:val="nil"/>
              <w:bottom w:val="nil"/>
              <w:right w:val="nil"/>
            </w:tcBorders>
            <w:tcMar>
              <w:left w:w="43" w:type="dxa"/>
            </w:tcMar>
            <w:vAlign w:val="bottom"/>
          </w:tcPr>
          <w:p w:rsidR="005B2186" w:rsidRPr="00BE6460" w:rsidRDefault="005B2186" w:rsidP="00380EA1">
            <w:pPr>
              <w:pStyle w:val="NtA1PP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380EA1">
            <w:pPr>
              <w:pStyle w:val="NtACPPYCHd"/>
              <w:spacing w:before="60" w:after="60"/>
              <w:ind w:left="-28"/>
              <w:jc w:val="right"/>
              <w:rPr>
                <w:rFonts w:ascii="GillSans Light" w:hAnsi="GillSans Light"/>
                <w:color w:val="auto"/>
              </w:rPr>
            </w:pPr>
            <w:r w:rsidRPr="00BE6460">
              <w:rPr>
                <w:rFonts w:ascii="GillSans Light" w:hAnsi="GillSans Light"/>
                <w:color w:val="auto"/>
              </w:rPr>
              <w:t>$</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 xml:space="preserve">Computer Equipment     </w:t>
            </w:r>
          </w:p>
        </w:tc>
        <w:tc>
          <w:tcPr>
            <w:tcW w:w="1299" w:type="dxa"/>
            <w:tcBorders>
              <w:top w:val="nil"/>
              <w:left w:val="nil"/>
              <w:bottom w:val="nil"/>
              <w:right w:val="nil"/>
            </w:tcBorders>
            <w:tcMar>
              <w:left w:w="72" w:type="dxa"/>
            </w:tcMar>
            <w:vAlign w:val="bottom"/>
          </w:tcPr>
          <w:p w:rsidR="005B2186" w:rsidRPr="00BE6460" w:rsidRDefault="005B2186" w:rsidP="00380EA1">
            <w:pPr>
              <w:pStyle w:val="NtA1PAY"/>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996</w:t>
            </w:r>
            <w:r w:rsidRPr="00BE6460">
              <w:rPr>
                <w:rFonts w:ascii="GillSans Light" w:hAnsi="GillSans Light"/>
                <w:color w:val="auto"/>
                <w:sz w:val="18"/>
                <w:szCs w:val="18"/>
              </w:rPr>
              <w:tab/>
            </w:r>
          </w:p>
        </w:tc>
        <w:tc>
          <w:tcPr>
            <w:tcW w:w="1298" w:type="dxa"/>
            <w:tcBorders>
              <w:top w:val="nil"/>
              <w:left w:val="nil"/>
              <w:bottom w:val="nil"/>
              <w:right w:val="nil"/>
            </w:tcBorders>
            <w:tcMar>
              <w:left w:w="43" w:type="dxa"/>
            </w:tcMar>
            <w:vAlign w:val="bottom"/>
          </w:tcPr>
          <w:p w:rsidR="005B2186" w:rsidRPr="00BE6460" w:rsidRDefault="005B2186" w:rsidP="00380EA1">
            <w:pPr>
              <w:pStyle w:val="NtA1PPY"/>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996</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Accumulated depreciation</w:t>
            </w:r>
          </w:p>
        </w:tc>
        <w:tc>
          <w:tcPr>
            <w:tcW w:w="1299" w:type="dxa"/>
            <w:tcBorders>
              <w:top w:val="nil"/>
              <w:left w:val="nil"/>
              <w:bottom w:val="single" w:sz="8" w:space="0" w:color="000000"/>
              <w:right w:val="nil"/>
            </w:tcBorders>
            <w:tcMar>
              <w:left w:w="72" w:type="dxa"/>
            </w:tcMar>
            <w:vAlign w:val="bottom"/>
          </w:tcPr>
          <w:p w:rsidR="005B2186" w:rsidRPr="00BE6460" w:rsidRDefault="005B2186" w:rsidP="00380EA1">
            <w:pPr>
              <w:pStyle w:val="NtA1PAY"/>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(680)</w:t>
            </w:r>
            <w:r w:rsidRPr="00BE6460">
              <w:rPr>
                <w:rFonts w:ascii="GillSans Light" w:hAnsi="GillSans Light"/>
                <w:color w:val="auto"/>
                <w:sz w:val="18"/>
                <w:szCs w:val="18"/>
              </w:rPr>
              <w:tab/>
            </w:r>
          </w:p>
        </w:tc>
        <w:tc>
          <w:tcPr>
            <w:tcW w:w="1298" w:type="dxa"/>
            <w:tcBorders>
              <w:top w:val="nil"/>
              <w:left w:val="nil"/>
              <w:bottom w:val="single" w:sz="8" w:space="0" w:color="000000"/>
              <w:right w:val="nil"/>
            </w:tcBorders>
            <w:tcMar>
              <w:left w:w="43" w:type="dxa"/>
            </w:tcMar>
            <w:vAlign w:val="bottom"/>
          </w:tcPr>
          <w:p w:rsidR="005B2186" w:rsidRPr="00BE6460" w:rsidRDefault="005B2186" w:rsidP="00380EA1">
            <w:pPr>
              <w:pStyle w:val="NtA1PPY"/>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(481)</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43" w:type="dxa"/>
            </w:tcMar>
            <w:vAlign w:val="bottom"/>
          </w:tcPr>
          <w:p w:rsidR="005B2186" w:rsidRPr="00BE6460" w:rsidRDefault="005B2186" w:rsidP="00380EA1">
            <w:pPr>
              <w:pStyle w:val="NtA1DescTi"/>
              <w:spacing w:before="60" w:after="60"/>
              <w:rPr>
                <w:rFonts w:ascii="GillSans Light" w:hAnsi="GillSans Light"/>
                <w:color w:val="auto"/>
                <w:sz w:val="18"/>
                <w:szCs w:val="18"/>
              </w:rPr>
            </w:pPr>
          </w:p>
        </w:tc>
        <w:tc>
          <w:tcPr>
            <w:tcW w:w="1299" w:type="dxa"/>
            <w:tcBorders>
              <w:top w:val="nil"/>
              <w:left w:val="nil"/>
              <w:bottom w:val="double" w:sz="6" w:space="0" w:color="000000"/>
              <w:right w:val="nil"/>
            </w:tcBorders>
            <w:tcMar>
              <w:left w:w="72" w:type="dxa"/>
            </w:tcMar>
            <w:vAlign w:val="bottom"/>
          </w:tcPr>
          <w:p w:rsidR="005B2186" w:rsidRPr="00BE6460" w:rsidRDefault="005B2186" w:rsidP="00380EA1">
            <w:pPr>
              <w:pStyle w:val="NtA1PAYS"/>
              <w:tabs>
                <w:tab w:val="right" w:pos="1169"/>
                <w:tab w:val="left" w:pos="1195"/>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316</w:t>
            </w:r>
            <w:r w:rsidRPr="00BE6460">
              <w:rPr>
                <w:rFonts w:ascii="GillSans Light" w:hAnsi="GillSans Light"/>
                <w:color w:val="auto"/>
                <w:sz w:val="18"/>
                <w:szCs w:val="18"/>
              </w:rPr>
              <w:tab/>
            </w:r>
          </w:p>
        </w:tc>
        <w:tc>
          <w:tcPr>
            <w:tcW w:w="1298" w:type="dxa"/>
            <w:tcBorders>
              <w:top w:val="nil"/>
              <w:left w:val="nil"/>
              <w:bottom w:val="double" w:sz="6" w:space="0" w:color="000000"/>
              <w:right w:val="nil"/>
            </w:tcBorders>
            <w:tcMar>
              <w:left w:w="43" w:type="dxa"/>
            </w:tcMar>
            <w:vAlign w:val="bottom"/>
          </w:tcPr>
          <w:p w:rsidR="005B2186" w:rsidRPr="00BE6460" w:rsidRDefault="005B2186" w:rsidP="00380EA1">
            <w:pPr>
              <w:pStyle w:val="NtA1PPYS"/>
              <w:tabs>
                <w:tab w:val="right" w:pos="1198"/>
                <w:tab w:val="left" w:pos="1224"/>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515</w:t>
            </w:r>
            <w:r w:rsidRPr="00BE6460">
              <w:rPr>
                <w:rFonts w:ascii="GillSans Light" w:hAnsi="GillSans Light"/>
                <w:color w:val="auto"/>
                <w:sz w:val="18"/>
                <w:szCs w:val="18"/>
              </w:rPr>
              <w:tab/>
            </w:r>
          </w:p>
        </w:tc>
      </w:tr>
      <w:tr w:rsidR="005B2186" w:rsidRPr="00D8644E" w:rsidTr="00330077">
        <w:trPr>
          <w:gridAfter w:val="1"/>
          <w:wAfter w:w="945" w:type="dxa"/>
        </w:trPr>
        <w:tc>
          <w:tcPr>
            <w:tcW w:w="8976" w:type="dxa"/>
            <w:gridSpan w:val="4"/>
            <w:tcBorders>
              <w:top w:val="nil"/>
              <w:left w:val="nil"/>
              <w:bottom w:val="nil"/>
              <w:right w:val="nil"/>
            </w:tcBorders>
          </w:tcPr>
          <w:p w:rsidR="005B2186" w:rsidRPr="00D8644E" w:rsidRDefault="005B2186" w:rsidP="00380EA1">
            <w:pPr>
              <w:pStyle w:val="NtHeading3"/>
              <w:tabs>
                <w:tab w:val="clear" w:pos="963"/>
                <w:tab w:val="left" w:pos="397"/>
              </w:tabs>
              <w:spacing w:before="60" w:after="60"/>
              <w:ind w:left="-28" w:hanging="396"/>
              <w:rPr>
                <w:rFonts w:ascii="GillSans Light" w:hAnsi="GillSans Light"/>
                <w:color w:val="auto"/>
                <w:sz w:val="22"/>
                <w:szCs w:val="22"/>
              </w:rPr>
            </w:pPr>
            <w:r w:rsidRPr="00D8644E">
              <w:rPr>
                <w:rFonts w:ascii="GillSans Light" w:hAnsi="GillSans Light"/>
                <w:color w:val="auto"/>
                <w:sz w:val="22"/>
                <w:szCs w:val="22"/>
              </w:rPr>
              <w:t>5</w:t>
            </w:r>
            <w:r w:rsidRPr="00D8644E">
              <w:rPr>
                <w:rFonts w:ascii="GillSans Light" w:hAnsi="GillSans Light"/>
                <w:color w:val="auto"/>
                <w:sz w:val="22"/>
                <w:szCs w:val="22"/>
              </w:rPr>
              <w:tab/>
            </w:r>
            <w:r w:rsidR="00D8644E" w:rsidRPr="00D8644E">
              <w:rPr>
                <w:rFonts w:ascii="GillSans Light" w:hAnsi="GillSans Light"/>
                <w:color w:val="auto"/>
                <w:sz w:val="22"/>
                <w:szCs w:val="22"/>
              </w:rPr>
              <w:t>5</w:t>
            </w:r>
            <w:r w:rsidR="00D8644E" w:rsidRPr="00D8644E">
              <w:rPr>
                <w:rFonts w:ascii="GillSans Light" w:hAnsi="GillSans Light"/>
                <w:color w:val="auto"/>
                <w:sz w:val="22"/>
                <w:szCs w:val="22"/>
              </w:rPr>
              <w:tab/>
            </w:r>
            <w:r w:rsidRPr="00D8644E">
              <w:rPr>
                <w:rFonts w:ascii="GillSans Light" w:hAnsi="GillSans Light"/>
                <w:color w:val="auto"/>
                <w:sz w:val="22"/>
                <w:szCs w:val="22"/>
              </w:rPr>
              <w:t>Trade and Other Payables</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0" w:type="dxa"/>
            </w:tcMar>
            <w:vAlign w:val="bottom"/>
          </w:tcPr>
          <w:p w:rsidR="005B2186" w:rsidRPr="00BE6460" w:rsidRDefault="005B2186" w:rsidP="00380EA1">
            <w:pPr>
              <w:spacing w:before="60" w:after="60"/>
              <w:rPr>
                <w:rFonts w:cs="Arial"/>
                <w:sz w:val="18"/>
                <w:szCs w:val="18"/>
              </w:rPr>
            </w:pPr>
          </w:p>
        </w:tc>
        <w:tc>
          <w:tcPr>
            <w:tcW w:w="1299" w:type="dxa"/>
            <w:tcBorders>
              <w:top w:val="nil"/>
              <w:left w:val="nil"/>
              <w:bottom w:val="nil"/>
              <w:right w:val="nil"/>
            </w:tcBorders>
            <w:tcMar>
              <w:left w:w="28" w:type="dxa"/>
            </w:tcMar>
            <w:vAlign w:val="bottom"/>
          </w:tcPr>
          <w:p w:rsidR="005B2186" w:rsidRPr="00BE6460" w:rsidRDefault="005B2186" w:rsidP="00380EA1">
            <w:pPr>
              <w:pStyle w:val="NtA1PA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380EA1">
            <w:pPr>
              <w:pStyle w:val="NtACPAYCHd"/>
              <w:spacing w:before="60" w:after="60"/>
              <w:ind w:left="-28"/>
              <w:jc w:val="right"/>
              <w:rPr>
                <w:rFonts w:ascii="GillSans Light" w:hAnsi="GillSans Light"/>
                <w:color w:val="auto"/>
              </w:rPr>
            </w:pPr>
            <w:r w:rsidRPr="00BE6460">
              <w:rPr>
                <w:rFonts w:ascii="GillSans Light" w:hAnsi="GillSans Light"/>
                <w:color w:val="auto"/>
              </w:rPr>
              <w:t>$</w:t>
            </w:r>
          </w:p>
        </w:tc>
        <w:tc>
          <w:tcPr>
            <w:tcW w:w="1298" w:type="dxa"/>
            <w:tcBorders>
              <w:top w:val="nil"/>
              <w:left w:val="nil"/>
              <w:bottom w:val="nil"/>
              <w:right w:val="nil"/>
            </w:tcBorders>
            <w:tcMar>
              <w:left w:w="0" w:type="dxa"/>
            </w:tcMar>
            <w:vAlign w:val="bottom"/>
          </w:tcPr>
          <w:p w:rsidR="005B2186" w:rsidRPr="00BE6460" w:rsidRDefault="005B2186" w:rsidP="00380EA1">
            <w:pPr>
              <w:pStyle w:val="NtA1PPYCHd"/>
              <w:spacing w:before="60" w:after="60"/>
              <w:ind w:left="-28"/>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380EA1">
            <w:pPr>
              <w:pStyle w:val="NtACPPYCHd"/>
              <w:spacing w:before="60" w:after="60"/>
              <w:ind w:left="-28"/>
              <w:jc w:val="right"/>
              <w:rPr>
                <w:rFonts w:ascii="GillSans Light" w:hAnsi="GillSans Light"/>
                <w:color w:val="auto"/>
              </w:rPr>
            </w:pPr>
            <w:r w:rsidRPr="00BE6460">
              <w:rPr>
                <w:rFonts w:ascii="GillSans Light" w:hAnsi="GillSans Light"/>
                <w:color w:val="auto"/>
              </w:rPr>
              <w:t>$</w:t>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0"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Trade payables</w:t>
            </w:r>
          </w:p>
        </w:tc>
        <w:tc>
          <w:tcPr>
            <w:tcW w:w="1299" w:type="dxa"/>
            <w:tcBorders>
              <w:top w:val="nil"/>
              <w:left w:val="nil"/>
              <w:bottom w:val="nil"/>
              <w:right w:val="nil"/>
            </w:tcBorders>
            <w:tcMar>
              <w:left w:w="28" w:type="dxa"/>
            </w:tcMar>
            <w:vAlign w:val="bottom"/>
          </w:tcPr>
          <w:p w:rsidR="005B2186" w:rsidRPr="00BE6460" w:rsidRDefault="005B2186" w:rsidP="00380EA1">
            <w:pPr>
              <w:pStyle w:val="NtA1PAY"/>
              <w:tabs>
                <w:tab w:val="right" w:pos="1214"/>
                <w:tab w:val="left" w:pos="1240"/>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8,008</w:t>
            </w:r>
            <w:r w:rsidRPr="00BE6460">
              <w:rPr>
                <w:rFonts w:ascii="GillSans Light" w:hAnsi="GillSans Light"/>
                <w:color w:val="auto"/>
                <w:sz w:val="18"/>
                <w:szCs w:val="18"/>
              </w:rPr>
              <w:tab/>
            </w:r>
          </w:p>
        </w:tc>
        <w:tc>
          <w:tcPr>
            <w:tcW w:w="1298" w:type="dxa"/>
            <w:tcBorders>
              <w:top w:val="nil"/>
              <w:left w:val="nil"/>
              <w:bottom w:val="nil"/>
              <w:right w:val="nil"/>
            </w:tcBorders>
            <w:tcMar>
              <w:left w:w="0" w:type="dxa"/>
            </w:tcMar>
            <w:vAlign w:val="bottom"/>
          </w:tcPr>
          <w:p w:rsidR="005B2186" w:rsidRPr="00BE6460" w:rsidRDefault="005B2186" w:rsidP="00380EA1">
            <w:pPr>
              <w:pStyle w:val="NtA1PPY"/>
              <w:tabs>
                <w:tab w:val="right" w:pos="1241"/>
                <w:tab w:val="left" w:pos="1267"/>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6,014</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0"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 xml:space="preserve">PAYG </w:t>
            </w:r>
            <w:r w:rsidR="00823E22" w:rsidRPr="00BE6460">
              <w:rPr>
                <w:rFonts w:ascii="GillSans Light" w:hAnsi="GillSans Light"/>
                <w:color w:val="auto"/>
                <w:sz w:val="18"/>
                <w:szCs w:val="18"/>
              </w:rPr>
              <w:t>withholding</w:t>
            </w:r>
          </w:p>
        </w:tc>
        <w:tc>
          <w:tcPr>
            <w:tcW w:w="1299" w:type="dxa"/>
            <w:tcBorders>
              <w:top w:val="nil"/>
              <w:left w:val="nil"/>
              <w:bottom w:val="nil"/>
              <w:right w:val="nil"/>
            </w:tcBorders>
            <w:tcMar>
              <w:left w:w="28" w:type="dxa"/>
            </w:tcMar>
            <w:vAlign w:val="bottom"/>
          </w:tcPr>
          <w:p w:rsidR="005B2186" w:rsidRPr="00BE6460" w:rsidRDefault="005B2186" w:rsidP="00380EA1">
            <w:pPr>
              <w:pStyle w:val="NtA1PAY"/>
              <w:tabs>
                <w:tab w:val="right" w:pos="1214"/>
                <w:tab w:val="left" w:pos="1240"/>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706</w:t>
            </w:r>
            <w:r w:rsidRPr="00BE6460">
              <w:rPr>
                <w:rFonts w:ascii="GillSans Light" w:hAnsi="GillSans Light"/>
                <w:color w:val="auto"/>
                <w:sz w:val="18"/>
                <w:szCs w:val="18"/>
              </w:rPr>
              <w:tab/>
            </w:r>
          </w:p>
        </w:tc>
        <w:tc>
          <w:tcPr>
            <w:tcW w:w="1298" w:type="dxa"/>
            <w:tcBorders>
              <w:top w:val="nil"/>
              <w:left w:val="nil"/>
              <w:bottom w:val="nil"/>
              <w:right w:val="nil"/>
            </w:tcBorders>
            <w:tcMar>
              <w:left w:w="0" w:type="dxa"/>
            </w:tcMar>
            <w:vAlign w:val="bottom"/>
          </w:tcPr>
          <w:p w:rsidR="005B2186" w:rsidRPr="00BE6460" w:rsidRDefault="005B2186" w:rsidP="00380EA1">
            <w:pPr>
              <w:pStyle w:val="NtA1PPY"/>
              <w:tabs>
                <w:tab w:val="right" w:pos="1241"/>
                <w:tab w:val="left" w:pos="1267"/>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313</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0"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Employee reimbursements</w:t>
            </w:r>
          </w:p>
        </w:tc>
        <w:tc>
          <w:tcPr>
            <w:tcW w:w="1299" w:type="dxa"/>
            <w:tcBorders>
              <w:top w:val="nil"/>
              <w:left w:val="nil"/>
              <w:bottom w:val="nil"/>
              <w:right w:val="nil"/>
            </w:tcBorders>
            <w:tcMar>
              <w:left w:w="28" w:type="dxa"/>
            </w:tcMar>
            <w:vAlign w:val="bottom"/>
          </w:tcPr>
          <w:p w:rsidR="005B2186" w:rsidRPr="00BE6460" w:rsidRDefault="005B2186" w:rsidP="00380EA1">
            <w:pPr>
              <w:pStyle w:val="NtA1PAY"/>
              <w:tabs>
                <w:tab w:val="right" w:pos="1214"/>
                <w:tab w:val="left" w:pos="1240"/>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1,187</w:t>
            </w:r>
            <w:r w:rsidRPr="00BE6460">
              <w:rPr>
                <w:rFonts w:ascii="GillSans Light" w:hAnsi="GillSans Light"/>
                <w:color w:val="auto"/>
                <w:sz w:val="18"/>
                <w:szCs w:val="18"/>
              </w:rPr>
              <w:tab/>
            </w:r>
          </w:p>
        </w:tc>
        <w:tc>
          <w:tcPr>
            <w:tcW w:w="1298" w:type="dxa"/>
            <w:tcBorders>
              <w:top w:val="nil"/>
              <w:left w:val="nil"/>
              <w:bottom w:val="nil"/>
              <w:right w:val="nil"/>
            </w:tcBorders>
            <w:tcMar>
              <w:left w:w="0" w:type="dxa"/>
            </w:tcMar>
            <w:vAlign w:val="bottom"/>
          </w:tcPr>
          <w:p w:rsidR="005B2186" w:rsidRPr="00BE6460" w:rsidRDefault="005B2186" w:rsidP="00380EA1">
            <w:pPr>
              <w:pStyle w:val="NtA1PPY"/>
              <w:tabs>
                <w:tab w:val="right" w:pos="1241"/>
                <w:tab w:val="left" w:pos="1267"/>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1,429</w:t>
            </w:r>
            <w:r w:rsidRPr="00BE6460">
              <w:rPr>
                <w:rFonts w:ascii="GillSans Light" w:hAnsi="GillSans Light"/>
                <w:color w:val="auto"/>
                <w:sz w:val="18"/>
                <w:szCs w:val="18"/>
              </w:rPr>
              <w:tab/>
            </w:r>
          </w:p>
        </w:tc>
      </w:tr>
      <w:tr w:rsidR="005B2186" w:rsidRPr="00BE6460" w:rsidTr="00330077">
        <w:tblPrEx>
          <w:tblCellMar>
            <w:right w:w="28" w:type="dxa"/>
          </w:tblCellMar>
        </w:tblPrEx>
        <w:trPr>
          <w:gridBefore w:val="1"/>
          <w:gridAfter w:val="1"/>
          <w:wBefore w:w="397" w:type="dxa"/>
          <w:wAfter w:w="945" w:type="dxa"/>
        </w:trPr>
        <w:tc>
          <w:tcPr>
            <w:tcW w:w="5982" w:type="dxa"/>
            <w:tcBorders>
              <w:top w:val="nil"/>
              <w:left w:val="nil"/>
              <w:bottom w:val="nil"/>
              <w:right w:val="nil"/>
            </w:tcBorders>
            <w:tcMar>
              <w:left w:w="0" w:type="dxa"/>
            </w:tcMar>
          </w:tcPr>
          <w:p w:rsidR="005B2186" w:rsidRPr="00BE6460" w:rsidRDefault="005B2186" w:rsidP="00380EA1">
            <w:pPr>
              <w:pStyle w:val="NtDescTiNo"/>
              <w:spacing w:before="60" w:after="60"/>
              <w:rPr>
                <w:rFonts w:ascii="GillSans Light" w:hAnsi="GillSans Light"/>
                <w:color w:val="auto"/>
                <w:sz w:val="18"/>
                <w:szCs w:val="18"/>
              </w:rPr>
            </w:pPr>
          </w:p>
        </w:tc>
        <w:tc>
          <w:tcPr>
            <w:tcW w:w="1299" w:type="dxa"/>
            <w:tcBorders>
              <w:top w:val="single" w:sz="8" w:space="0" w:color="000000"/>
              <w:left w:val="nil"/>
              <w:bottom w:val="double" w:sz="6" w:space="0" w:color="000000"/>
              <w:right w:val="nil"/>
            </w:tcBorders>
            <w:tcMar>
              <w:left w:w="28" w:type="dxa"/>
            </w:tcMar>
            <w:vAlign w:val="bottom"/>
          </w:tcPr>
          <w:p w:rsidR="005B2186" w:rsidRPr="00BE6460" w:rsidRDefault="005B2186" w:rsidP="00380EA1">
            <w:pPr>
              <w:pStyle w:val="NtA1PAYT"/>
              <w:tabs>
                <w:tab w:val="right" w:pos="1214"/>
                <w:tab w:val="left" w:pos="1240"/>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9,901</w:t>
            </w:r>
            <w:r w:rsidRPr="00BE6460">
              <w:rPr>
                <w:rFonts w:ascii="GillSans Light" w:hAnsi="GillSans Light"/>
                <w:color w:val="auto"/>
                <w:sz w:val="18"/>
                <w:szCs w:val="18"/>
              </w:rPr>
              <w:tab/>
            </w:r>
          </w:p>
        </w:tc>
        <w:tc>
          <w:tcPr>
            <w:tcW w:w="1298" w:type="dxa"/>
            <w:tcBorders>
              <w:top w:val="single" w:sz="8" w:space="0" w:color="000000"/>
              <w:left w:val="nil"/>
              <w:bottom w:val="double" w:sz="6" w:space="0" w:color="000000"/>
              <w:right w:val="nil"/>
            </w:tcBorders>
            <w:tcMar>
              <w:left w:w="0" w:type="dxa"/>
            </w:tcMar>
            <w:vAlign w:val="bottom"/>
          </w:tcPr>
          <w:p w:rsidR="005B2186" w:rsidRPr="00BE6460" w:rsidRDefault="005B2186" w:rsidP="00380EA1">
            <w:pPr>
              <w:pStyle w:val="NtA1PPYT"/>
              <w:tabs>
                <w:tab w:val="right" w:pos="1241"/>
                <w:tab w:val="left" w:pos="1267"/>
              </w:tabs>
              <w:spacing w:before="60" w:after="60"/>
              <w:ind w:left="-28"/>
              <w:rPr>
                <w:rFonts w:ascii="GillSans Light" w:hAnsi="GillSans Light"/>
                <w:color w:val="auto"/>
                <w:sz w:val="18"/>
                <w:szCs w:val="18"/>
              </w:rPr>
            </w:pPr>
            <w:r w:rsidRPr="00BE6460">
              <w:rPr>
                <w:rFonts w:ascii="GillSans Light" w:hAnsi="GillSans Light"/>
                <w:color w:val="auto"/>
                <w:sz w:val="18"/>
                <w:szCs w:val="18"/>
              </w:rPr>
              <w:tab/>
              <w:t>7,756</w:t>
            </w:r>
            <w:r w:rsidR="006B081F" w:rsidRPr="00BE6460">
              <w:rPr>
                <w:rFonts w:ascii="GillSans Light" w:hAnsi="GillSans Light"/>
                <w:color w:val="auto"/>
                <w:sz w:val="18"/>
                <w:szCs w:val="18"/>
                <w:vertAlign w:val="superscript"/>
              </w:rPr>
              <w:t>*</w:t>
            </w:r>
            <w:r w:rsidRPr="00BE6460">
              <w:rPr>
                <w:rFonts w:ascii="GillSans Light" w:hAnsi="GillSans Light"/>
                <w:color w:val="auto"/>
                <w:sz w:val="18"/>
                <w:szCs w:val="18"/>
              </w:rPr>
              <w:tab/>
            </w:r>
          </w:p>
        </w:tc>
      </w:tr>
    </w:tbl>
    <w:p w:rsidR="006B081F" w:rsidRDefault="006B081F">
      <w:pPr>
        <w:rPr>
          <w:b/>
          <w:bCs/>
        </w:rPr>
      </w:pPr>
    </w:p>
    <w:p w:rsidR="006B081F" w:rsidRPr="006B081F" w:rsidRDefault="006B081F" w:rsidP="006B081F">
      <w:pPr>
        <w:rPr>
          <w:sz w:val="18"/>
          <w:szCs w:val="18"/>
        </w:rPr>
      </w:pPr>
      <w:r w:rsidRPr="006B081F">
        <w:rPr>
          <w:sz w:val="18"/>
          <w:szCs w:val="18"/>
        </w:rPr>
        <w:t>*Due to a merge of accounts this amount differs from that reported in the 2013-14 Annual Report. Other Liabilities has been merged into Trade &amp; Other Payables, as this represents the contents of the account more appropriately.</w:t>
      </w:r>
    </w:p>
    <w:p w:rsidR="006B081F" w:rsidRDefault="006B081F" w:rsidP="006B081F"/>
    <w:p w:rsidR="00380EA1" w:rsidRDefault="00380EA1">
      <w:r>
        <w:rPr>
          <w:b/>
          <w:bCs/>
        </w:rPr>
        <w:br w:type="page"/>
      </w:r>
    </w:p>
    <w:tbl>
      <w:tblPr>
        <w:tblW w:w="9921" w:type="dxa"/>
        <w:tblLayout w:type="fixed"/>
        <w:tblCellMar>
          <w:left w:w="0" w:type="dxa"/>
          <w:right w:w="0" w:type="dxa"/>
        </w:tblCellMar>
        <w:tblLook w:val="0000" w:firstRow="0" w:lastRow="0" w:firstColumn="0" w:lastColumn="0" w:noHBand="0" w:noVBand="0"/>
      </w:tblPr>
      <w:tblGrid>
        <w:gridCol w:w="9921"/>
      </w:tblGrid>
      <w:tr w:rsidR="00330077" w:rsidRPr="00330077" w:rsidTr="00330077">
        <w:tc>
          <w:tcPr>
            <w:tcW w:w="9921" w:type="dxa"/>
            <w:tcBorders>
              <w:top w:val="nil"/>
              <w:left w:val="nil"/>
              <w:bottom w:val="nil"/>
              <w:right w:val="nil"/>
            </w:tcBorders>
          </w:tcPr>
          <w:p w:rsidR="005B2186" w:rsidRPr="00330077" w:rsidRDefault="005B2186" w:rsidP="00BF3DB7">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lastRenderedPageBreak/>
              <w:t>6</w:t>
            </w:r>
            <w:r w:rsidRPr="00330077">
              <w:rPr>
                <w:rFonts w:ascii="GillSans Light" w:hAnsi="GillSans Light"/>
                <w:color w:val="auto"/>
                <w:sz w:val="22"/>
                <w:szCs w:val="22"/>
              </w:rPr>
              <w:tab/>
              <w:t>Cash Flow Information</w:t>
            </w:r>
          </w:p>
        </w:tc>
      </w:tr>
      <w:tr w:rsidR="00330077" w:rsidRPr="00330077" w:rsidTr="00330077">
        <w:tc>
          <w:tcPr>
            <w:tcW w:w="9921" w:type="dxa"/>
            <w:tcBorders>
              <w:top w:val="nil"/>
              <w:left w:val="nil"/>
              <w:bottom w:val="nil"/>
              <w:right w:val="nil"/>
            </w:tcBorders>
          </w:tcPr>
          <w:p w:rsidR="005B2186" w:rsidRPr="00330077" w:rsidRDefault="005B2186" w:rsidP="00380EA1">
            <w:pPr>
              <w:pStyle w:val="NtHeading4"/>
              <w:tabs>
                <w:tab w:val="clear" w:pos="1530"/>
              </w:tabs>
              <w:ind w:left="567" w:hanging="567"/>
              <w:rPr>
                <w:rFonts w:ascii="GillSans Light" w:hAnsi="GillSans Light"/>
                <w:color w:val="auto"/>
                <w:sz w:val="22"/>
                <w:szCs w:val="22"/>
              </w:rPr>
            </w:pPr>
            <w:r w:rsidRPr="00330077">
              <w:rPr>
                <w:rFonts w:ascii="GillSans Light" w:hAnsi="GillSans Light"/>
                <w:color w:val="auto"/>
                <w:sz w:val="22"/>
                <w:szCs w:val="22"/>
              </w:rPr>
              <w:t>(a)</w:t>
            </w:r>
            <w:r w:rsidRPr="00330077">
              <w:rPr>
                <w:rFonts w:ascii="GillSans Light" w:hAnsi="GillSans Light"/>
                <w:color w:val="auto"/>
                <w:sz w:val="22"/>
                <w:szCs w:val="22"/>
              </w:rPr>
              <w:tab/>
              <w:t xml:space="preserve">Reconciliation of result for the year to </w:t>
            </w:r>
            <w:proofErr w:type="spellStart"/>
            <w:r w:rsidRPr="00330077">
              <w:rPr>
                <w:rFonts w:ascii="GillSans Light" w:hAnsi="GillSans Light"/>
                <w:color w:val="auto"/>
                <w:sz w:val="22"/>
                <w:szCs w:val="22"/>
              </w:rPr>
              <w:t>cashflows</w:t>
            </w:r>
            <w:proofErr w:type="spellEnd"/>
            <w:r w:rsidRPr="00330077">
              <w:rPr>
                <w:rFonts w:ascii="GillSans Light" w:hAnsi="GillSans Light"/>
                <w:color w:val="auto"/>
                <w:sz w:val="22"/>
                <w:szCs w:val="22"/>
              </w:rPr>
              <w:t xml:space="preserve"> from operating activities </w:t>
            </w:r>
          </w:p>
        </w:tc>
      </w:tr>
    </w:tbl>
    <w:p w:rsidR="005B2186" w:rsidRPr="00330077" w:rsidRDefault="005B2186" w:rsidP="00380EA1">
      <w:r w:rsidRPr="00330077">
        <w:t>Reconciliation of net income to net cash provided by operating activities:</w:t>
      </w:r>
    </w:p>
    <w:tbl>
      <w:tblPr>
        <w:tblW w:w="9921" w:type="dxa"/>
        <w:tblLayout w:type="fixed"/>
        <w:tblCellMar>
          <w:left w:w="0" w:type="dxa"/>
          <w:right w:w="0" w:type="dxa"/>
        </w:tblCellMar>
        <w:tblLook w:val="0000" w:firstRow="0" w:lastRow="0" w:firstColumn="0" w:lastColumn="0" w:noHBand="0" w:noVBand="0"/>
      </w:tblPr>
      <w:tblGrid>
        <w:gridCol w:w="546"/>
        <w:gridCol w:w="417"/>
        <w:gridCol w:w="5111"/>
        <w:gridCol w:w="8"/>
        <w:gridCol w:w="1284"/>
        <w:gridCol w:w="8"/>
        <w:gridCol w:w="1291"/>
        <w:gridCol w:w="8"/>
        <w:gridCol w:w="1248"/>
      </w:tblGrid>
      <w:tr w:rsidR="00330077" w:rsidRPr="00BE6460" w:rsidTr="00380EA1">
        <w:trPr>
          <w:gridBefore w:val="2"/>
          <w:gridAfter w:val="2"/>
          <w:wBefore w:w="963" w:type="dxa"/>
          <w:wAfter w:w="1256" w:type="dxa"/>
        </w:trPr>
        <w:tc>
          <w:tcPr>
            <w:tcW w:w="5111" w:type="dxa"/>
            <w:tcBorders>
              <w:top w:val="nil"/>
              <w:left w:val="nil"/>
              <w:bottom w:val="nil"/>
              <w:right w:val="nil"/>
            </w:tcBorders>
            <w:tcMar>
              <w:left w:w="0" w:type="dxa"/>
              <w:right w:w="28" w:type="dxa"/>
            </w:tcMar>
            <w:vAlign w:val="bottom"/>
          </w:tcPr>
          <w:p w:rsidR="005B2186" w:rsidRPr="00BE6460" w:rsidRDefault="005B2186" w:rsidP="00BF3DB7">
            <w:pPr>
              <w:pStyle w:val="NtA1DescCHd2"/>
              <w:rPr>
                <w:rFonts w:ascii="GillSans Light" w:hAnsi="GillSans Light"/>
                <w:color w:val="auto"/>
                <w:sz w:val="18"/>
                <w:szCs w:val="18"/>
              </w:rPr>
            </w:pP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30077">
            <w:pPr>
              <w:pStyle w:val="NtA1PAYCHd"/>
              <w:ind w:left="-554"/>
              <w:jc w:val="right"/>
              <w:rPr>
                <w:rFonts w:ascii="GillSans Light" w:hAnsi="GillSans Light"/>
                <w:color w:val="auto"/>
                <w:sz w:val="18"/>
                <w:szCs w:val="18"/>
              </w:rPr>
            </w:pPr>
            <w:r w:rsidRPr="00BE6460">
              <w:rPr>
                <w:rFonts w:ascii="GillSans Light" w:hAnsi="GillSans Light"/>
                <w:color w:val="auto"/>
                <w:sz w:val="18"/>
                <w:szCs w:val="18"/>
              </w:rPr>
              <w:t>2015</w:t>
            </w:r>
          </w:p>
          <w:p w:rsidR="005B2186" w:rsidRPr="00BE6460" w:rsidRDefault="005B2186" w:rsidP="00330077">
            <w:pPr>
              <w:pStyle w:val="NtACPAYCHd"/>
              <w:ind w:left="-554"/>
              <w:jc w:val="right"/>
              <w:rPr>
                <w:rFonts w:ascii="GillSans Light" w:hAnsi="GillSans Light"/>
                <w:color w:val="auto"/>
              </w:rPr>
            </w:pPr>
            <w:r w:rsidRPr="00BE6460">
              <w:rPr>
                <w:rFonts w:ascii="GillSans Light" w:hAnsi="GillSans Light"/>
                <w:color w:val="auto"/>
              </w:rPr>
              <w:t>$</w:t>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30077">
            <w:pPr>
              <w:pStyle w:val="NtA1PPYCHd"/>
              <w:ind w:left="-554"/>
              <w:jc w:val="right"/>
              <w:rPr>
                <w:rFonts w:ascii="GillSans Light" w:hAnsi="GillSans Light"/>
                <w:color w:val="auto"/>
                <w:sz w:val="18"/>
                <w:szCs w:val="18"/>
              </w:rPr>
            </w:pPr>
            <w:r w:rsidRPr="00BE6460">
              <w:rPr>
                <w:rFonts w:ascii="GillSans Light" w:hAnsi="GillSans Light"/>
                <w:color w:val="auto"/>
                <w:sz w:val="18"/>
                <w:szCs w:val="18"/>
              </w:rPr>
              <w:t>2014</w:t>
            </w:r>
          </w:p>
          <w:p w:rsidR="005B2186" w:rsidRPr="00BE6460" w:rsidRDefault="005B2186" w:rsidP="00330077">
            <w:pPr>
              <w:pStyle w:val="NtACPPYCHd"/>
              <w:ind w:left="-554"/>
              <w:jc w:val="right"/>
              <w:rPr>
                <w:rFonts w:ascii="GillSans Light" w:hAnsi="GillSans Light"/>
                <w:color w:val="auto"/>
              </w:rPr>
            </w:pPr>
            <w:r w:rsidRPr="00BE6460">
              <w:rPr>
                <w:rFonts w:ascii="GillSans Light" w:hAnsi="GillSans Light"/>
                <w:color w:val="auto"/>
              </w:rPr>
              <w:t>$</w:t>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Net surplus/(deficit) for the year</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pStyle w:val="NtA1PAY"/>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30,544</w:t>
            </w:r>
            <w:r w:rsidRPr="00BE6460">
              <w:rPr>
                <w:rFonts w:ascii="GillSans Light" w:hAnsi="GillSans Light"/>
                <w:color w:val="auto"/>
                <w:sz w:val="18"/>
                <w:szCs w:val="18"/>
              </w:rPr>
              <w:tab/>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pStyle w:val="NtA1PPY"/>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27,293</w:t>
            </w:r>
            <w:r w:rsidRPr="00BE6460">
              <w:rPr>
                <w:rFonts w:ascii="GillSans Light" w:hAnsi="GillSans Light"/>
                <w:color w:val="auto"/>
                <w:sz w:val="18"/>
                <w:szCs w:val="18"/>
              </w:rPr>
              <w:tab/>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
              <w:spacing w:before="60" w:after="60"/>
              <w:ind w:left="30" w:firstLine="0"/>
              <w:rPr>
                <w:rFonts w:ascii="GillSans Light" w:hAnsi="GillSans Light"/>
                <w:color w:val="auto"/>
                <w:sz w:val="18"/>
                <w:szCs w:val="18"/>
              </w:rPr>
            </w:pPr>
            <w:r w:rsidRPr="00BE6460">
              <w:rPr>
                <w:rFonts w:ascii="GillSans Light" w:hAnsi="GillSans Light"/>
                <w:color w:val="auto"/>
                <w:sz w:val="18"/>
                <w:szCs w:val="18"/>
              </w:rPr>
              <w:t>Cash flows excluded from profit attributable to operating activities</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spacing w:before="60" w:after="60"/>
              <w:ind w:left="-554"/>
              <w:rPr>
                <w:rFonts w:cs="Arial"/>
                <w:sz w:val="18"/>
                <w:szCs w:val="18"/>
              </w:rPr>
            </w:pP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spacing w:before="60" w:after="60"/>
              <w:ind w:left="-554"/>
              <w:rPr>
                <w:rFonts w:cs="Arial"/>
                <w:sz w:val="18"/>
                <w:szCs w:val="18"/>
              </w:rPr>
            </w:pP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Non</w:t>
            </w:r>
            <w:r w:rsidRPr="00BE6460">
              <w:rPr>
                <w:rFonts w:ascii="GillSans Light" w:hAnsi="GillSans Light"/>
                <w:color w:val="auto"/>
                <w:sz w:val="18"/>
                <w:szCs w:val="18"/>
              </w:rPr>
              <w:noBreakHyphen/>
              <w:t>cash flows in profit:</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spacing w:before="60" w:after="60"/>
              <w:ind w:left="-554"/>
              <w:rPr>
                <w:rFonts w:cs="Arial"/>
                <w:sz w:val="18"/>
                <w:szCs w:val="18"/>
              </w:rPr>
            </w:pP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spacing w:before="60" w:after="60"/>
              <w:ind w:left="-554"/>
              <w:rPr>
                <w:rFonts w:cs="Arial"/>
                <w:sz w:val="18"/>
                <w:szCs w:val="18"/>
              </w:rPr>
            </w:pP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Level1"/>
              <w:spacing w:before="60" w:after="60"/>
              <w:ind w:left="0" w:firstLine="30"/>
              <w:rPr>
                <w:rFonts w:ascii="GillSans Light" w:hAnsi="GillSans Light"/>
                <w:color w:val="auto"/>
                <w:sz w:val="18"/>
                <w:szCs w:val="18"/>
              </w:rPr>
            </w:pPr>
            <w:r w:rsidRPr="00BE6460">
              <w:rPr>
                <w:rFonts w:ascii="GillSans Light" w:hAnsi="GillSans Light"/>
                <w:color w:val="auto"/>
                <w:sz w:val="18"/>
                <w:szCs w:val="18"/>
              </w:rPr>
              <w:t xml:space="preserve"> </w:t>
            </w:r>
            <w:r w:rsidRPr="00BE6460">
              <w:rPr>
                <w:rFonts w:ascii="GillSans Light" w:hAnsi="GillSans Light"/>
                <w:color w:val="auto"/>
                <w:sz w:val="18"/>
                <w:szCs w:val="18"/>
              </w:rPr>
              <w:noBreakHyphen/>
              <w:t xml:space="preserve"> depreciation</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pStyle w:val="NtA1PAY"/>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199</w:t>
            </w:r>
            <w:r w:rsidRPr="00BE6460">
              <w:rPr>
                <w:rFonts w:ascii="GillSans Light" w:hAnsi="GillSans Light"/>
                <w:color w:val="auto"/>
                <w:sz w:val="18"/>
                <w:szCs w:val="18"/>
              </w:rPr>
              <w:tab/>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pStyle w:val="NtA1PPY"/>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199</w:t>
            </w:r>
            <w:r w:rsidRPr="00BE6460">
              <w:rPr>
                <w:rFonts w:ascii="GillSans Light" w:hAnsi="GillSans Light"/>
                <w:color w:val="auto"/>
                <w:sz w:val="18"/>
                <w:szCs w:val="18"/>
              </w:rPr>
              <w:tab/>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Changes in assets and liabilities:</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spacing w:before="60" w:after="60"/>
              <w:ind w:left="-554"/>
              <w:rPr>
                <w:rFonts w:cs="Arial"/>
                <w:sz w:val="18"/>
                <w:szCs w:val="18"/>
              </w:rPr>
            </w:pP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spacing w:before="60" w:after="60"/>
              <w:ind w:left="-554"/>
              <w:rPr>
                <w:rFonts w:cs="Arial"/>
                <w:sz w:val="18"/>
                <w:szCs w:val="18"/>
              </w:rPr>
            </w:pP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Level1"/>
              <w:spacing w:before="60" w:after="60"/>
              <w:ind w:left="30" w:firstLine="8"/>
              <w:rPr>
                <w:rFonts w:ascii="GillSans Light" w:hAnsi="GillSans Light"/>
                <w:color w:val="auto"/>
                <w:sz w:val="18"/>
                <w:szCs w:val="18"/>
              </w:rPr>
            </w:pPr>
            <w:r w:rsidRPr="00BE6460">
              <w:rPr>
                <w:rFonts w:ascii="GillSans Light" w:hAnsi="GillSans Light"/>
                <w:color w:val="auto"/>
                <w:sz w:val="18"/>
                <w:szCs w:val="18"/>
              </w:rPr>
              <w:t xml:space="preserve"> </w:t>
            </w:r>
            <w:r w:rsidRPr="00BE6460">
              <w:rPr>
                <w:rFonts w:ascii="GillSans Light" w:hAnsi="GillSans Light"/>
                <w:color w:val="auto"/>
                <w:sz w:val="18"/>
                <w:szCs w:val="18"/>
              </w:rPr>
              <w:noBreakHyphen/>
              <w:t xml:space="preserve"> (increase)/decrease in trade and other receivables</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pStyle w:val="NtA1PAY"/>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2,024</w:t>
            </w:r>
            <w:r w:rsidRPr="00BE6460">
              <w:rPr>
                <w:rFonts w:ascii="GillSans Light" w:hAnsi="GillSans Light"/>
                <w:color w:val="auto"/>
                <w:sz w:val="18"/>
                <w:szCs w:val="18"/>
              </w:rPr>
              <w:tab/>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pStyle w:val="NtA1PPY"/>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(620)</w:t>
            </w:r>
            <w:r w:rsidRPr="00BE6460">
              <w:rPr>
                <w:rFonts w:ascii="GillSans Light" w:hAnsi="GillSans Light"/>
                <w:color w:val="auto"/>
                <w:sz w:val="18"/>
                <w:szCs w:val="18"/>
              </w:rPr>
              <w:tab/>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Level1"/>
              <w:spacing w:before="60" w:after="60"/>
              <w:ind w:left="30" w:firstLine="8"/>
              <w:rPr>
                <w:rFonts w:ascii="GillSans Light" w:hAnsi="GillSans Light"/>
                <w:color w:val="auto"/>
                <w:sz w:val="18"/>
                <w:szCs w:val="18"/>
              </w:rPr>
            </w:pPr>
            <w:r w:rsidRPr="00BE6460">
              <w:rPr>
                <w:rFonts w:ascii="GillSans Light" w:hAnsi="GillSans Light"/>
                <w:color w:val="auto"/>
                <w:sz w:val="18"/>
                <w:szCs w:val="18"/>
              </w:rPr>
              <w:t xml:space="preserve"> </w:t>
            </w:r>
            <w:r w:rsidRPr="00BE6460">
              <w:rPr>
                <w:rFonts w:ascii="GillSans Light" w:hAnsi="GillSans Light"/>
                <w:color w:val="auto"/>
                <w:sz w:val="18"/>
                <w:szCs w:val="18"/>
              </w:rPr>
              <w:noBreakHyphen/>
              <w:t xml:space="preserve"> increase/(decrease) in trade and other payables</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pStyle w:val="NtA1PAY"/>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2,144</w:t>
            </w:r>
            <w:r w:rsidRPr="00BE6460">
              <w:rPr>
                <w:rFonts w:ascii="GillSans Light" w:hAnsi="GillSans Light"/>
                <w:color w:val="auto"/>
                <w:sz w:val="18"/>
                <w:szCs w:val="18"/>
              </w:rPr>
              <w:tab/>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pStyle w:val="NtA1PPY"/>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1,034</w:t>
            </w:r>
            <w:r w:rsidRPr="00BE6460">
              <w:rPr>
                <w:rFonts w:ascii="GillSans Light" w:hAnsi="GillSans Light"/>
                <w:color w:val="auto"/>
                <w:sz w:val="18"/>
                <w:szCs w:val="18"/>
              </w:rPr>
              <w:tab/>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Level1"/>
              <w:spacing w:before="60" w:after="60"/>
              <w:ind w:left="30" w:firstLine="8"/>
              <w:rPr>
                <w:rFonts w:ascii="GillSans Light" w:hAnsi="GillSans Light"/>
                <w:color w:val="auto"/>
                <w:sz w:val="18"/>
                <w:szCs w:val="18"/>
              </w:rPr>
            </w:pPr>
            <w:r w:rsidRPr="00BE6460">
              <w:rPr>
                <w:rFonts w:ascii="GillSans Light" w:hAnsi="GillSans Light"/>
                <w:color w:val="auto"/>
                <w:sz w:val="18"/>
                <w:szCs w:val="18"/>
              </w:rPr>
              <w:t xml:space="preserve"> </w:t>
            </w:r>
            <w:r w:rsidRPr="00BE6460">
              <w:rPr>
                <w:rFonts w:ascii="GillSans Light" w:hAnsi="GillSans Light"/>
                <w:color w:val="auto"/>
                <w:sz w:val="18"/>
                <w:szCs w:val="18"/>
              </w:rPr>
              <w:noBreakHyphen/>
              <w:t xml:space="preserve"> increase/(decrease) in income in advance</w:t>
            </w:r>
          </w:p>
        </w:tc>
        <w:tc>
          <w:tcPr>
            <w:tcW w:w="1292" w:type="dxa"/>
            <w:gridSpan w:val="2"/>
            <w:tcBorders>
              <w:top w:val="nil"/>
              <w:left w:val="nil"/>
              <w:bottom w:val="nil"/>
              <w:right w:val="nil"/>
            </w:tcBorders>
            <w:tcMar>
              <w:left w:w="28" w:type="dxa"/>
              <w:right w:w="28" w:type="dxa"/>
            </w:tcMar>
            <w:vAlign w:val="bottom"/>
          </w:tcPr>
          <w:p w:rsidR="005B2186" w:rsidRPr="00BE6460" w:rsidRDefault="005B2186" w:rsidP="00380EA1">
            <w:pPr>
              <w:pStyle w:val="NtA1PAY"/>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3,254</w:t>
            </w:r>
            <w:r w:rsidRPr="00BE6460">
              <w:rPr>
                <w:rFonts w:ascii="GillSans Light" w:hAnsi="GillSans Light"/>
                <w:color w:val="auto"/>
                <w:sz w:val="18"/>
                <w:szCs w:val="18"/>
              </w:rPr>
              <w:tab/>
            </w:r>
          </w:p>
        </w:tc>
        <w:tc>
          <w:tcPr>
            <w:tcW w:w="1299" w:type="dxa"/>
            <w:gridSpan w:val="2"/>
            <w:tcBorders>
              <w:top w:val="nil"/>
              <w:left w:val="nil"/>
              <w:bottom w:val="nil"/>
              <w:right w:val="nil"/>
            </w:tcBorders>
            <w:tcMar>
              <w:left w:w="0" w:type="dxa"/>
              <w:right w:w="28" w:type="dxa"/>
            </w:tcMar>
            <w:vAlign w:val="bottom"/>
          </w:tcPr>
          <w:p w:rsidR="005B2186" w:rsidRPr="00BE6460" w:rsidRDefault="005B2186" w:rsidP="00380EA1">
            <w:pPr>
              <w:pStyle w:val="NtA1PPY"/>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3,697</w:t>
            </w:r>
            <w:r w:rsidRPr="00BE6460">
              <w:rPr>
                <w:rFonts w:ascii="GillSans Light" w:hAnsi="GillSans Light"/>
                <w:color w:val="auto"/>
                <w:sz w:val="18"/>
                <w:szCs w:val="18"/>
              </w:rPr>
              <w:tab/>
            </w:r>
          </w:p>
        </w:tc>
      </w:tr>
      <w:tr w:rsidR="00330077" w:rsidRPr="00BE6460" w:rsidTr="00380EA1">
        <w:trPr>
          <w:gridBefore w:val="1"/>
          <w:gridAfter w:val="1"/>
          <w:wBefore w:w="546" w:type="dxa"/>
          <w:wAfter w:w="1248" w:type="dxa"/>
        </w:trPr>
        <w:tc>
          <w:tcPr>
            <w:tcW w:w="5536" w:type="dxa"/>
            <w:gridSpan w:val="3"/>
            <w:tcBorders>
              <w:top w:val="nil"/>
              <w:left w:val="nil"/>
              <w:bottom w:val="nil"/>
              <w:right w:val="nil"/>
            </w:tcBorders>
            <w:tcMar>
              <w:left w:w="0" w:type="dxa"/>
              <w:right w:w="28" w:type="dxa"/>
            </w:tcMar>
          </w:tcPr>
          <w:p w:rsidR="005B2186" w:rsidRPr="00BE6460" w:rsidRDefault="005B2186" w:rsidP="00380EA1">
            <w:pPr>
              <w:pStyle w:val="NtA1Desc"/>
              <w:spacing w:before="60" w:after="60"/>
              <w:rPr>
                <w:rFonts w:ascii="GillSans Light" w:hAnsi="GillSans Light"/>
                <w:color w:val="auto"/>
                <w:sz w:val="18"/>
                <w:szCs w:val="18"/>
              </w:rPr>
            </w:pPr>
            <w:r w:rsidRPr="00BE6460">
              <w:rPr>
                <w:rFonts w:ascii="GillSans Light" w:hAnsi="GillSans Light"/>
                <w:color w:val="auto"/>
                <w:sz w:val="18"/>
                <w:szCs w:val="18"/>
              </w:rPr>
              <w:t>Cash</w:t>
            </w:r>
            <w:r w:rsidR="00011A63" w:rsidRPr="00BE6460">
              <w:rPr>
                <w:rFonts w:ascii="GillSans Light" w:hAnsi="GillSans Light"/>
                <w:color w:val="auto"/>
                <w:sz w:val="18"/>
                <w:szCs w:val="18"/>
              </w:rPr>
              <w:t xml:space="preserve"> </w:t>
            </w:r>
            <w:r w:rsidRPr="00BE6460">
              <w:rPr>
                <w:rFonts w:ascii="GillSans Light" w:hAnsi="GillSans Light"/>
                <w:color w:val="auto"/>
                <w:sz w:val="18"/>
                <w:szCs w:val="18"/>
              </w:rPr>
              <w:t>flow from operations</w:t>
            </w:r>
          </w:p>
        </w:tc>
        <w:tc>
          <w:tcPr>
            <w:tcW w:w="1292" w:type="dxa"/>
            <w:gridSpan w:val="2"/>
            <w:tcBorders>
              <w:top w:val="single" w:sz="8" w:space="0" w:color="000000"/>
              <w:left w:val="nil"/>
              <w:bottom w:val="double" w:sz="6" w:space="0" w:color="000000"/>
              <w:right w:val="nil"/>
            </w:tcBorders>
            <w:tcMar>
              <w:left w:w="28" w:type="dxa"/>
              <w:right w:w="28" w:type="dxa"/>
            </w:tcMar>
            <w:vAlign w:val="bottom"/>
          </w:tcPr>
          <w:p w:rsidR="005B2186" w:rsidRPr="00BE6460" w:rsidRDefault="005B2186" w:rsidP="00380EA1">
            <w:pPr>
              <w:pStyle w:val="NtA1PAYS"/>
              <w:tabs>
                <w:tab w:val="right" w:pos="1207"/>
                <w:tab w:val="left" w:pos="1233"/>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38,165</w:t>
            </w:r>
            <w:r w:rsidRPr="00BE6460">
              <w:rPr>
                <w:rFonts w:ascii="GillSans Light" w:hAnsi="GillSans Light"/>
                <w:color w:val="auto"/>
                <w:sz w:val="18"/>
                <w:szCs w:val="18"/>
              </w:rPr>
              <w:tab/>
            </w:r>
          </w:p>
        </w:tc>
        <w:tc>
          <w:tcPr>
            <w:tcW w:w="1299" w:type="dxa"/>
            <w:gridSpan w:val="2"/>
            <w:tcBorders>
              <w:top w:val="single" w:sz="8" w:space="0" w:color="000000"/>
              <w:left w:val="nil"/>
              <w:bottom w:val="double" w:sz="6" w:space="0" w:color="000000"/>
              <w:right w:val="nil"/>
            </w:tcBorders>
            <w:tcMar>
              <w:left w:w="0" w:type="dxa"/>
              <w:right w:w="28" w:type="dxa"/>
            </w:tcMar>
            <w:vAlign w:val="bottom"/>
          </w:tcPr>
          <w:p w:rsidR="005B2186" w:rsidRPr="00BE6460" w:rsidRDefault="005B2186" w:rsidP="00380EA1">
            <w:pPr>
              <w:pStyle w:val="NtA1PPYS"/>
              <w:tabs>
                <w:tab w:val="right" w:pos="1241"/>
                <w:tab w:val="left" w:pos="1267"/>
              </w:tabs>
              <w:spacing w:before="60" w:after="60"/>
              <w:ind w:left="-554"/>
              <w:rPr>
                <w:rFonts w:ascii="GillSans Light" w:hAnsi="GillSans Light"/>
                <w:color w:val="auto"/>
                <w:sz w:val="18"/>
                <w:szCs w:val="18"/>
              </w:rPr>
            </w:pPr>
            <w:r w:rsidRPr="00BE6460">
              <w:rPr>
                <w:rFonts w:ascii="GillSans Light" w:hAnsi="GillSans Light"/>
                <w:color w:val="auto"/>
                <w:sz w:val="18"/>
                <w:szCs w:val="18"/>
              </w:rPr>
              <w:tab/>
              <w:t>31,603</w:t>
            </w:r>
            <w:r w:rsidRPr="00BE6460">
              <w:rPr>
                <w:rFonts w:ascii="GillSans Light" w:hAnsi="GillSans Light"/>
                <w:color w:val="auto"/>
                <w:sz w:val="18"/>
                <w:szCs w:val="18"/>
              </w:rPr>
              <w:tab/>
            </w:r>
          </w:p>
        </w:tc>
      </w:tr>
      <w:tr w:rsidR="00330077" w:rsidRPr="00330077" w:rsidTr="00330077">
        <w:tc>
          <w:tcPr>
            <w:tcW w:w="9921" w:type="dxa"/>
            <w:gridSpan w:val="9"/>
            <w:tcBorders>
              <w:top w:val="nil"/>
              <w:left w:val="nil"/>
              <w:bottom w:val="nil"/>
              <w:right w:val="nil"/>
            </w:tcBorders>
          </w:tcPr>
          <w:p w:rsidR="005B2186" w:rsidRPr="00330077" w:rsidRDefault="005B2186" w:rsidP="00BF3DB7">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t>7</w:t>
            </w:r>
            <w:r w:rsidRPr="00330077">
              <w:rPr>
                <w:rFonts w:ascii="GillSans Light" w:hAnsi="GillSans Light"/>
                <w:color w:val="auto"/>
                <w:sz w:val="22"/>
                <w:szCs w:val="22"/>
              </w:rPr>
              <w:tab/>
              <w:t>Contingent Liabilities and Contingent Assets</w:t>
            </w:r>
          </w:p>
        </w:tc>
      </w:tr>
    </w:tbl>
    <w:p w:rsidR="005B2186" w:rsidRPr="00330077" w:rsidRDefault="005B2186" w:rsidP="00380EA1">
      <w:r w:rsidRPr="00330077">
        <w:t>In the opinion of the Authority there were not any contingencies at 30 June 2015 (30 June 2014:</w:t>
      </w:r>
      <w:r w:rsidR="00380EA1">
        <w:t xml:space="preserve"> </w:t>
      </w:r>
      <w:r w:rsidRPr="00330077">
        <w:t>None).</w:t>
      </w:r>
    </w:p>
    <w:tbl>
      <w:tblPr>
        <w:tblW w:w="0" w:type="auto"/>
        <w:tblLayout w:type="fixed"/>
        <w:tblCellMar>
          <w:left w:w="0" w:type="dxa"/>
          <w:right w:w="0" w:type="dxa"/>
        </w:tblCellMar>
        <w:tblLook w:val="0000" w:firstRow="0" w:lastRow="0" w:firstColumn="0" w:lastColumn="0" w:noHBand="0" w:noVBand="0"/>
      </w:tblPr>
      <w:tblGrid>
        <w:gridCol w:w="9921"/>
      </w:tblGrid>
      <w:tr w:rsidR="00330077" w:rsidRPr="00330077" w:rsidTr="00BF3DB7">
        <w:tc>
          <w:tcPr>
            <w:tcW w:w="9921" w:type="dxa"/>
            <w:tcBorders>
              <w:top w:val="nil"/>
              <w:left w:val="nil"/>
              <w:bottom w:val="nil"/>
              <w:right w:val="nil"/>
            </w:tcBorders>
          </w:tcPr>
          <w:p w:rsidR="005B2186" w:rsidRPr="00330077" w:rsidRDefault="005B2186" w:rsidP="00BF3DB7">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t>8</w:t>
            </w:r>
            <w:r w:rsidRPr="00330077">
              <w:rPr>
                <w:rFonts w:ascii="GillSans Light" w:hAnsi="GillSans Light"/>
                <w:color w:val="auto"/>
                <w:sz w:val="22"/>
                <w:szCs w:val="22"/>
              </w:rPr>
              <w:tab/>
              <w:t>Related Party Transactions</w:t>
            </w:r>
          </w:p>
        </w:tc>
      </w:tr>
    </w:tbl>
    <w:p w:rsidR="005B2186" w:rsidRPr="00330077" w:rsidRDefault="005B2186" w:rsidP="00380EA1">
      <w:r w:rsidRPr="00330077">
        <w:t>Transactions between related parties are on normal commercial terms and conditions no more favourable than those available to other parties unless otherwise stated.</w:t>
      </w:r>
    </w:p>
    <w:tbl>
      <w:tblPr>
        <w:tblW w:w="0" w:type="auto"/>
        <w:tblLayout w:type="fixed"/>
        <w:tblCellMar>
          <w:left w:w="0" w:type="dxa"/>
          <w:right w:w="0" w:type="dxa"/>
        </w:tblCellMar>
        <w:tblLook w:val="0000" w:firstRow="0" w:lastRow="0" w:firstColumn="0" w:lastColumn="0" w:noHBand="0" w:noVBand="0"/>
      </w:tblPr>
      <w:tblGrid>
        <w:gridCol w:w="9921"/>
      </w:tblGrid>
      <w:tr w:rsidR="00330077" w:rsidRPr="00330077" w:rsidTr="00BF3DB7">
        <w:tc>
          <w:tcPr>
            <w:tcW w:w="9921" w:type="dxa"/>
            <w:tcBorders>
              <w:top w:val="nil"/>
              <w:left w:val="nil"/>
              <w:bottom w:val="nil"/>
              <w:right w:val="nil"/>
            </w:tcBorders>
          </w:tcPr>
          <w:p w:rsidR="005B2186" w:rsidRPr="00330077" w:rsidRDefault="005B2186" w:rsidP="00BF3DB7">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t>9</w:t>
            </w:r>
            <w:r w:rsidRPr="00330077">
              <w:rPr>
                <w:rFonts w:ascii="GillSans Light" w:hAnsi="GillSans Light"/>
                <w:color w:val="auto"/>
                <w:sz w:val="22"/>
                <w:szCs w:val="22"/>
              </w:rPr>
              <w:tab/>
              <w:t>Events after the end of the Reporting Period</w:t>
            </w:r>
          </w:p>
        </w:tc>
      </w:tr>
    </w:tbl>
    <w:p w:rsidR="005B2186" w:rsidRPr="00330077" w:rsidRDefault="005B2186" w:rsidP="00380EA1">
      <w:r w:rsidRPr="00330077">
        <w:t>No matters or circumstances have arisen since the end of the financial year which significantly affected or may significantly affect the operations of the Authority, the results of those operations or the state of affairs of the Authority in future financial years.</w:t>
      </w:r>
    </w:p>
    <w:tbl>
      <w:tblPr>
        <w:tblW w:w="9942" w:type="dxa"/>
        <w:tblInd w:w="-21" w:type="dxa"/>
        <w:tblLayout w:type="fixed"/>
        <w:tblCellMar>
          <w:left w:w="0" w:type="dxa"/>
          <w:right w:w="0" w:type="dxa"/>
        </w:tblCellMar>
        <w:tblLook w:val="0000" w:firstRow="0" w:lastRow="0" w:firstColumn="0" w:lastColumn="0" w:noHBand="0" w:noVBand="0"/>
      </w:tblPr>
      <w:tblGrid>
        <w:gridCol w:w="21"/>
        <w:gridCol w:w="397"/>
        <w:gridCol w:w="9106"/>
        <w:gridCol w:w="418"/>
      </w:tblGrid>
      <w:tr w:rsidR="00330077" w:rsidRPr="00330077" w:rsidTr="00380EA1">
        <w:trPr>
          <w:gridBefore w:val="1"/>
          <w:wBefore w:w="21" w:type="dxa"/>
        </w:trPr>
        <w:tc>
          <w:tcPr>
            <w:tcW w:w="9921" w:type="dxa"/>
            <w:gridSpan w:val="3"/>
            <w:tcBorders>
              <w:top w:val="nil"/>
              <w:left w:val="nil"/>
              <w:bottom w:val="nil"/>
              <w:right w:val="nil"/>
            </w:tcBorders>
          </w:tcPr>
          <w:p w:rsidR="005B2186" w:rsidRPr="00330077" w:rsidRDefault="005B2186" w:rsidP="00BF3DB7">
            <w:pPr>
              <w:pStyle w:val="NtHeading3"/>
              <w:tabs>
                <w:tab w:val="clear" w:pos="963"/>
              </w:tabs>
              <w:ind w:left="567" w:hanging="567"/>
              <w:rPr>
                <w:rFonts w:ascii="GillSans Light" w:hAnsi="GillSans Light"/>
                <w:color w:val="auto"/>
                <w:sz w:val="22"/>
                <w:szCs w:val="22"/>
              </w:rPr>
            </w:pPr>
            <w:r w:rsidRPr="00330077">
              <w:rPr>
                <w:rFonts w:ascii="GillSans Light" w:hAnsi="GillSans Light"/>
                <w:color w:val="auto"/>
                <w:sz w:val="22"/>
                <w:szCs w:val="22"/>
              </w:rPr>
              <w:t>10</w:t>
            </w:r>
            <w:r w:rsidRPr="00330077">
              <w:rPr>
                <w:rFonts w:ascii="GillSans Light" w:hAnsi="GillSans Light"/>
                <w:color w:val="auto"/>
                <w:sz w:val="22"/>
                <w:szCs w:val="22"/>
              </w:rPr>
              <w:tab/>
              <w:t>Authority Details</w:t>
            </w:r>
          </w:p>
        </w:tc>
      </w:tr>
      <w:tr w:rsidR="00330077" w:rsidRPr="00330077" w:rsidTr="00380EA1">
        <w:tblPrEx>
          <w:tblCellMar>
            <w:right w:w="28" w:type="dxa"/>
          </w:tblCellMar>
        </w:tblPrEx>
        <w:trPr>
          <w:gridBefore w:val="2"/>
          <w:wBefore w:w="418" w:type="dxa"/>
        </w:trPr>
        <w:tc>
          <w:tcPr>
            <w:tcW w:w="9524" w:type="dxa"/>
            <w:gridSpan w:val="2"/>
            <w:tcBorders>
              <w:top w:val="nil"/>
              <w:left w:val="nil"/>
              <w:bottom w:val="nil"/>
              <w:right w:val="nil"/>
            </w:tcBorders>
            <w:vAlign w:val="bottom"/>
          </w:tcPr>
          <w:p w:rsidR="005B2186" w:rsidRPr="00330077" w:rsidRDefault="005B2186" w:rsidP="00BF3DB7">
            <w:pPr>
              <w:pStyle w:val="NtS3Desc"/>
              <w:ind w:left="170" w:firstLine="0"/>
              <w:rPr>
                <w:rFonts w:ascii="GillSans Light" w:hAnsi="GillSans Light"/>
                <w:color w:val="auto"/>
                <w:sz w:val="22"/>
                <w:szCs w:val="22"/>
              </w:rPr>
            </w:pPr>
          </w:p>
        </w:tc>
      </w:tr>
      <w:tr w:rsidR="00330077" w:rsidRPr="00330077" w:rsidTr="00380EA1">
        <w:tblPrEx>
          <w:tblCellMar>
            <w:right w:w="28" w:type="dxa"/>
          </w:tblCellMar>
        </w:tblPrEx>
        <w:trPr>
          <w:gridAfter w:val="1"/>
          <w:wAfter w:w="418" w:type="dxa"/>
        </w:trPr>
        <w:tc>
          <w:tcPr>
            <w:tcW w:w="9524" w:type="dxa"/>
            <w:gridSpan w:val="3"/>
            <w:tcBorders>
              <w:top w:val="nil"/>
              <w:left w:val="nil"/>
              <w:bottom w:val="nil"/>
              <w:right w:val="nil"/>
            </w:tcBorders>
            <w:vAlign w:val="bottom"/>
          </w:tcPr>
          <w:p w:rsidR="005B2186" w:rsidRPr="00330077" w:rsidRDefault="005B2186" w:rsidP="00380EA1">
            <w:r w:rsidRPr="00330077">
              <w:t>The registered office of the Authority is:</w:t>
            </w:r>
          </w:p>
        </w:tc>
      </w:tr>
      <w:tr w:rsidR="00330077" w:rsidRPr="00330077" w:rsidTr="00380EA1">
        <w:tblPrEx>
          <w:tblCellMar>
            <w:right w:w="28" w:type="dxa"/>
          </w:tblCellMar>
        </w:tblPrEx>
        <w:trPr>
          <w:gridAfter w:val="1"/>
          <w:wAfter w:w="418" w:type="dxa"/>
        </w:trPr>
        <w:tc>
          <w:tcPr>
            <w:tcW w:w="9524" w:type="dxa"/>
            <w:gridSpan w:val="3"/>
            <w:tcBorders>
              <w:top w:val="nil"/>
              <w:left w:val="nil"/>
              <w:bottom w:val="nil"/>
              <w:right w:val="nil"/>
            </w:tcBorders>
            <w:vAlign w:val="bottom"/>
          </w:tcPr>
          <w:p w:rsidR="005B2186" w:rsidRPr="00330077" w:rsidRDefault="005B2186" w:rsidP="00380EA1">
            <w:pPr>
              <w:ind w:left="588"/>
            </w:pPr>
            <w:r w:rsidRPr="00330077">
              <w:t>Tasmanian Pharmacy Authority</w:t>
            </w:r>
          </w:p>
        </w:tc>
      </w:tr>
      <w:tr w:rsidR="00330077" w:rsidRPr="00330077" w:rsidTr="00380EA1">
        <w:tblPrEx>
          <w:tblCellMar>
            <w:right w:w="28" w:type="dxa"/>
          </w:tblCellMar>
        </w:tblPrEx>
        <w:trPr>
          <w:gridAfter w:val="1"/>
          <w:wAfter w:w="418" w:type="dxa"/>
        </w:trPr>
        <w:tc>
          <w:tcPr>
            <w:tcW w:w="9524" w:type="dxa"/>
            <w:gridSpan w:val="3"/>
            <w:tcBorders>
              <w:top w:val="nil"/>
              <w:left w:val="nil"/>
              <w:bottom w:val="nil"/>
              <w:right w:val="nil"/>
            </w:tcBorders>
            <w:vAlign w:val="bottom"/>
          </w:tcPr>
          <w:p w:rsidR="005B2186" w:rsidRPr="00330077" w:rsidRDefault="005B2186" w:rsidP="00380EA1">
            <w:pPr>
              <w:ind w:left="588"/>
            </w:pPr>
            <w:r w:rsidRPr="00330077">
              <w:t>PO Box 1082</w:t>
            </w:r>
          </w:p>
        </w:tc>
      </w:tr>
      <w:tr w:rsidR="00330077" w:rsidRPr="00330077" w:rsidTr="00380EA1">
        <w:tblPrEx>
          <w:tblCellMar>
            <w:right w:w="28" w:type="dxa"/>
          </w:tblCellMar>
        </w:tblPrEx>
        <w:trPr>
          <w:gridAfter w:val="1"/>
          <w:wAfter w:w="418" w:type="dxa"/>
        </w:trPr>
        <w:tc>
          <w:tcPr>
            <w:tcW w:w="9524" w:type="dxa"/>
            <w:gridSpan w:val="3"/>
            <w:tcBorders>
              <w:top w:val="nil"/>
              <w:left w:val="nil"/>
              <w:bottom w:val="nil"/>
              <w:right w:val="nil"/>
            </w:tcBorders>
            <w:vAlign w:val="bottom"/>
          </w:tcPr>
          <w:p w:rsidR="005B2186" w:rsidRPr="00330077" w:rsidRDefault="005B2186" w:rsidP="00380EA1">
            <w:pPr>
              <w:ind w:left="588"/>
            </w:pPr>
            <w:r w:rsidRPr="00330077">
              <w:t>SANDY BAY TAS 7005</w:t>
            </w:r>
          </w:p>
        </w:tc>
      </w:tr>
    </w:tbl>
    <w:p w:rsidR="00330077" w:rsidRDefault="00330077" w:rsidP="005B2186">
      <w:pPr>
        <w:rPr>
          <w:b/>
        </w:rPr>
      </w:pPr>
    </w:p>
    <w:p w:rsidR="00330077" w:rsidRDefault="00330077">
      <w:pPr>
        <w:tabs>
          <w:tab w:val="clear" w:pos="567"/>
        </w:tabs>
        <w:spacing w:after="200" w:line="276" w:lineRule="auto"/>
        <w:rPr>
          <w:b/>
        </w:rPr>
      </w:pPr>
      <w:r>
        <w:rPr>
          <w:b/>
        </w:rPr>
        <w:br w:type="page"/>
      </w:r>
    </w:p>
    <w:p w:rsidR="00330077" w:rsidRDefault="00BF3DB7" w:rsidP="005B2186">
      <w:pPr>
        <w:rPr>
          <w:b/>
        </w:rPr>
      </w:pPr>
      <w:r>
        <w:rPr>
          <w:b/>
          <w:noProof/>
          <w:lang w:eastAsia="en-AU"/>
        </w:rPr>
        <w:lastRenderedPageBreak/>
        <mc:AlternateContent>
          <mc:Choice Requires="wps">
            <w:drawing>
              <wp:anchor distT="0" distB="0" distL="114300" distR="114300" simplePos="0" relativeHeight="251673600" behindDoc="0" locked="0" layoutInCell="1" allowOverlap="1" wp14:anchorId="7372063D" wp14:editId="78665894">
                <wp:simplePos x="0" y="0"/>
                <wp:positionH relativeFrom="column">
                  <wp:posOffset>5671185</wp:posOffset>
                </wp:positionH>
                <wp:positionV relativeFrom="paragraph">
                  <wp:posOffset>8372475</wp:posOffset>
                </wp:positionV>
                <wp:extent cx="396240" cy="301625"/>
                <wp:effectExtent l="0" t="0" r="3810" b="3175"/>
                <wp:wrapNone/>
                <wp:docPr id="7" name="Rectangle 7"/>
                <wp:cNvGraphicFramePr/>
                <a:graphic xmlns:a="http://schemas.openxmlformats.org/drawingml/2006/main">
                  <a:graphicData uri="http://schemas.microsoft.com/office/word/2010/wordprocessingShape">
                    <wps:wsp>
                      <wps:cNvSpPr/>
                      <wps:spPr>
                        <a:xfrm>
                          <a:off x="0" y="0"/>
                          <a:ext cx="396240"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46.55pt;margin-top:659.25pt;width:31.2pt;height:2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" fillcolor="white [3212]" stroked="f" strokeweight="2pt"/>
            </w:pict>
          </mc:Fallback>
        </mc:AlternateContent>
      </w:r>
      <w:r w:rsidR="00330077">
        <w:rPr>
          <w:b/>
          <w:noProof/>
          <w:lang w:eastAsia="en-AU"/>
        </w:rPr>
        <w:drawing>
          <wp:inline distT="0" distB="0" distL="0" distR="0" wp14:anchorId="096120BA" wp14:editId="6E3135E4">
            <wp:extent cx="6469812" cy="9153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Page - Final Tas Pharmacy Authority Signed Financial Statemen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3813" cy="9159561"/>
                    </a:xfrm>
                    <a:prstGeom prst="rect">
                      <a:avLst/>
                    </a:prstGeom>
                  </pic:spPr>
                </pic:pic>
              </a:graphicData>
            </a:graphic>
          </wp:inline>
        </w:drawing>
      </w:r>
    </w:p>
    <w:p w:rsidR="00330077" w:rsidRDefault="00BF3DB7">
      <w:pPr>
        <w:tabs>
          <w:tab w:val="clear" w:pos="567"/>
        </w:tabs>
        <w:spacing w:after="200" w:line="276" w:lineRule="auto"/>
        <w:rPr>
          <w:b/>
        </w:rPr>
      </w:pPr>
      <w:r>
        <w:rPr>
          <w:b/>
          <w:noProof/>
          <w:lang w:eastAsia="en-AU"/>
        </w:rPr>
        <w:lastRenderedPageBreak/>
        <mc:AlternateContent>
          <mc:Choice Requires="wps">
            <w:drawing>
              <wp:anchor distT="0" distB="0" distL="114300" distR="114300" simplePos="0" relativeHeight="251675648" behindDoc="0" locked="0" layoutInCell="1" allowOverlap="1" wp14:anchorId="4DF4A4FE" wp14:editId="3D6A895A">
                <wp:simplePos x="0" y="0"/>
                <wp:positionH relativeFrom="column">
                  <wp:posOffset>5582309</wp:posOffset>
                </wp:positionH>
                <wp:positionV relativeFrom="paragraph">
                  <wp:posOffset>8274098</wp:posOffset>
                </wp:positionV>
                <wp:extent cx="396240" cy="301625"/>
                <wp:effectExtent l="0" t="0" r="3810" b="3175"/>
                <wp:wrapNone/>
                <wp:docPr id="9" name="Rectangle 9"/>
                <wp:cNvGraphicFramePr/>
                <a:graphic xmlns:a="http://schemas.openxmlformats.org/drawingml/2006/main">
                  <a:graphicData uri="http://schemas.microsoft.com/office/word/2010/wordprocessingShape">
                    <wps:wsp>
                      <wps:cNvSpPr/>
                      <wps:spPr>
                        <a:xfrm>
                          <a:off x="0" y="0"/>
                          <a:ext cx="396240" cy="30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39.55pt;margin-top:651.5pt;width:31.2pt;height:2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" fillcolor="white [3212]" stroked="f" strokeweight="2pt"/>
            </w:pict>
          </mc:Fallback>
        </mc:AlternateContent>
      </w:r>
      <w:r w:rsidR="00330077">
        <w:rPr>
          <w:b/>
          <w:noProof/>
          <w:lang w:eastAsia="en-AU"/>
        </w:rPr>
        <w:drawing>
          <wp:inline distT="0" distB="0" distL="0" distR="0" wp14:anchorId="7F2DC733" wp14:editId="1A3FFEA5">
            <wp:extent cx="6401845" cy="90577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Page 2 - Final Tas Pharmacy Authority Signed Financial Statemen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1341" cy="9071172"/>
                    </a:xfrm>
                    <a:prstGeom prst="rect">
                      <a:avLst/>
                    </a:prstGeom>
                  </pic:spPr>
                </pic:pic>
              </a:graphicData>
            </a:graphic>
          </wp:inline>
        </w:drawing>
      </w:r>
    </w:p>
    <w:p w:rsidR="005B2186" w:rsidRPr="00330077" w:rsidRDefault="00BF3DB7" w:rsidP="005B2186">
      <w:pPr>
        <w:rPr>
          <w:b/>
        </w:rPr>
      </w:pPr>
      <w:r>
        <w:rPr>
          <w:b/>
          <w:noProof/>
          <w:lang w:eastAsia="en-AU"/>
        </w:rPr>
        <w:lastRenderedPageBreak/>
        <mc:AlternateContent>
          <mc:Choice Requires="wps">
            <w:drawing>
              <wp:anchor distT="0" distB="0" distL="114300" distR="114300" simplePos="0" relativeHeight="251671552" behindDoc="0" locked="0" layoutInCell="1" allowOverlap="1" wp14:anchorId="411133A5" wp14:editId="4BF722CC">
                <wp:simplePos x="0" y="0"/>
                <wp:positionH relativeFrom="column">
                  <wp:posOffset>5606343</wp:posOffset>
                </wp:positionH>
                <wp:positionV relativeFrom="paragraph">
                  <wp:posOffset>8186468</wp:posOffset>
                </wp:positionV>
                <wp:extent cx="396815" cy="301924"/>
                <wp:effectExtent l="0" t="0" r="3810" b="3175"/>
                <wp:wrapNone/>
                <wp:docPr id="3" name="Rectangle 3"/>
                <wp:cNvGraphicFramePr/>
                <a:graphic xmlns:a="http://schemas.openxmlformats.org/drawingml/2006/main">
                  <a:graphicData uri="http://schemas.microsoft.com/office/word/2010/wordprocessingShape">
                    <wps:wsp>
                      <wps:cNvSpPr/>
                      <wps:spPr>
                        <a:xfrm>
                          <a:off x="0" y="0"/>
                          <a:ext cx="396815" cy="301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441.45pt;margin-top:644.6pt;width:31.25pt;height:2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" fillcolor="white [3212]" stroked="f" strokeweight="2pt"/>
            </w:pict>
          </mc:Fallback>
        </mc:AlternateContent>
      </w:r>
      <w:r w:rsidR="00330077">
        <w:rPr>
          <w:b/>
          <w:noProof/>
          <w:lang w:eastAsia="en-AU"/>
        </w:rPr>
        <w:drawing>
          <wp:inline distT="0" distB="0" distL="0" distR="0">
            <wp:extent cx="6366295" cy="90074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Page 3 - Final Tas Pharmacy Authority Signed Financial Statemen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0232" cy="9013008"/>
                    </a:xfrm>
                    <a:prstGeom prst="rect">
                      <a:avLst/>
                    </a:prstGeom>
                  </pic:spPr>
                </pic:pic>
              </a:graphicData>
            </a:graphic>
          </wp:inline>
        </w:drawing>
      </w:r>
    </w:p>
    <w:sectPr w:rsidR="005B2186" w:rsidRPr="00330077" w:rsidSect="005B2186">
      <w:headerReference w:type="default" r:id="rId30"/>
      <w:footerReference w:type="default" r:id="rId31"/>
      <w:type w:val="continuous"/>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905" w:rsidRDefault="000F1905">
      <w:pPr>
        <w:spacing w:after="0" w:line="240" w:lineRule="auto"/>
      </w:pPr>
      <w:r>
        <w:separator/>
      </w:r>
    </w:p>
  </w:endnote>
  <w:endnote w:type="continuationSeparator" w:id="0">
    <w:p w:rsidR="000F1905" w:rsidRDefault="000F1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San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Sans Light">
    <w:altName w:val="Gill Sans Light"/>
    <w:panose1 w:val="020B0402020204020204"/>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alatinoLinotype-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Default="000F1905" w:rsidP="00C601E8">
    <w:pPr>
      <w:pStyle w:val="Footer"/>
      <w:tabs>
        <w:tab w:val="right" w:pos="9638"/>
      </w:tabs>
      <w:jc w:val="left"/>
    </w:pPr>
  </w:p>
  <w:p w:rsidR="000F1905" w:rsidRDefault="009121FB" w:rsidP="00C601E8">
    <w:pPr>
      <w:pStyle w:val="Footer"/>
      <w:tabs>
        <w:tab w:val="right" w:pos="9638"/>
      </w:tabs>
      <w:jc w:val="left"/>
    </w:pPr>
    <w:bookmarkStart w:id="1" w:name="OLE_LINK10"/>
    <w:r>
      <w:t xml:space="preserve">Page </w:t>
    </w:r>
    <w:r>
      <w:fldChar w:fldCharType="begin"/>
    </w:r>
    <w:r>
      <w:instrText xml:space="preserve"> PAGE   \* MERGEFORMAT </w:instrText>
    </w:r>
    <w:r>
      <w:fldChar w:fldCharType="separate"/>
    </w:r>
    <w:r>
      <w:rPr>
        <w:noProof/>
      </w:rPr>
      <w:t>46</w:t>
    </w:r>
    <w:r>
      <w:fldChar w:fldCharType="end"/>
    </w:r>
    <w:r>
      <w:t xml:space="preserve"> of 247</w:t>
    </w:r>
    <w:bookmarkEnd w:id="1"/>
    <w:r w:rsidR="000F1905" w:rsidRPr="00F10F6B">
      <w:tab/>
      <w:t xml:space="preserve">DHHS Annual Report 2014-15 </w:t>
    </w:r>
    <w:bookmarkStart w:id="2" w:name="OLE_LINK1"/>
    <w:bookmarkStart w:id="3" w:name="OLE_LINK2"/>
    <w:bookmarkStart w:id="4" w:name="OLE_LINK3"/>
    <w:bookmarkStart w:id="5" w:name="OLE_LINK4"/>
    <w:bookmarkStart w:id="6" w:name="OLE_LINK5"/>
    <w:bookmarkStart w:id="7" w:name="OLE_LINK6"/>
    <w:r w:rsidR="000F1905" w:rsidRPr="00F10F6B">
      <w:t xml:space="preserve">– </w:t>
    </w:r>
    <w:bookmarkEnd w:id="2"/>
    <w:bookmarkEnd w:id="3"/>
    <w:bookmarkEnd w:id="4"/>
    <w:bookmarkEnd w:id="5"/>
    <w:bookmarkEnd w:id="6"/>
    <w:bookmarkEnd w:id="7"/>
    <w:r w:rsidR="000F1905" w:rsidRPr="00F10F6B">
      <w:t xml:space="preserve">Part </w:t>
    </w:r>
    <w:r w:rsidR="000F1905">
      <w:t>2</w:t>
    </w:r>
    <w:r w:rsidR="000F1905" w:rsidRPr="00F10F6B">
      <w:t xml:space="preserve"> – </w:t>
    </w:r>
    <w:r w:rsidR="000F1905">
      <w:t>Regulatory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84119"/>
      <w:docPartObj>
        <w:docPartGallery w:val="Page Numbers (Bottom of Page)"/>
        <w:docPartUnique/>
      </w:docPartObj>
    </w:sdtPr>
    <w:sdtEndPr>
      <w:rPr>
        <w:noProof/>
      </w:rPr>
    </w:sdtEndPr>
    <w:sdtContent>
      <w:sdt>
        <w:sdtPr>
          <w:id w:val="1373957228"/>
          <w:docPartObj>
            <w:docPartGallery w:val="Page Numbers (Bottom of Page)"/>
            <w:docPartUnique/>
          </w:docPartObj>
        </w:sdtPr>
        <w:sdtEndPr>
          <w:rPr>
            <w:noProof/>
          </w:rPr>
        </w:sdtEndPr>
        <w:sdtContent>
          <w:p w:rsidR="000F1905" w:rsidRDefault="000F1905" w:rsidP="00C601E8">
            <w:pPr>
              <w:pStyle w:val="Footer"/>
              <w:tabs>
                <w:tab w:val="right" w:pos="9638"/>
              </w:tabs>
              <w:jc w:val="left"/>
            </w:pPr>
          </w:p>
          <w:p w:rsidR="000F1905" w:rsidRDefault="000F1905" w:rsidP="00C601E8">
            <w:pPr>
              <w:pStyle w:val="Footer"/>
              <w:tabs>
                <w:tab w:val="right" w:pos="9638"/>
              </w:tabs>
              <w:jc w:val="left"/>
            </w:pPr>
            <w:r w:rsidRPr="00F10F6B">
              <w:t xml:space="preserve">DHHS Annual Report 2014-15 – Part </w:t>
            </w:r>
            <w:r>
              <w:t>2</w:t>
            </w:r>
            <w:r w:rsidRPr="00F10F6B">
              <w:t xml:space="preserve"> – </w:t>
            </w:r>
            <w:r>
              <w:t xml:space="preserve">Regulatory Information </w:t>
            </w:r>
            <w:r>
              <w:tab/>
            </w:r>
            <w:r w:rsidR="009121FB">
              <w:t xml:space="preserve">Page </w:t>
            </w:r>
            <w:r w:rsidR="009121FB">
              <w:fldChar w:fldCharType="begin"/>
            </w:r>
            <w:r w:rsidR="009121FB">
              <w:instrText xml:space="preserve"> PAGE   \* MERGEFORMAT </w:instrText>
            </w:r>
            <w:r w:rsidR="009121FB">
              <w:fldChar w:fldCharType="separate"/>
            </w:r>
            <w:r w:rsidR="009121FB">
              <w:rPr>
                <w:noProof/>
              </w:rPr>
              <w:t>47</w:t>
            </w:r>
            <w:r w:rsidR="009121FB">
              <w:fldChar w:fldCharType="end"/>
            </w:r>
            <w:r w:rsidR="009121FB">
              <w:t xml:space="preserve"> of 247</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FB" w:rsidRDefault="009121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Default="000F1905" w:rsidP="00FB6579">
    <w:pPr>
      <w:pStyle w:val="Footer"/>
      <w:tabs>
        <w:tab w:val="right" w:pos="9638"/>
      </w:tabs>
      <w:jc w:val="left"/>
    </w:pPr>
  </w:p>
  <w:p w:rsidR="000F1905" w:rsidRPr="00F10F6B" w:rsidRDefault="009121FB" w:rsidP="00FB6579">
    <w:pPr>
      <w:pStyle w:val="Footer"/>
      <w:tabs>
        <w:tab w:val="right" w:pos="9638"/>
      </w:tabs>
      <w:jc w:val="left"/>
    </w:pPr>
    <w:r>
      <w:t xml:space="preserve">Page </w:t>
    </w:r>
    <w:r>
      <w:fldChar w:fldCharType="begin"/>
    </w:r>
    <w:r>
      <w:instrText xml:space="preserve"> PAGE   \* MERGEFORMAT </w:instrText>
    </w:r>
    <w:r>
      <w:fldChar w:fldCharType="separate"/>
    </w:r>
    <w:r>
      <w:rPr>
        <w:noProof/>
      </w:rPr>
      <w:t>116</w:t>
    </w:r>
    <w:r>
      <w:fldChar w:fldCharType="end"/>
    </w:r>
    <w:r>
      <w:t xml:space="preserve"> of 247</w:t>
    </w:r>
    <w:r w:rsidR="000F1905" w:rsidRPr="00F10F6B">
      <w:tab/>
      <w:t xml:space="preserve">DHHS Annual Report 2014-15 – Part </w:t>
    </w:r>
    <w:r w:rsidR="000F1905">
      <w:t>2</w:t>
    </w:r>
    <w:r w:rsidR="000F1905" w:rsidRPr="00F10F6B">
      <w:t xml:space="preserve"> – </w:t>
    </w:r>
    <w:r w:rsidR="000F1905">
      <w:t>Regulatory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2" w:name="OLE_LINK8" w:displacedByCustomXml="next"/>
  <w:bookmarkStart w:id="13" w:name="OLE_LINK7" w:displacedByCustomXml="next"/>
  <w:sdt>
    <w:sdtPr>
      <w:id w:val="1787696448"/>
      <w:docPartObj>
        <w:docPartGallery w:val="Page Numbers (Bottom of Page)"/>
        <w:docPartUnique/>
      </w:docPartObj>
    </w:sdtPr>
    <w:sdtEndPr>
      <w:rPr>
        <w:noProof/>
      </w:rPr>
    </w:sdtEndPr>
    <w:sdtContent>
      <w:p w:rsidR="000F1905" w:rsidRDefault="000F1905" w:rsidP="00C601E8">
        <w:pPr>
          <w:pStyle w:val="Footer"/>
          <w:tabs>
            <w:tab w:val="right" w:pos="9638"/>
          </w:tabs>
          <w:jc w:val="left"/>
        </w:pPr>
      </w:p>
      <w:p w:rsidR="000F1905" w:rsidRDefault="000F1905" w:rsidP="00C601E8">
        <w:pPr>
          <w:pStyle w:val="Footer"/>
          <w:tabs>
            <w:tab w:val="right" w:pos="9638"/>
          </w:tabs>
          <w:jc w:val="left"/>
        </w:pPr>
        <w:r w:rsidRPr="00F10F6B">
          <w:t xml:space="preserve">DHHS Annual Report 2014-15 – Part </w:t>
        </w:r>
        <w:r>
          <w:t>2</w:t>
        </w:r>
        <w:r w:rsidRPr="00F10F6B">
          <w:t xml:space="preserve"> – </w:t>
        </w:r>
        <w:r>
          <w:t xml:space="preserve">Regulatory Information </w:t>
        </w:r>
        <w:r>
          <w:tab/>
        </w:r>
        <w:r w:rsidR="009121FB">
          <w:t xml:space="preserve">Page </w:t>
        </w:r>
        <w:r w:rsidR="009121FB">
          <w:fldChar w:fldCharType="begin"/>
        </w:r>
        <w:r w:rsidR="009121FB">
          <w:instrText xml:space="preserve"> PAGE   \* MERGEFORMAT </w:instrText>
        </w:r>
        <w:r w:rsidR="009121FB">
          <w:fldChar w:fldCharType="separate"/>
        </w:r>
        <w:r w:rsidR="009121FB">
          <w:rPr>
            <w:noProof/>
          </w:rPr>
          <w:t>85</w:t>
        </w:r>
        <w:r w:rsidR="009121FB">
          <w:fldChar w:fldCharType="end"/>
        </w:r>
        <w:r w:rsidR="009121FB">
          <w:t xml:space="preserve"> of 247</w:t>
        </w:r>
      </w:p>
    </w:sdtContent>
  </w:sdt>
  <w:bookmarkEnd w:id="12" w:displacedByCustomXml="prev"/>
  <w:bookmarkEnd w:id="13" w:displacedByCustomXml="prev"/>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868443"/>
      <w:docPartObj>
        <w:docPartGallery w:val="Page Numbers (Bottom of Page)"/>
        <w:docPartUnique/>
      </w:docPartObj>
    </w:sdtPr>
    <w:sdtEndPr>
      <w:rPr>
        <w:noProof/>
      </w:rPr>
    </w:sdtEndPr>
    <w:sdtContent>
      <w:p w:rsidR="000F1905" w:rsidRDefault="000F1905" w:rsidP="00892126">
        <w:pPr>
          <w:pStyle w:val="Footer"/>
          <w:tabs>
            <w:tab w:val="right" w:pos="9638"/>
          </w:tabs>
          <w:jc w:val="left"/>
        </w:pPr>
      </w:p>
      <w:p w:rsidR="000F1905" w:rsidRDefault="000F1905" w:rsidP="00892126">
        <w:pPr>
          <w:pStyle w:val="Footer"/>
          <w:tabs>
            <w:tab w:val="right" w:pos="9638"/>
          </w:tabs>
          <w:rPr>
            <w:noProof/>
          </w:rPr>
        </w:pPr>
        <w:r w:rsidRPr="00F10F6B">
          <w:t xml:space="preserve">DHHS Annual Report 2014-15 – Part </w:t>
        </w:r>
        <w:r>
          <w:t>2</w:t>
        </w:r>
        <w:r w:rsidRPr="00F10F6B">
          <w:t xml:space="preserve"> – </w:t>
        </w:r>
        <w:r>
          <w:t xml:space="preserve">Regulatory Information </w:t>
        </w:r>
        <w:r>
          <w:tab/>
        </w:r>
        <w:r w:rsidR="009121FB">
          <w:t xml:space="preserve">Page </w:t>
        </w:r>
        <w:r w:rsidR="009121FB">
          <w:fldChar w:fldCharType="begin"/>
        </w:r>
        <w:r w:rsidR="009121FB">
          <w:instrText xml:space="preserve"> PAGE   \* MERGEFORMAT </w:instrText>
        </w:r>
        <w:r w:rsidR="009121FB">
          <w:fldChar w:fldCharType="separate"/>
        </w:r>
        <w:r w:rsidR="009121FB">
          <w:rPr>
            <w:noProof/>
          </w:rPr>
          <w:t>95</w:t>
        </w:r>
        <w:r w:rsidR="009121FB">
          <w:fldChar w:fldCharType="end"/>
        </w:r>
        <w:r w:rsidR="009121FB">
          <w:t xml:space="preserve"> of 247</w:t>
        </w:r>
      </w:p>
      <w:bookmarkStart w:id="95" w:name="_GoBack" w:displacedByCustomXml="next"/>
      <w:bookmarkEnd w:id="95" w:displacedByCustomXml="nex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905" w:rsidRDefault="000F1905">
      <w:pPr>
        <w:spacing w:after="0" w:line="240" w:lineRule="auto"/>
      </w:pPr>
      <w:r>
        <w:separator/>
      </w:r>
    </w:p>
  </w:footnote>
  <w:footnote w:type="continuationSeparator" w:id="0">
    <w:p w:rsidR="000F1905" w:rsidRDefault="000F1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Pr="00D427EF" w:rsidRDefault="000F1905" w:rsidP="00691BE5">
    <w:pPr>
      <w:pStyle w:val="Header"/>
      <w:tabs>
        <w:tab w:val="right" w:pos="8505"/>
      </w:tabs>
    </w:pPr>
    <w:r>
      <w:rPr>
        <w:noProof/>
        <w:lang w:eastAsia="en-AU"/>
      </w:rPr>
      <w:drawing>
        <wp:anchor distT="0" distB="0" distL="114300" distR="114300" simplePos="0" relativeHeight="251666944" behindDoc="1" locked="0" layoutInCell="1" allowOverlap="1" wp14:anchorId="6D8A6B84" wp14:editId="724B86EF">
          <wp:simplePos x="0" y="0"/>
          <wp:positionH relativeFrom="page">
            <wp:posOffset>-9525</wp:posOffset>
          </wp:positionH>
          <wp:positionV relativeFrom="page">
            <wp:posOffset>0</wp:posOffset>
          </wp:positionV>
          <wp:extent cx="450850" cy="10699115"/>
          <wp:effectExtent l="0" t="0" r="635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6.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Default="000F1905">
    <w:pPr>
      <w:pStyle w:val="Header"/>
    </w:pPr>
    <w:r>
      <w:rPr>
        <w:noProof/>
        <w:lang w:eastAsia="en-AU"/>
      </w:rPr>
      <w:drawing>
        <wp:anchor distT="0" distB="0" distL="114300" distR="114300" simplePos="0" relativeHeight="251664896" behindDoc="0" locked="0" layoutInCell="1" allowOverlap="1" wp14:anchorId="568472E3" wp14:editId="3238563E">
          <wp:simplePos x="0" y="0"/>
          <wp:positionH relativeFrom="page">
            <wp:posOffset>7096760</wp:posOffset>
          </wp:positionH>
          <wp:positionV relativeFrom="paragraph">
            <wp:posOffset>-446405</wp:posOffset>
          </wp:positionV>
          <wp:extent cx="453600" cy="10800000"/>
          <wp:effectExtent l="0" t="0" r="381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600" cy="1080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FB" w:rsidRDefault="009121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Pr="00D427EF" w:rsidRDefault="000F1905" w:rsidP="00691BE5">
    <w:pPr>
      <w:pStyle w:val="Header"/>
      <w:tabs>
        <w:tab w:val="right" w:pos="8505"/>
      </w:tabs>
    </w:pPr>
    <w:r>
      <w:rPr>
        <w:noProof/>
        <w:lang w:eastAsia="en-AU"/>
      </w:rPr>
      <w:drawing>
        <wp:anchor distT="0" distB="0" distL="114300" distR="114300" simplePos="0" relativeHeight="251671040" behindDoc="1" locked="0" layoutInCell="1" allowOverlap="1" wp14:anchorId="5B549EE6" wp14:editId="5860BB10">
          <wp:simplePos x="0" y="0"/>
          <wp:positionH relativeFrom="page">
            <wp:posOffset>6398</wp:posOffset>
          </wp:positionH>
          <wp:positionV relativeFrom="page">
            <wp:posOffset>582</wp:posOffset>
          </wp:positionV>
          <wp:extent cx="450850" cy="1069911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6.jpg"/>
                  <pic:cNvPicPr/>
                </pic:nvPicPr>
                <pic:blipFill>
                  <a:blip r:embed="rId1">
                    <a:extLst>
                      <a:ext uri="{28A0092B-C50C-407E-A947-70E740481C1C}">
                        <a14:useLocalDpi xmlns:a14="http://schemas.microsoft.com/office/drawing/2010/main" val="0"/>
                      </a:ext>
                    </a:extLst>
                  </a:blip>
                  <a:stretch>
                    <a:fillRect/>
                  </a:stretch>
                </pic:blipFill>
                <pic:spPr>
                  <a:xfrm>
                    <a:off x="0" y="0"/>
                    <a:ext cx="450850" cy="1069911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Default="000F1905">
    <w:pPr>
      <w:pStyle w:val="Header"/>
    </w:pPr>
    <w:r>
      <w:rPr>
        <w:noProof/>
        <w:lang w:eastAsia="en-AU"/>
      </w:rPr>
      <w:drawing>
        <wp:anchor distT="0" distB="0" distL="114300" distR="114300" simplePos="0" relativeHeight="251668992" behindDoc="1" locked="0" layoutInCell="1" allowOverlap="1" wp14:anchorId="11F54908" wp14:editId="09FF60D2">
          <wp:simplePos x="0" y="0"/>
          <wp:positionH relativeFrom="page">
            <wp:posOffset>7110730</wp:posOffset>
          </wp:positionH>
          <wp:positionV relativeFrom="paragraph">
            <wp:posOffset>-445770</wp:posOffset>
          </wp:positionV>
          <wp:extent cx="453600" cy="10800000"/>
          <wp:effectExtent l="0" t="0" r="381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600" cy="1080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05" w:rsidRDefault="000F1905">
    <w:pPr>
      <w:pStyle w:val="FSSubHeading"/>
    </w:pPr>
    <w:r>
      <w:rPr>
        <w:noProof/>
      </w:rPr>
      <w:drawing>
        <wp:anchor distT="0" distB="0" distL="114300" distR="114300" simplePos="0" relativeHeight="251673088" behindDoc="1" locked="0" layoutInCell="1" allowOverlap="1" wp14:anchorId="022499A8" wp14:editId="512772CF">
          <wp:simplePos x="0" y="0"/>
          <wp:positionH relativeFrom="page">
            <wp:posOffset>7110730</wp:posOffset>
          </wp:positionH>
          <wp:positionV relativeFrom="paragraph">
            <wp:posOffset>-434766</wp:posOffset>
          </wp:positionV>
          <wp:extent cx="453600" cy="10800000"/>
          <wp:effectExtent l="0" t="0" r="381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600" cy="108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8"/>
    <w:multiLevelType w:val="singleLevel"/>
    <w:tmpl w:val="24845F94"/>
    <w:lvl w:ilvl="0">
      <w:start w:val="1"/>
      <w:numFmt w:val="decimal"/>
      <w:pStyle w:val="ListNumber"/>
      <w:lvlText w:val="%1"/>
      <w:lvlJc w:val="left"/>
      <w:pPr>
        <w:ind w:left="360" w:hanging="360"/>
      </w:pPr>
      <w:rPr>
        <w:rFonts w:hint="default"/>
      </w:rPr>
    </w:lvl>
  </w:abstractNum>
  <w:abstractNum w:abstractNumId="5">
    <w:nsid w:val="043A594E"/>
    <w:multiLevelType w:val="multilevel"/>
    <w:tmpl w:val="843A2244"/>
    <w:lvl w:ilvl="0">
      <w:start w:val="1"/>
      <w:numFmt w:val="decimal"/>
      <w:pStyle w:val="Heading1numbered"/>
      <w:lvlText w:val="%1"/>
      <w:lvlJc w:val="left"/>
      <w:pPr>
        <w:tabs>
          <w:tab w:val="num" w:pos="851"/>
        </w:tabs>
        <w:ind w:left="851"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6011017"/>
    <w:multiLevelType w:val="hybridMultilevel"/>
    <w:tmpl w:val="D324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0B143711"/>
    <w:multiLevelType w:val="hybridMultilevel"/>
    <w:tmpl w:val="1EDAD138"/>
    <w:lvl w:ilvl="0" w:tplc="462A396A">
      <w:start w:val="1"/>
      <w:numFmt w:val="bullet"/>
      <w:pStyle w:val="dotpoin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BF31CF0"/>
    <w:multiLevelType w:val="hybridMultilevel"/>
    <w:tmpl w:val="9830103A"/>
    <w:lvl w:ilvl="0" w:tplc="CD8860F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nsid w:val="0C8870CE"/>
    <w:multiLevelType w:val="multilevel"/>
    <w:tmpl w:val="46BE542C"/>
    <w:lvl w:ilvl="0">
      <w:start w:val="1"/>
      <w:numFmt w:val="decimal"/>
      <w:pStyle w:val="Responselevel1"/>
      <w:lvlText w:val="%1"/>
      <w:lvlJc w:val="left"/>
      <w:pPr>
        <w:tabs>
          <w:tab w:val="num" w:pos="567"/>
        </w:tabs>
        <w:ind w:left="567" w:hanging="567"/>
      </w:pPr>
      <w:rPr>
        <w:rFonts w:ascii="Gill Sans MT" w:eastAsia="Times New Roman" w:hAnsi="Gill Sans MT" w:cs="Times New Roman"/>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1">
    <w:nsid w:val="0CBC45F6"/>
    <w:multiLevelType w:val="hybridMultilevel"/>
    <w:tmpl w:val="5936D186"/>
    <w:lvl w:ilvl="0" w:tplc="FFFFFFFF">
      <w:start w:val="1"/>
      <w:numFmt w:val="lowerRoman"/>
      <w:lvlRestart w:val="0"/>
      <w:pStyle w:val="RomanNumerals"/>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05420B6"/>
    <w:multiLevelType w:val="hybridMultilevel"/>
    <w:tmpl w:val="9A786198"/>
    <w:lvl w:ilvl="0" w:tplc="3EC2F090">
      <w:start w:val="1"/>
      <w:numFmt w:val="bullet"/>
      <w:pStyle w:val="T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12127C74"/>
    <w:multiLevelType w:val="hybridMultilevel"/>
    <w:tmpl w:val="2AFA0364"/>
    <w:lvl w:ilvl="0" w:tplc="DA6E4EA2">
      <w:start w:val="1"/>
      <w:numFmt w:val="lowerRoman"/>
      <w:lvlText w:val="(%1)"/>
      <w:lvlJc w:val="left"/>
      <w:pPr>
        <w:ind w:left="927" w:hanging="360"/>
      </w:pPr>
      <w:rPr>
        <w:rFonts w:hint="default"/>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nsid w:val="12311F83"/>
    <w:multiLevelType w:val="hybridMultilevel"/>
    <w:tmpl w:val="FE3AB9F2"/>
    <w:lvl w:ilvl="0" w:tplc="66BC9E08">
      <w:start w:val="1"/>
      <w:numFmt w:val="lowerRoman"/>
      <w:lvlText w:val="(%1)"/>
      <w:lvlJc w:val="left"/>
      <w:pPr>
        <w:tabs>
          <w:tab w:val="num" w:pos="1134"/>
        </w:tabs>
        <w:ind w:left="1134" w:hanging="567"/>
      </w:pPr>
      <w:rPr>
        <w:rFonts w:hint="default"/>
      </w:rPr>
    </w:lvl>
    <w:lvl w:ilvl="1" w:tplc="0C090019">
      <w:start w:val="1"/>
      <w:numFmt w:val="lowerLetter"/>
      <w:lvlText w:val="%2."/>
      <w:lvlJc w:val="left"/>
      <w:pPr>
        <w:tabs>
          <w:tab w:val="num" w:pos="1440"/>
        </w:tabs>
        <w:ind w:left="1440" w:hanging="360"/>
      </w:pPr>
    </w:lvl>
    <w:lvl w:ilvl="2" w:tplc="E74E3BDC">
      <w:start w:val="1"/>
      <w:numFmt w:val="decimal"/>
      <w:lvlText w:val="%3."/>
      <w:lvlJc w:val="left"/>
      <w:pPr>
        <w:ind w:left="2550" w:hanging="57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8605695"/>
    <w:multiLevelType w:val="hybridMultilevel"/>
    <w:tmpl w:val="5652D9C6"/>
    <w:lvl w:ilvl="0" w:tplc="049E8600">
      <w:start w:val="1"/>
      <w:numFmt w:val="bullet"/>
      <w:pStyle w:val="Response"/>
      <w:lvlText w:val=""/>
      <w:lvlJc w:val="left"/>
      <w:pPr>
        <w:tabs>
          <w:tab w:val="num" w:pos="357"/>
        </w:tabs>
        <w:ind w:left="357" w:hanging="357"/>
      </w:pPr>
      <w:rPr>
        <w:rFonts w:ascii="Symbol" w:hAnsi="Symbol" w:hint="default"/>
      </w:rPr>
    </w:lvl>
    <w:lvl w:ilvl="1" w:tplc="47607EB0">
      <w:numFmt w:val="bullet"/>
      <w:lvlText w:val="-"/>
      <w:lvlJc w:val="left"/>
      <w:pPr>
        <w:tabs>
          <w:tab w:val="num" w:pos="1440"/>
        </w:tabs>
        <w:ind w:left="1440" w:hanging="360"/>
      </w:pPr>
      <w:rPr>
        <w:rFonts w:ascii="GillSansMT" w:eastAsia="Times New Roman" w:hAnsi="GillSansMT" w:cs="GillSansMT"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BE55534"/>
    <w:multiLevelType w:val="multilevel"/>
    <w:tmpl w:val="A83EE27E"/>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8">
    <w:nsid w:val="1CF52AC3"/>
    <w:multiLevelType w:val="hybridMultilevel"/>
    <w:tmpl w:val="4AA0444A"/>
    <w:lvl w:ilvl="0" w:tplc="0C090017">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263A3E06"/>
    <w:multiLevelType w:val="hybridMultilevel"/>
    <w:tmpl w:val="1EDE7C14"/>
    <w:lvl w:ilvl="0" w:tplc="7C984C5C">
      <w:start w:val="1"/>
      <w:numFmt w:val="bullet"/>
      <w:pStyle w:val="Bullet1"/>
      <w:lvlText w:val=""/>
      <w:lvlJc w:val="left"/>
      <w:pPr>
        <w:tabs>
          <w:tab w:val="num" w:pos="567"/>
        </w:tabs>
        <w:ind w:left="567" w:hanging="567"/>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9D7031"/>
    <w:multiLevelType w:val="hybridMultilevel"/>
    <w:tmpl w:val="C3005C7C"/>
    <w:lvl w:ilvl="0" w:tplc="7B0ABAD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E018D7"/>
    <w:multiLevelType w:val="hybridMultilevel"/>
    <w:tmpl w:val="3E1ACDE0"/>
    <w:lvl w:ilvl="0" w:tplc="15524DB8">
      <w:start w:val="1"/>
      <w:numFmt w:val="bullet"/>
      <w:pStyle w:val="TableBulleted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0A97EBA"/>
    <w:multiLevelType w:val="hybridMultilevel"/>
    <w:tmpl w:val="1CCE7A2C"/>
    <w:lvl w:ilvl="0" w:tplc="C838C446">
      <w:start w:val="1"/>
      <w:numFmt w:val="bullet"/>
      <w:pStyle w:val="BullettedLis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3737CA5"/>
    <w:multiLevelType w:val="hybridMultilevel"/>
    <w:tmpl w:val="2DD49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75A3085"/>
    <w:multiLevelType w:val="hybridMultilevel"/>
    <w:tmpl w:val="C7E2C97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38A7126F"/>
    <w:multiLevelType w:val="hybridMultilevel"/>
    <w:tmpl w:val="5FCCAF8E"/>
    <w:lvl w:ilvl="0" w:tplc="CE2294C0">
      <w:start w:val="1"/>
      <w:numFmt w:val="bullet"/>
      <w:pStyle w:val="BulletedList2"/>
      <w:lvlText w:val=""/>
      <w:lvlJc w:val="left"/>
      <w:pPr>
        <w:tabs>
          <w:tab w:val="num" w:pos="567"/>
        </w:tabs>
        <w:ind w:left="567" w:hanging="567"/>
      </w:pPr>
      <w:rPr>
        <w:rFonts w:ascii="Symbol" w:hAnsi="Symbol" w:hint="default"/>
        <w:sz w:val="22"/>
        <w:szCs w:val="22"/>
      </w:rPr>
    </w:lvl>
    <w:lvl w:ilvl="1" w:tplc="0C090003" w:tentative="1">
      <w:start w:val="1"/>
      <w:numFmt w:val="bullet"/>
      <w:lvlText w:val="o"/>
      <w:lvlJc w:val="left"/>
      <w:pPr>
        <w:tabs>
          <w:tab w:val="num" w:pos="1014"/>
        </w:tabs>
        <w:ind w:left="1014" w:hanging="360"/>
      </w:pPr>
      <w:rPr>
        <w:rFonts w:ascii="Courier New" w:hAnsi="Courier New" w:cs="Courier New" w:hint="default"/>
      </w:rPr>
    </w:lvl>
    <w:lvl w:ilvl="2" w:tplc="0C090005" w:tentative="1">
      <w:start w:val="1"/>
      <w:numFmt w:val="bullet"/>
      <w:lvlText w:val=""/>
      <w:lvlJc w:val="left"/>
      <w:pPr>
        <w:tabs>
          <w:tab w:val="num" w:pos="1734"/>
        </w:tabs>
        <w:ind w:left="1734" w:hanging="360"/>
      </w:pPr>
      <w:rPr>
        <w:rFonts w:ascii="Wingdings" w:hAnsi="Wingdings" w:hint="default"/>
      </w:rPr>
    </w:lvl>
    <w:lvl w:ilvl="3" w:tplc="0C090001" w:tentative="1">
      <w:start w:val="1"/>
      <w:numFmt w:val="bullet"/>
      <w:lvlText w:val=""/>
      <w:lvlJc w:val="left"/>
      <w:pPr>
        <w:tabs>
          <w:tab w:val="num" w:pos="2454"/>
        </w:tabs>
        <w:ind w:left="2454" w:hanging="360"/>
      </w:pPr>
      <w:rPr>
        <w:rFonts w:ascii="Symbol" w:hAnsi="Symbol" w:hint="default"/>
      </w:rPr>
    </w:lvl>
    <w:lvl w:ilvl="4" w:tplc="0C090003" w:tentative="1">
      <w:start w:val="1"/>
      <w:numFmt w:val="bullet"/>
      <w:lvlText w:val="o"/>
      <w:lvlJc w:val="left"/>
      <w:pPr>
        <w:tabs>
          <w:tab w:val="num" w:pos="3174"/>
        </w:tabs>
        <w:ind w:left="3174" w:hanging="360"/>
      </w:pPr>
      <w:rPr>
        <w:rFonts w:ascii="Courier New" w:hAnsi="Courier New" w:cs="Courier New" w:hint="default"/>
      </w:rPr>
    </w:lvl>
    <w:lvl w:ilvl="5" w:tplc="0C090005" w:tentative="1">
      <w:start w:val="1"/>
      <w:numFmt w:val="bullet"/>
      <w:lvlText w:val=""/>
      <w:lvlJc w:val="left"/>
      <w:pPr>
        <w:tabs>
          <w:tab w:val="num" w:pos="3894"/>
        </w:tabs>
        <w:ind w:left="3894" w:hanging="360"/>
      </w:pPr>
      <w:rPr>
        <w:rFonts w:ascii="Wingdings" w:hAnsi="Wingdings" w:hint="default"/>
      </w:rPr>
    </w:lvl>
    <w:lvl w:ilvl="6" w:tplc="0C090001" w:tentative="1">
      <w:start w:val="1"/>
      <w:numFmt w:val="bullet"/>
      <w:lvlText w:val=""/>
      <w:lvlJc w:val="left"/>
      <w:pPr>
        <w:tabs>
          <w:tab w:val="num" w:pos="4614"/>
        </w:tabs>
        <w:ind w:left="4614" w:hanging="360"/>
      </w:pPr>
      <w:rPr>
        <w:rFonts w:ascii="Symbol" w:hAnsi="Symbol" w:hint="default"/>
      </w:rPr>
    </w:lvl>
    <w:lvl w:ilvl="7" w:tplc="0C090003" w:tentative="1">
      <w:start w:val="1"/>
      <w:numFmt w:val="bullet"/>
      <w:lvlText w:val="o"/>
      <w:lvlJc w:val="left"/>
      <w:pPr>
        <w:tabs>
          <w:tab w:val="num" w:pos="5334"/>
        </w:tabs>
        <w:ind w:left="5334" w:hanging="360"/>
      </w:pPr>
      <w:rPr>
        <w:rFonts w:ascii="Courier New" w:hAnsi="Courier New" w:cs="Courier New" w:hint="default"/>
      </w:rPr>
    </w:lvl>
    <w:lvl w:ilvl="8" w:tplc="0C090005" w:tentative="1">
      <w:start w:val="1"/>
      <w:numFmt w:val="bullet"/>
      <w:lvlText w:val=""/>
      <w:lvlJc w:val="left"/>
      <w:pPr>
        <w:tabs>
          <w:tab w:val="num" w:pos="6054"/>
        </w:tabs>
        <w:ind w:left="6054" w:hanging="360"/>
      </w:pPr>
      <w:rPr>
        <w:rFonts w:ascii="Wingdings" w:hAnsi="Wingdings" w:hint="default"/>
      </w:rPr>
    </w:lvl>
  </w:abstractNum>
  <w:abstractNum w:abstractNumId="27">
    <w:nsid w:val="3A9D507A"/>
    <w:multiLevelType w:val="hybridMultilevel"/>
    <w:tmpl w:val="309A139A"/>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CA5CB8C6">
      <w:start w:val="1"/>
      <w:numFmt w:val="decimal"/>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CEE2A46"/>
    <w:multiLevelType w:val="hybridMultilevel"/>
    <w:tmpl w:val="FC420B96"/>
    <w:lvl w:ilvl="0" w:tplc="E2767500">
      <w:start w:val="1"/>
      <w:numFmt w:val="bullet"/>
      <w:pStyle w:val="BulletedList"/>
      <w:lvlText w:val=""/>
      <w:lvlJc w:val="left"/>
      <w:pPr>
        <w:tabs>
          <w:tab w:val="num" w:pos="357"/>
        </w:tabs>
        <w:ind w:left="357" w:hanging="357"/>
      </w:pPr>
      <w:rPr>
        <w:rFonts w:ascii="Symbol" w:hAnsi="Symbol" w:hint="default"/>
      </w:rPr>
    </w:lvl>
    <w:lvl w:ilvl="1" w:tplc="370A0B6A">
      <w:start w:val="1"/>
      <w:numFmt w:val="bullet"/>
      <w:pStyle w:val="unboldbullet"/>
      <w:lvlText w:val="o"/>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E952A37"/>
    <w:multiLevelType w:val="hybridMultilevel"/>
    <w:tmpl w:val="8C5E8500"/>
    <w:lvl w:ilvl="0" w:tplc="233C10E4">
      <w:start w:val="1"/>
      <w:numFmt w:val="bullet"/>
      <w:pStyle w:val="Response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1150C67"/>
    <w:multiLevelType w:val="hybridMultilevel"/>
    <w:tmpl w:val="9996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1884B7D"/>
    <w:multiLevelType w:val="hybridMultilevel"/>
    <w:tmpl w:val="8ED61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1B17000"/>
    <w:multiLevelType w:val="hybridMultilevel"/>
    <w:tmpl w:val="0054D23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3">
    <w:nsid w:val="45550BF5"/>
    <w:multiLevelType w:val="hybridMultilevel"/>
    <w:tmpl w:val="E59889B4"/>
    <w:lvl w:ilvl="0" w:tplc="4C0A8474">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nsid w:val="47275D23"/>
    <w:multiLevelType w:val="hybridMultilevel"/>
    <w:tmpl w:val="C66A5DA4"/>
    <w:lvl w:ilvl="0" w:tplc="0C090017">
      <w:start w:val="1"/>
      <w:numFmt w:val="lowerLetter"/>
      <w:lvlText w:val="%1)"/>
      <w:lvlJc w:val="left"/>
      <w:pPr>
        <w:ind w:left="720" w:hanging="360"/>
      </w:pPr>
    </w:lvl>
    <w:lvl w:ilvl="1" w:tplc="5184C96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8E65CEF"/>
    <w:multiLevelType w:val="hybridMultilevel"/>
    <w:tmpl w:val="2924C9D6"/>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B553DEA"/>
    <w:multiLevelType w:val="hybridMultilevel"/>
    <w:tmpl w:val="175E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7B5952"/>
    <w:multiLevelType w:val="hybridMultilevel"/>
    <w:tmpl w:val="CBD439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B4829CC"/>
    <w:multiLevelType w:val="hybridMultilevel"/>
    <w:tmpl w:val="F6BC54EE"/>
    <w:lvl w:ilvl="0" w:tplc="FFFFFFFF">
      <w:start w:val="1"/>
      <w:numFmt w:val="bullet"/>
      <w:pStyle w:val="dotpoint1"/>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1EF55A6"/>
    <w:multiLevelType w:val="multilevel"/>
    <w:tmpl w:val="9F727E90"/>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40">
    <w:nsid w:val="64C93040"/>
    <w:multiLevelType w:val="hybridMultilevel"/>
    <w:tmpl w:val="4404E26A"/>
    <w:lvl w:ilvl="0" w:tplc="0C090017">
      <w:start w:val="1"/>
      <w:numFmt w:val="lowerLetter"/>
      <w:pStyle w:val="Lettered"/>
      <w:lvlText w:val="(%1)"/>
      <w:lvlJc w:val="left"/>
      <w:pPr>
        <w:tabs>
          <w:tab w:val="num" w:pos="1134"/>
        </w:tabs>
        <w:ind w:left="1134" w:hanging="567"/>
      </w:pPr>
      <w:rPr>
        <w:rFonts w:hint="default"/>
      </w:rPr>
    </w:lvl>
    <w:lvl w:ilvl="1" w:tplc="5184C968"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A60271E"/>
    <w:multiLevelType w:val="hybridMultilevel"/>
    <w:tmpl w:val="658C392A"/>
    <w:lvl w:ilvl="0" w:tplc="0C090003">
      <w:start w:val="1"/>
      <w:numFmt w:val="bullet"/>
      <w:pStyle w:val="dotpoint0"/>
      <w:lvlText w:val=""/>
      <w:lvlJc w:val="left"/>
      <w:pPr>
        <w:tabs>
          <w:tab w:val="num" w:pos="568"/>
        </w:tabs>
        <w:ind w:left="568" w:hanging="284"/>
      </w:pPr>
      <w:rPr>
        <w:rFonts w:ascii="Symbol" w:hAnsi="Symbol" w:hint="default"/>
        <w:color w:val="auto"/>
      </w:rPr>
    </w:lvl>
    <w:lvl w:ilvl="1" w:tplc="0C090003">
      <w:start w:val="1"/>
      <w:numFmt w:val="bullet"/>
      <w:lvlText w:val=""/>
      <w:lvlJc w:val="left"/>
      <w:pPr>
        <w:tabs>
          <w:tab w:val="num" w:pos="1440"/>
        </w:tabs>
        <w:ind w:left="1440" w:hanging="360"/>
      </w:pPr>
      <w:rPr>
        <w:rFonts w:ascii="Symbol" w:hAnsi="Symbol" w:hint="default"/>
        <w:color w:val="auto"/>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44">
    <w:nsid w:val="6EA15622"/>
    <w:multiLevelType w:val="hybridMultilevel"/>
    <w:tmpl w:val="BB181D56"/>
    <w:lvl w:ilvl="0" w:tplc="8D848C9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0B656EC"/>
    <w:multiLevelType w:val="multilevel"/>
    <w:tmpl w:val="2748724E"/>
    <w:lvl w:ilvl="0">
      <w:start w:val="1"/>
      <w:numFmt w:val="bullet"/>
      <w:pStyle w:val="ListBullet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46">
    <w:nsid w:val="70FF45ED"/>
    <w:multiLevelType w:val="hybridMultilevel"/>
    <w:tmpl w:val="7CB22EBE"/>
    <w:lvl w:ilvl="0" w:tplc="CA5CB8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3AB3210"/>
    <w:multiLevelType w:val="hybridMultilevel"/>
    <w:tmpl w:val="44304F1C"/>
    <w:lvl w:ilvl="0" w:tplc="4342ADEE">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7554D34"/>
    <w:multiLevelType w:val="hybridMultilevel"/>
    <w:tmpl w:val="371ED56A"/>
    <w:lvl w:ilvl="0" w:tplc="CA5CB8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8605F01"/>
    <w:multiLevelType w:val="hybridMultilevel"/>
    <w:tmpl w:val="961AE86C"/>
    <w:lvl w:ilvl="0" w:tplc="0C090001">
      <w:start w:val="1"/>
      <w:numFmt w:val="decimal"/>
      <w:pStyle w:val="RecommendationNumberedList"/>
      <w:lvlText w:val="%1"/>
      <w:lvlJc w:val="left"/>
      <w:pPr>
        <w:tabs>
          <w:tab w:val="num" w:pos="567"/>
        </w:tabs>
        <w:ind w:left="567"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1">
    <w:nsid w:val="7CE77B44"/>
    <w:multiLevelType w:val="hybridMultilevel"/>
    <w:tmpl w:val="531E17B6"/>
    <w:lvl w:ilvl="0" w:tplc="4342ADEE">
      <w:start w:val="1"/>
      <w:numFmt w:val="decimal"/>
      <w:lvlText w:val="%1"/>
      <w:lvlJc w:val="left"/>
      <w:pPr>
        <w:ind w:left="720" w:hanging="360"/>
      </w:pPr>
      <w:rPr>
        <w:rFont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8"/>
  </w:num>
  <w:num w:numId="4">
    <w:abstractNumId w:val="8"/>
  </w:num>
  <w:num w:numId="5">
    <w:abstractNumId w:val="29"/>
  </w:num>
  <w:num w:numId="6">
    <w:abstractNumId w:val="42"/>
  </w:num>
  <w:num w:numId="7">
    <w:abstractNumId w:val="16"/>
  </w:num>
  <w:num w:numId="8">
    <w:abstractNumId w:val="26"/>
  </w:num>
  <w:num w:numId="9">
    <w:abstractNumId w:val="38"/>
  </w:num>
  <w:num w:numId="10">
    <w:abstractNumId w:val="12"/>
  </w:num>
  <w:num w:numId="11">
    <w:abstractNumId w:val="22"/>
  </w:num>
  <w:num w:numId="12">
    <w:abstractNumId w:val="43"/>
  </w:num>
  <w:num w:numId="13">
    <w:abstractNumId w:val="40"/>
  </w:num>
  <w:num w:numId="14">
    <w:abstractNumId w:val="11"/>
  </w:num>
  <w:num w:numId="15">
    <w:abstractNumId w:val="3"/>
  </w:num>
  <w:num w:numId="16">
    <w:abstractNumId w:val="4"/>
  </w:num>
  <w:num w:numId="17">
    <w:abstractNumId w:val="2"/>
  </w:num>
  <w:num w:numId="18">
    <w:abstractNumId w:val="1"/>
  </w:num>
  <w:num w:numId="19">
    <w:abstractNumId w:val="0"/>
  </w:num>
  <w:num w:numId="20">
    <w:abstractNumId w:val="39"/>
  </w:num>
  <w:num w:numId="21">
    <w:abstractNumId w:val="17"/>
  </w:num>
  <w:num w:numId="22">
    <w:abstractNumId w:val="45"/>
  </w:num>
  <w:num w:numId="23">
    <w:abstractNumId w:val="5"/>
  </w:num>
  <w:num w:numId="24">
    <w:abstractNumId w:val="50"/>
  </w:num>
  <w:num w:numId="25">
    <w:abstractNumId w:val="49"/>
  </w:num>
  <w:num w:numId="26">
    <w:abstractNumId w:val="7"/>
  </w:num>
  <w:num w:numId="27">
    <w:abstractNumId w:val="41"/>
  </w:num>
  <w:num w:numId="28">
    <w:abstractNumId w:val="24"/>
  </w:num>
  <w:num w:numId="29">
    <w:abstractNumId w:val="21"/>
  </w:num>
  <w:num w:numId="30">
    <w:abstractNumId w:val="46"/>
  </w:num>
  <w:num w:numId="31">
    <w:abstractNumId w:val="9"/>
  </w:num>
  <w:num w:numId="32">
    <w:abstractNumId w:val="30"/>
  </w:num>
  <w:num w:numId="33">
    <w:abstractNumId w:val="25"/>
  </w:num>
  <w:num w:numId="34">
    <w:abstractNumId w:val="18"/>
  </w:num>
  <w:num w:numId="35">
    <w:abstractNumId w:val="32"/>
  </w:num>
  <w:num w:numId="36">
    <w:abstractNumId w:val="6"/>
  </w:num>
  <w:num w:numId="37">
    <w:abstractNumId w:val="34"/>
  </w:num>
  <w:num w:numId="38">
    <w:abstractNumId w:val="13"/>
  </w:num>
  <w:num w:numId="39">
    <w:abstractNumId w:val="14"/>
  </w:num>
  <w:num w:numId="40">
    <w:abstractNumId w:val="36"/>
  </w:num>
  <w:num w:numId="41">
    <w:abstractNumId w:val="37"/>
  </w:num>
  <w:num w:numId="42">
    <w:abstractNumId w:val="19"/>
  </w:num>
  <w:num w:numId="43">
    <w:abstractNumId w:val="31"/>
  </w:num>
  <w:num w:numId="44">
    <w:abstractNumId w:val="23"/>
  </w:num>
  <w:num w:numId="45">
    <w:abstractNumId w:val="47"/>
  </w:num>
  <w:num w:numId="46">
    <w:abstractNumId w:val="51"/>
  </w:num>
  <w:num w:numId="47">
    <w:abstractNumId w:val="20"/>
  </w:num>
  <w:num w:numId="48">
    <w:abstractNumId w:val="35"/>
  </w:num>
  <w:num w:numId="49">
    <w:abstractNumId w:val="27"/>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C3"/>
    <w:rsid w:val="00011A63"/>
    <w:rsid w:val="00024F86"/>
    <w:rsid w:val="00043A38"/>
    <w:rsid w:val="00043E2F"/>
    <w:rsid w:val="0006410A"/>
    <w:rsid w:val="00064D56"/>
    <w:rsid w:val="000800BD"/>
    <w:rsid w:val="00080517"/>
    <w:rsid w:val="00091543"/>
    <w:rsid w:val="0009670D"/>
    <w:rsid w:val="000B7B31"/>
    <w:rsid w:val="000C3469"/>
    <w:rsid w:val="000D5F7F"/>
    <w:rsid w:val="000F1905"/>
    <w:rsid w:val="000F54B0"/>
    <w:rsid w:val="00107045"/>
    <w:rsid w:val="00122439"/>
    <w:rsid w:val="0013473F"/>
    <w:rsid w:val="00154D35"/>
    <w:rsid w:val="00163500"/>
    <w:rsid w:val="00164DB2"/>
    <w:rsid w:val="00175D45"/>
    <w:rsid w:val="0019003D"/>
    <w:rsid w:val="001B05C8"/>
    <w:rsid w:val="001C4C07"/>
    <w:rsid w:val="001D4511"/>
    <w:rsid w:val="002049B9"/>
    <w:rsid w:val="00213019"/>
    <w:rsid w:val="00227986"/>
    <w:rsid w:val="00227AD5"/>
    <w:rsid w:val="00254197"/>
    <w:rsid w:val="0027276B"/>
    <w:rsid w:val="00273B1D"/>
    <w:rsid w:val="00276343"/>
    <w:rsid w:val="0029640F"/>
    <w:rsid w:val="002A32ED"/>
    <w:rsid w:val="002A765C"/>
    <w:rsid w:val="002B714B"/>
    <w:rsid w:val="002C3F18"/>
    <w:rsid w:val="002C512B"/>
    <w:rsid w:val="002D198F"/>
    <w:rsid w:val="002D3844"/>
    <w:rsid w:val="002E7290"/>
    <w:rsid w:val="00313930"/>
    <w:rsid w:val="00330077"/>
    <w:rsid w:val="00334D46"/>
    <w:rsid w:val="003443F6"/>
    <w:rsid w:val="00351700"/>
    <w:rsid w:val="00380EA1"/>
    <w:rsid w:val="00381287"/>
    <w:rsid w:val="00393C8E"/>
    <w:rsid w:val="00395193"/>
    <w:rsid w:val="003B0979"/>
    <w:rsid w:val="003C5BBE"/>
    <w:rsid w:val="003D593F"/>
    <w:rsid w:val="003E1CBD"/>
    <w:rsid w:val="003F74D2"/>
    <w:rsid w:val="0040029D"/>
    <w:rsid w:val="00410217"/>
    <w:rsid w:val="00414E8B"/>
    <w:rsid w:val="0041611F"/>
    <w:rsid w:val="00423634"/>
    <w:rsid w:val="00433A3C"/>
    <w:rsid w:val="00462FB2"/>
    <w:rsid w:val="004709BB"/>
    <w:rsid w:val="00485E16"/>
    <w:rsid w:val="004966D5"/>
    <w:rsid w:val="004977AF"/>
    <w:rsid w:val="004A614E"/>
    <w:rsid w:val="004B6100"/>
    <w:rsid w:val="004C2823"/>
    <w:rsid w:val="004D0132"/>
    <w:rsid w:val="004E453D"/>
    <w:rsid w:val="004F2202"/>
    <w:rsid w:val="004F661D"/>
    <w:rsid w:val="00511177"/>
    <w:rsid w:val="00514C20"/>
    <w:rsid w:val="00517F4F"/>
    <w:rsid w:val="005242A6"/>
    <w:rsid w:val="005554AD"/>
    <w:rsid w:val="00556180"/>
    <w:rsid w:val="00560814"/>
    <w:rsid w:val="0056718A"/>
    <w:rsid w:val="005719F7"/>
    <w:rsid w:val="00573CC2"/>
    <w:rsid w:val="00573FA8"/>
    <w:rsid w:val="00584AA0"/>
    <w:rsid w:val="00587CA7"/>
    <w:rsid w:val="005A080A"/>
    <w:rsid w:val="005B2186"/>
    <w:rsid w:val="005D5D3D"/>
    <w:rsid w:val="005E5108"/>
    <w:rsid w:val="005F0766"/>
    <w:rsid w:val="00634578"/>
    <w:rsid w:val="00655B30"/>
    <w:rsid w:val="006661D5"/>
    <w:rsid w:val="00691BE5"/>
    <w:rsid w:val="006A4632"/>
    <w:rsid w:val="006A51DD"/>
    <w:rsid w:val="006B081F"/>
    <w:rsid w:val="006B2562"/>
    <w:rsid w:val="006C0A46"/>
    <w:rsid w:val="006D6CF1"/>
    <w:rsid w:val="0070310B"/>
    <w:rsid w:val="00717491"/>
    <w:rsid w:val="00717943"/>
    <w:rsid w:val="00724EFE"/>
    <w:rsid w:val="00727881"/>
    <w:rsid w:val="00731587"/>
    <w:rsid w:val="0074113B"/>
    <w:rsid w:val="00747547"/>
    <w:rsid w:val="00766A9E"/>
    <w:rsid w:val="007776D6"/>
    <w:rsid w:val="007A28E6"/>
    <w:rsid w:val="007A414C"/>
    <w:rsid w:val="007A74D1"/>
    <w:rsid w:val="007B000B"/>
    <w:rsid w:val="007D764A"/>
    <w:rsid w:val="007E0637"/>
    <w:rsid w:val="008102D4"/>
    <w:rsid w:val="00811FBC"/>
    <w:rsid w:val="00823E22"/>
    <w:rsid w:val="00854935"/>
    <w:rsid w:val="00856662"/>
    <w:rsid w:val="00867278"/>
    <w:rsid w:val="00867DF2"/>
    <w:rsid w:val="00880F8D"/>
    <w:rsid w:val="00892126"/>
    <w:rsid w:val="008A091D"/>
    <w:rsid w:val="008A3A53"/>
    <w:rsid w:val="008A767D"/>
    <w:rsid w:val="008B199E"/>
    <w:rsid w:val="008B3E89"/>
    <w:rsid w:val="008C334A"/>
    <w:rsid w:val="008C3CAF"/>
    <w:rsid w:val="008C40C3"/>
    <w:rsid w:val="008C66A7"/>
    <w:rsid w:val="008D3FA8"/>
    <w:rsid w:val="008D5EDD"/>
    <w:rsid w:val="009121FB"/>
    <w:rsid w:val="00912891"/>
    <w:rsid w:val="00937E18"/>
    <w:rsid w:val="00947634"/>
    <w:rsid w:val="00967C1E"/>
    <w:rsid w:val="00973B3B"/>
    <w:rsid w:val="00976354"/>
    <w:rsid w:val="009944F2"/>
    <w:rsid w:val="009A2A61"/>
    <w:rsid w:val="009B6891"/>
    <w:rsid w:val="009F322B"/>
    <w:rsid w:val="00A05185"/>
    <w:rsid w:val="00A36B19"/>
    <w:rsid w:val="00A377A3"/>
    <w:rsid w:val="00A4714E"/>
    <w:rsid w:val="00A536D5"/>
    <w:rsid w:val="00A879DA"/>
    <w:rsid w:val="00A90575"/>
    <w:rsid w:val="00AA3D31"/>
    <w:rsid w:val="00AA53A4"/>
    <w:rsid w:val="00AC7C5B"/>
    <w:rsid w:val="00AD70A7"/>
    <w:rsid w:val="00AE0629"/>
    <w:rsid w:val="00AE1565"/>
    <w:rsid w:val="00AE5F36"/>
    <w:rsid w:val="00AF183F"/>
    <w:rsid w:val="00B170EE"/>
    <w:rsid w:val="00B17900"/>
    <w:rsid w:val="00B260F0"/>
    <w:rsid w:val="00B26B51"/>
    <w:rsid w:val="00B504A4"/>
    <w:rsid w:val="00B550CC"/>
    <w:rsid w:val="00B62128"/>
    <w:rsid w:val="00B63832"/>
    <w:rsid w:val="00B7046B"/>
    <w:rsid w:val="00B71D03"/>
    <w:rsid w:val="00B819DB"/>
    <w:rsid w:val="00B85FC0"/>
    <w:rsid w:val="00B96D59"/>
    <w:rsid w:val="00BB49BA"/>
    <w:rsid w:val="00BD1A43"/>
    <w:rsid w:val="00BE0BA0"/>
    <w:rsid w:val="00BE6460"/>
    <w:rsid w:val="00BF3DB7"/>
    <w:rsid w:val="00C032F6"/>
    <w:rsid w:val="00C064B1"/>
    <w:rsid w:val="00C222F0"/>
    <w:rsid w:val="00C40C88"/>
    <w:rsid w:val="00C44DD8"/>
    <w:rsid w:val="00C50CF1"/>
    <w:rsid w:val="00C601E8"/>
    <w:rsid w:val="00C92920"/>
    <w:rsid w:val="00CA0080"/>
    <w:rsid w:val="00CA3AEA"/>
    <w:rsid w:val="00CB1FDB"/>
    <w:rsid w:val="00CB41D0"/>
    <w:rsid w:val="00CC226B"/>
    <w:rsid w:val="00CC2426"/>
    <w:rsid w:val="00CE0696"/>
    <w:rsid w:val="00CE0B2D"/>
    <w:rsid w:val="00D03516"/>
    <w:rsid w:val="00D065C6"/>
    <w:rsid w:val="00D075E5"/>
    <w:rsid w:val="00D1194C"/>
    <w:rsid w:val="00D46EC4"/>
    <w:rsid w:val="00D75742"/>
    <w:rsid w:val="00D764CB"/>
    <w:rsid w:val="00D8644E"/>
    <w:rsid w:val="00D94CB4"/>
    <w:rsid w:val="00DA390F"/>
    <w:rsid w:val="00DA6A19"/>
    <w:rsid w:val="00DA6C92"/>
    <w:rsid w:val="00DB0101"/>
    <w:rsid w:val="00DF14B6"/>
    <w:rsid w:val="00E00745"/>
    <w:rsid w:val="00E17F55"/>
    <w:rsid w:val="00E34F00"/>
    <w:rsid w:val="00E513DE"/>
    <w:rsid w:val="00E75FAD"/>
    <w:rsid w:val="00E85C89"/>
    <w:rsid w:val="00E909FC"/>
    <w:rsid w:val="00EA4CFA"/>
    <w:rsid w:val="00ED49D6"/>
    <w:rsid w:val="00ED559D"/>
    <w:rsid w:val="00ED71CF"/>
    <w:rsid w:val="00F17D9F"/>
    <w:rsid w:val="00F43270"/>
    <w:rsid w:val="00F676CE"/>
    <w:rsid w:val="00F708D4"/>
    <w:rsid w:val="00F70D86"/>
    <w:rsid w:val="00F71CD2"/>
    <w:rsid w:val="00F72888"/>
    <w:rsid w:val="00F75382"/>
    <w:rsid w:val="00FB29A2"/>
    <w:rsid w:val="00FB6579"/>
    <w:rsid w:val="00FD4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5C8"/>
    <w:pPr>
      <w:tabs>
        <w:tab w:val="left" w:pos="567"/>
      </w:tabs>
      <w:spacing w:after="140" w:line="300" w:lineRule="atLeast"/>
    </w:pPr>
    <w:rPr>
      <w:rFonts w:ascii="GillSans Light" w:eastAsia="Times New Roman" w:hAnsi="GillSans Light" w:cs="Times New Roman"/>
    </w:rPr>
  </w:style>
  <w:style w:type="paragraph" w:styleId="Heading1">
    <w:name w:val="heading 1"/>
    <w:basedOn w:val="Normal"/>
    <w:next w:val="Normal"/>
    <w:link w:val="Heading1Char"/>
    <w:uiPriority w:val="9"/>
    <w:qFormat/>
    <w:rsid w:val="001B05C8"/>
    <w:pPr>
      <w:keepNext/>
      <w:keepLines/>
      <w:spacing w:before="480" w:after="24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41611F"/>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1611F"/>
    <w:pPr>
      <w:keepNext/>
      <w:keepLines/>
      <w:spacing w:before="200" w:after="0"/>
      <w:outlineLvl w:val="2"/>
    </w:pPr>
    <w:rPr>
      <w:rFonts w:eastAsiaTheme="majorEastAsia" w:cstheme="majorBidi"/>
      <w:b/>
      <w:bCs/>
      <w:sz w:val="28"/>
    </w:rPr>
  </w:style>
  <w:style w:type="paragraph" w:styleId="Heading4">
    <w:name w:val="heading 4"/>
    <w:basedOn w:val="Normal"/>
    <w:link w:val="Heading4Char"/>
    <w:uiPriority w:val="9"/>
    <w:qFormat/>
    <w:rsid w:val="00854935"/>
    <w:pPr>
      <w:keepNext/>
      <w:spacing w:before="240"/>
      <w:outlineLvl w:val="3"/>
    </w:pPr>
    <w:rPr>
      <w:b/>
      <w:bCs/>
      <w:sz w:val="24"/>
    </w:rPr>
  </w:style>
  <w:style w:type="paragraph" w:styleId="Heading5">
    <w:name w:val="heading 5"/>
    <w:basedOn w:val="Heading1numbered"/>
    <w:next w:val="Normal"/>
    <w:link w:val="Heading5Char"/>
    <w:uiPriority w:val="9"/>
    <w:qFormat/>
    <w:rsid w:val="00691BE5"/>
    <w:pPr>
      <w:outlineLvl w:val="4"/>
    </w:pPr>
  </w:style>
  <w:style w:type="paragraph" w:styleId="Heading6">
    <w:name w:val="heading 6"/>
    <w:basedOn w:val="Heading2numbered"/>
    <w:next w:val="Normal"/>
    <w:link w:val="Heading6Char"/>
    <w:uiPriority w:val="9"/>
    <w:qFormat/>
    <w:rsid w:val="00691BE5"/>
    <w:pPr>
      <w:outlineLvl w:val="5"/>
    </w:pPr>
  </w:style>
  <w:style w:type="paragraph" w:styleId="Heading7">
    <w:name w:val="heading 7"/>
    <w:basedOn w:val="Heading3numbered"/>
    <w:next w:val="Normal"/>
    <w:link w:val="Heading7Char"/>
    <w:uiPriority w:val="9"/>
    <w:qFormat/>
    <w:rsid w:val="00691BE5"/>
    <w:pPr>
      <w:outlineLvl w:val="6"/>
    </w:pPr>
  </w:style>
  <w:style w:type="paragraph" w:styleId="Heading8">
    <w:name w:val="heading 8"/>
    <w:basedOn w:val="Heading4numbered"/>
    <w:next w:val="Normal"/>
    <w:link w:val="Heading8Char"/>
    <w:uiPriority w:val="9"/>
    <w:qFormat/>
    <w:rsid w:val="00691BE5"/>
    <w:pPr>
      <w:outlineLvl w:val="7"/>
    </w:pPr>
  </w:style>
  <w:style w:type="paragraph" w:styleId="Heading9">
    <w:name w:val="heading 9"/>
    <w:basedOn w:val="Normal"/>
    <w:next w:val="Normal"/>
    <w:link w:val="Heading9Char"/>
    <w:uiPriority w:val="9"/>
    <w:qFormat/>
    <w:rsid w:val="00691BE5"/>
    <w:pPr>
      <w:spacing w:before="240" w:after="60" w:line="300" w:lineRule="exact"/>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unhideWhenUsed/>
    <w:rsid w:val="00A90575"/>
    <w:pPr>
      <w:tabs>
        <w:tab w:val="clear" w:pos="567"/>
      </w:tabs>
      <w:spacing w:before="100" w:beforeAutospacing="1" w:after="100" w:afterAutospacing="1" w:line="240" w:lineRule="auto"/>
    </w:pPr>
    <w:rPr>
      <w:rFonts w:ascii="Times New Roman" w:hAnsi="Times New Roman"/>
      <w:sz w:val="24"/>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1B05C8"/>
    <w:rPr>
      <w:rFonts w:ascii="GillSans Light" w:eastAsiaTheme="majorEastAsia" w:hAnsi="GillSans Light" w:cstheme="majorBidi"/>
      <w:b/>
      <w:bCs/>
      <w:sz w:val="40"/>
      <w:szCs w:val="28"/>
    </w:rPr>
  </w:style>
  <w:style w:type="character" w:customStyle="1" w:styleId="Heading2Char">
    <w:name w:val="Heading 2 Char"/>
    <w:basedOn w:val="DefaultParagraphFont"/>
    <w:link w:val="Heading2"/>
    <w:uiPriority w:val="9"/>
    <w:rsid w:val="0041611F"/>
    <w:rPr>
      <w:rFonts w:ascii="Gill Sans MT" w:eastAsiaTheme="majorEastAsia" w:hAnsi="Gill Sans MT" w:cstheme="majorBidi"/>
      <w:b/>
      <w:bCs/>
      <w:sz w:val="32"/>
      <w:szCs w:val="26"/>
    </w:rPr>
  </w:style>
  <w:style w:type="character" w:customStyle="1" w:styleId="Heading3Char">
    <w:name w:val="Heading 3 Char"/>
    <w:basedOn w:val="DefaultParagraphFont"/>
    <w:link w:val="Heading3"/>
    <w:uiPriority w:val="9"/>
    <w:rsid w:val="0041611F"/>
    <w:rPr>
      <w:rFonts w:ascii="Gill Sans MT" w:eastAsiaTheme="majorEastAsia" w:hAnsi="Gill Sans MT" w:cstheme="majorBidi"/>
      <w:b/>
      <w:bCs/>
      <w:sz w:val="28"/>
    </w:rPr>
  </w:style>
  <w:style w:type="paragraph" w:customStyle="1" w:styleId="Responselevel1">
    <w:name w:val="Response (level 1)"/>
    <w:basedOn w:val="Normal"/>
    <w:semiHidden/>
    <w:rsid w:val="00BD1A43"/>
    <w:pPr>
      <w:keepLines/>
      <w:numPr>
        <w:numId w:val="2"/>
      </w:numPr>
      <w:spacing w:before="240" w:after="60"/>
    </w:pPr>
    <w:rPr>
      <w:sz w:val="32"/>
      <w:szCs w:val="32"/>
    </w:rPr>
  </w:style>
  <w:style w:type="paragraph" w:styleId="ListNumber2">
    <w:name w:val="List Number 2"/>
    <w:aliases w:val="Numbered Heading 1"/>
    <w:basedOn w:val="Normal"/>
    <w:rsid w:val="00BD1A43"/>
  </w:style>
  <w:style w:type="paragraph" w:styleId="List2">
    <w:name w:val="List 2"/>
    <w:aliases w:val="Bullet 2"/>
    <w:basedOn w:val="Normal"/>
    <w:link w:val="List2Char"/>
    <w:unhideWhenUsed/>
    <w:rsid w:val="00BD1A43"/>
    <w:pPr>
      <w:ind w:left="566" w:hanging="283"/>
      <w:contextualSpacing/>
    </w:pPr>
  </w:style>
  <w:style w:type="paragraph" w:styleId="BodyText">
    <w:name w:val="Body Text"/>
    <w:basedOn w:val="Normal"/>
    <w:link w:val="BodyTextChar"/>
    <w:rsid w:val="000F54B0"/>
  </w:style>
  <w:style w:type="character" w:customStyle="1" w:styleId="BodyTextChar">
    <w:name w:val="Body Text Char"/>
    <w:basedOn w:val="DefaultParagraphFont"/>
    <w:link w:val="BodyText"/>
    <w:rsid w:val="000F54B0"/>
    <w:rPr>
      <w:rFonts w:ascii="Gill Sans MT" w:eastAsia="Times New Roman" w:hAnsi="Gill Sans MT" w:cs="Times New Roman"/>
    </w:rPr>
  </w:style>
  <w:style w:type="paragraph" w:customStyle="1" w:styleId="ClearedByText">
    <w:name w:val="Cleared By Text"/>
    <w:basedOn w:val="Normal"/>
    <w:semiHidden/>
    <w:rsid w:val="00973B3B"/>
    <w:pPr>
      <w:keepNext/>
      <w:keepLines/>
      <w:spacing w:before="40" w:after="40" w:line="240" w:lineRule="auto"/>
    </w:pPr>
    <w:rPr>
      <w:sz w:val="20"/>
    </w:rPr>
  </w:style>
  <w:style w:type="table" w:styleId="TableGrid">
    <w:name w:val="Table Grid"/>
    <w:basedOn w:val="TableNormal"/>
    <w:uiPriority w:val="59"/>
    <w:rsid w:val="00973B3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0">
    <w:name w:val="dot point"/>
    <w:rsid w:val="00973B3B"/>
    <w:pPr>
      <w:numPr>
        <w:numId w:val="6"/>
      </w:numPr>
      <w:spacing w:after="140" w:line="300" w:lineRule="atLeast"/>
      <w:jc w:val="both"/>
    </w:pPr>
    <w:rPr>
      <w:rFonts w:ascii="Arial" w:eastAsia="Times New Roman" w:hAnsi="Arial" w:cs="Times New Roman"/>
      <w:sz w:val="20"/>
      <w:szCs w:val="24"/>
    </w:rPr>
  </w:style>
  <w:style w:type="paragraph" w:customStyle="1" w:styleId="BulletedList">
    <w:name w:val="Bulleted List"/>
    <w:basedOn w:val="Normal"/>
    <w:link w:val="BulletedListChar"/>
    <w:rsid w:val="00973B3B"/>
    <w:pPr>
      <w:numPr>
        <w:numId w:val="3"/>
      </w:numPr>
      <w:tabs>
        <w:tab w:val="clear" w:pos="567"/>
      </w:tabs>
      <w:spacing w:after="120" w:line="240" w:lineRule="auto"/>
    </w:pPr>
    <w:rPr>
      <w:rFonts w:ascii="Palatino Linotype" w:hAnsi="Palatino Linotype"/>
      <w:szCs w:val="24"/>
    </w:rPr>
  </w:style>
  <w:style w:type="character" w:customStyle="1" w:styleId="BulletedListChar">
    <w:name w:val="Bulleted List Char"/>
    <w:basedOn w:val="DefaultParagraphFont"/>
    <w:link w:val="BulletedList"/>
    <w:rsid w:val="00973B3B"/>
    <w:rPr>
      <w:rFonts w:ascii="Palatino Linotype" w:eastAsia="Times New Roman" w:hAnsi="Palatino Linotype" w:cs="Times New Roman"/>
      <w:szCs w:val="24"/>
    </w:rPr>
  </w:style>
  <w:style w:type="paragraph" w:customStyle="1" w:styleId="unboldbullet">
    <w:name w:val="unboldbullet"/>
    <w:basedOn w:val="BulletedList"/>
    <w:rsid w:val="00973B3B"/>
    <w:pPr>
      <w:numPr>
        <w:ilvl w:val="1"/>
      </w:numPr>
      <w:tabs>
        <w:tab w:val="clear" w:pos="1440"/>
        <w:tab w:val="num" w:pos="1080"/>
        <w:tab w:val="num" w:pos="1134"/>
      </w:tabs>
      <w:ind w:left="1080" w:hanging="567"/>
    </w:pPr>
    <w:rPr>
      <w:color w:val="000000"/>
    </w:rPr>
  </w:style>
  <w:style w:type="paragraph" w:customStyle="1" w:styleId="ResponseDotPoints">
    <w:name w:val="Response Dot Points"/>
    <w:basedOn w:val="Normal"/>
    <w:rsid w:val="00973B3B"/>
    <w:pPr>
      <w:numPr>
        <w:numId w:val="5"/>
      </w:numPr>
      <w:tabs>
        <w:tab w:val="clear" w:pos="567"/>
        <w:tab w:val="left" w:pos="425"/>
      </w:tabs>
      <w:spacing w:before="240" w:after="60" w:line="240" w:lineRule="auto"/>
    </w:pPr>
    <w:rPr>
      <w:rFonts w:ascii="Arial" w:hAnsi="Arial"/>
      <w:sz w:val="32"/>
      <w:szCs w:val="20"/>
    </w:rPr>
  </w:style>
  <w:style w:type="paragraph" w:customStyle="1" w:styleId="Response">
    <w:name w:val="Response"/>
    <w:basedOn w:val="Normal"/>
    <w:rsid w:val="00973B3B"/>
    <w:pPr>
      <w:numPr>
        <w:numId w:val="7"/>
      </w:numPr>
      <w:tabs>
        <w:tab w:val="clear" w:pos="567"/>
      </w:tabs>
      <w:spacing w:after="0" w:line="240" w:lineRule="auto"/>
    </w:pPr>
    <w:rPr>
      <w:rFonts w:ascii="Times New Roman" w:hAnsi="Times New Roman"/>
      <w:sz w:val="24"/>
      <w:szCs w:val="24"/>
      <w:lang w:eastAsia="en-AU"/>
    </w:rPr>
  </w:style>
  <w:style w:type="paragraph" w:customStyle="1" w:styleId="BulletedList2">
    <w:name w:val="Bulleted List 2"/>
    <w:basedOn w:val="Normal"/>
    <w:rsid w:val="00973B3B"/>
    <w:pPr>
      <w:numPr>
        <w:numId w:val="8"/>
      </w:numPr>
      <w:spacing w:after="0" w:line="240" w:lineRule="auto"/>
    </w:pPr>
    <w:rPr>
      <w:rFonts w:ascii="Times New Roman" w:hAnsi="Times New Roman"/>
      <w:sz w:val="24"/>
      <w:szCs w:val="24"/>
      <w:lang w:eastAsia="en-AU"/>
    </w:rPr>
  </w:style>
  <w:style w:type="paragraph" w:customStyle="1" w:styleId="Backgrounddotpoints">
    <w:name w:val="Background dot points"/>
    <w:basedOn w:val="Normal"/>
    <w:rsid w:val="00973B3B"/>
    <w:pPr>
      <w:tabs>
        <w:tab w:val="clear" w:pos="567"/>
        <w:tab w:val="left" w:pos="360"/>
        <w:tab w:val="left" w:pos="425"/>
      </w:tabs>
      <w:spacing w:before="60" w:after="60" w:line="240" w:lineRule="auto"/>
      <w:ind w:left="360" w:hanging="360"/>
    </w:pPr>
    <w:rPr>
      <w:rFonts w:ascii="Arial" w:hAnsi="Arial" w:cs="Arial"/>
      <w:szCs w:val="24"/>
    </w:rPr>
  </w:style>
  <w:style w:type="paragraph" w:customStyle="1" w:styleId="dotpoint1">
    <w:name w:val="dotpoint 1"/>
    <w:basedOn w:val="Normal"/>
    <w:rsid w:val="00973B3B"/>
    <w:pPr>
      <w:numPr>
        <w:numId w:val="9"/>
      </w:numPr>
      <w:tabs>
        <w:tab w:val="clear" w:pos="567"/>
      </w:tabs>
      <w:spacing w:after="0" w:line="240" w:lineRule="auto"/>
    </w:pPr>
    <w:rPr>
      <w:rFonts w:ascii="Times New Roman" w:hAnsi="Times New Roman"/>
      <w:sz w:val="24"/>
      <w:szCs w:val="24"/>
      <w:lang w:eastAsia="en-AU"/>
    </w:rPr>
  </w:style>
  <w:style w:type="paragraph" w:customStyle="1" w:styleId="NormalJustified">
    <w:name w:val="Normal + Justified"/>
    <w:aliases w:val="After:  6 pt"/>
    <w:basedOn w:val="Normal"/>
    <w:link w:val="NormalJustifiedChar"/>
    <w:rsid w:val="00973B3B"/>
    <w:pPr>
      <w:tabs>
        <w:tab w:val="clear" w:pos="567"/>
        <w:tab w:val="left" w:pos="425"/>
      </w:tabs>
      <w:spacing w:after="120" w:line="240" w:lineRule="auto"/>
      <w:jc w:val="both"/>
    </w:pPr>
    <w:rPr>
      <w:rFonts w:ascii="Palatino Linotype" w:hAnsi="Palatino Linotype"/>
      <w:szCs w:val="24"/>
    </w:rPr>
  </w:style>
  <w:style w:type="character" w:customStyle="1" w:styleId="NormalJustifiedChar">
    <w:name w:val="Normal + Justified Char"/>
    <w:aliases w:val="After:  6 pt Char"/>
    <w:basedOn w:val="DefaultParagraphFont"/>
    <w:link w:val="NormalJustified"/>
    <w:rsid w:val="00973B3B"/>
    <w:rPr>
      <w:rFonts w:ascii="Palatino Linotype" w:eastAsia="Times New Roman" w:hAnsi="Palatino Linotype" w:cs="Times New Roman"/>
      <w:szCs w:val="24"/>
    </w:rPr>
  </w:style>
  <w:style w:type="paragraph" w:customStyle="1" w:styleId="Tt">
    <w:name w:val="Tt"/>
    <w:basedOn w:val="Normal"/>
    <w:link w:val="TtChar"/>
    <w:rsid w:val="00973B3B"/>
    <w:pPr>
      <w:numPr>
        <w:numId w:val="10"/>
      </w:numPr>
      <w:tabs>
        <w:tab w:val="clear" w:pos="567"/>
      </w:tabs>
      <w:autoSpaceDE w:val="0"/>
      <w:autoSpaceDN w:val="0"/>
      <w:adjustRightInd w:val="0"/>
      <w:spacing w:after="0" w:line="240" w:lineRule="auto"/>
      <w:ind w:right="271"/>
    </w:pPr>
    <w:rPr>
      <w:rFonts w:cs="MyriadPro-Light"/>
      <w:sz w:val="20"/>
      <w:szCs w:val="20"/>
      <w:lang w:eastAsia="en-AU"/>
    </w:rPr>
  </w:style>
  <w:style w:type="character" w:customStyle="1" w:styleId="TtChar">
    <w:name w:val="Tt Char"/>
    <w:basedOn w:val="DefaultParagraphFont"/>
    <w:link w:val="Tt"/>
    <w:rsid w:val="00973B3B"/>
    <w:rPr>
      <w:rFonts w:ascii="GillSans Light" w:eastAsia="Times New Roman" w:hAnsi="GillSans Light" w:cs="MyriadPro-Light"/>
      <w:sz w:val="20"/>
      <w:szCs w:val="20"/>
      <w:lang w:eastAsia="en-AU"/>
    </w:rPr>
  </w:style>
  <w:style w:type="paragraph" w:customStyle="1" w:styleId="BullettedList">
    <w:name w:val="Bulletted List"/>
    <w:basedOn w:val="Normal"/>
    <w:rsid w:val="00973B3B"/>
    <w:pPr>
      <w:numPr>
        <w:numId w:val="11"/>
      </w:numPr>
      <w:tabs>
        <w:tab w:val="clear" w:pos="567"/>
      </w:tabs>
      <w:spacing w:before="120" w:after="120" w:line="240" w:lineRule="auto"/>
      <w:ind w:left="357" w:hanging="357"/>
    </w:pPr>
    <w:rPr>
      <w:rFonts w:ascii="Palatino Linotype" w:hAnsi="Palatino Linotype"/>
    </w:rPr>
  </w:style>
  <w:style w:type="character" w:customStyle="1" w:styleId="parlhead1">
    <w:name w:val="parlhead1"/>
    <w:basedOn w:val="DefaultParagraphFont"/>
    <w:rsid w:val="00973B3B"/>
    <w:rPr>
      <w:rFonts w:ascii="Georgia" w:hAnsi="Georgia" w:hint="default"/>
      <w:b/>
      <w:bCs/>
      <w:color w:val="003399"/>
      <w:sz w:val="24"/>
      <w:szCs w:val="24"/>
    </w:rPr>
  </w:style>
  <w:style w:type="character" w:styleId="CommentReference">
    <w:name w:val="annotation reference"/>
    <w:basedOn w:val="DefaultParagraphFont"/>
    <w:uiPriority w:val="99"/>
    <w:rsid w:val="00973B3B"/>
    <w:rPr>
      <w:sz w:val="16"/>
      <w:szCs w:val="16"/>
    </w:rPr>
  </w:style>
  <w:style w:type="paragraph" w:styleId="CommentText">
    <w:name w:val="annotation text"/>
    <w:basedOn w:val="Normal"/>
    <w:link w:val="Comment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rsid w:val="00973B3B"/>
    <w:rPr>
      <w:rFonts w:ascii="Times New Roman" w:eastAsia="Times New Roman" w:hAnsi="Times New Roman" w:cs="Times New Roman"/>
      <w:sz w:val="20"/>
      <w:szCs w:val="20"/>
      <w:lang w:eastAsia="en-AU"/>
    </w:rPr>
  </w:style>
  <w:style w:type="paragraph" w:styleId="BalloonText">
    <w:name w:val="Balloon Text"/>
    <w:basedOn w:val="Normal"/>
    <w:link w:val="BalloonTextChar"/>
    <w:rsid w:val="00973B3B"/>
    <w:pPr>
      <w:tabs>
        <w:tab w:val="clear" w:pos="567"/>
      </w:tabs>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973B3B"/>
    <w:rPr>
      <w:rFonts w:ascii="Tahoma" w:eastAsia="Times New Roman" w:hAnsi="Tahoma" w:cs="Tahoma"/>
      <w:sz w:val="16"/>
      <w:szCs w:val="16"/>
      <w:lang w:eastAsia="en-AU"/>
    </w:rPr>
  </w:style>
  <w:style w:type="paragraph" w:styleId="FootnoteText">
    <w:name w:val="footnote text"/>
    <w:basedOn w:val="Normal"/>
    <w:link w:val="Footnote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FootnoteTextChar">
    <w:name w:val="Footnote Text Char"/>
    <w:basedOn w:val="DefaultParagraphFont"/>
    <w:link w:val="FootnoteText"/>
    <w:uiPriority w:val="99"/>
    <w:rsid w:val="00973B3B"/>
    <w:rPr>
      <w:rFonts w:ascii="Times New Roman" w:eastAsia="Times New Roman" w:hAnsi="Times New Roman" w:cs="Times New Roman"/>
      <w:sz w:val="20"/>
      <w:szCs w:val="20"/>
      <w:lang w:eastAsia="en-AU"/>
    </w:rPr>
  </w:style>
  <w:style w:type="paragraph" w:customStyle="1" w:styleId="dotpoint">
    <w:name w:val="dotpoint"/>
    <w:basedOn w:val="Normal"/>
    <w:rsid w:val="00973B3B"/>
    <w:pPr>
      <w:numPr>
        <w:numId w:val="4"/>
      </w:numPr>
      <w:tabs>
        <w:tab w:val="clear" w:pos="567"/>
      </w:tabs>
      <w:overflowPunct w:val="0"/>
      <w:autoSpaceDE w:val="0"/>
      <w:autoSpaceDN w:val="0"/>
      <w:spacing w:after="240" w:line="240" w:lineRule="auto"/>
    </w:pPr>
    <w:rPr>
      <w:sz w:val="26"/>
      <w:szCs w:val="26"/>
      <w:lang w:eastAsia="en-AU"/>
    </w:rPr>
  </w:style>
  <w:style w:type="character" w:styleId="FootnoteReference">
    <w:name w:val="footnote reference"/>
    <w:basedOn w:val="DefaultParagraphFont"/>
    <w:uiPriority w:val="99"/>
    <w:rsid w:val="00973B3B"/>
    <w:rPr>
      <w:vertAlign w:val="superscript"/>
    </w:rPr>
  </w:style>
  <w:style w:type="character" w:customStyle="1" w:styleId="Heading4Char">
    <w:name w:val="Heading 4 Char"/>
    <w:basedOn w:val="DefaultParagraphFont"/>
    <w:link w:val="Heading4"/>
    <w:uiPriority w:val="9"/>
    <w:rsid w:val="00854935"/>
    <w:rPr>
      <w:rFonts w:ascii="Gill Sans MT" w:eastAsia="Times New Roman" w:hAnsi="Gill Sans MT" w:cs="Times New Roman"/>
      <w:b/>
      <w:bCs/>
      <w:sz w:val="24"/>
    </w:rPr>
  </w:style>
  <w:style w:type="character" w:customStyle="1" w:styleId="Heading5Char">
    <w:name w:val="Heading 5 Char"/>
    <w:basedOn w:val="DefaultParagraphFont"/>
    <w:link w:val="Heading5"/>
    <w:uiPriority w:val="9"/>
    <w:rsid w:val="00691BE5"/>
    <w:rPr>
      <w:rFonts w:ascii="GillSans Light" w:eastAsia="Times New Roman" w:hAnsi="GillSans Light" w:cs="Times New Roman"/>
      <w:b/>
      <w:snapToGrid w:val="0"/>
      <w:kern w:val="28"/>
      <w:sz w:val="40"/>
      <w:szCs w:val="20"/>
    </w:rPr>
  </w:style>
  <w:style w:type="character" w:customStyle="1" w:styleId="Heading6Char">
    <w:name w:val="Heading 6 Char"/>
    <w:basedOn w:val="DefaultParagraphFont"/>
    <w:link w:val="Heading6"/>
    <w:uiPriority w:val="9"/>
    <w:rsid w:val="00691BE5"/>
    <w:rPr>
      <w:rFonts w:ascii="GillSans Light" w:eastAsia="Times New Roman" w:hAnsi="GillSans Light" w:cs="Times New Roman"/>
      <w:b/>
      <w:bCs/>
      <w:sz w:val="32"/>
      <w:szCs w:val="28"/>
    </w:rPr>
  </w:style>
  <w:style w:type="character" w:customStyle="1" w:styleId="Heading7Char">
    <w:name w:val="Heading 7 Char"/>
    <w:basedOn w:val="DefaultParagraphFont"/>
    <w:link w:val="Heading7"/>
    <w:uiPriority w:val="9"/>
    <w:rsid w:val="00691BE5"/>
    <w:rPr>
      <w:rFonts w:ascii="GillSans Light" w:eastAsia="Times New Roman" w:hAnsi="GillSans Light" w:cs="Times New Roman"/>
      <w:b/>
      <w:bCs/>
      <w:iCs/>
      <w:sz w:val="28"/>
      <w:szCs w:val="28"/>
    </w:rPr>
  </w:style>
  <w:style w:type="character" w:customStyle="1" w:styleId="Heading8Char">
    <w:name w:val="Heading 8 Char"/>
    <w:basedOn w:val="DefaultParagraphFont"/>
    <w:link w:val="Heading8"/>
    <w:uiPriority w:val="9"/>
    <w:rsid w:val="00691BE5"/>
    <w:rPr>
      <w:rFonts w:ascii="GillSans Light" w:eastAsia="Times New Roman" w:hAnsi="GillSans Light" w:cs="Times New Roman"/>
      <w:b/>
      <w:bCs/>
      <w:sz w:val="24"/>
    </w:rPr>
  </w:style>
  <w:style w:type="character" w:customStyle="1" w:styleId="Heading9Char">
    <w:name w:val="Heading 9 Char"/>
    <w:basedOn w:val="DefaultParagraphFont"/>
    <w:link w:val="Heading9"/>
    <w:uiPriority w:val="9"/>
    <w:rsid w:val="00691BE5"/>
    <w:rPr>
      <w:rFonts w:ascii="Arial" w:eastAsia="Times New Roman" w:hAnsi="Arial" w:cs="Times New Roman"/>
    </w:rPr>
  </w:style>
  <w:style w:type="character" w:styleId="PageNumber">
    <w:name w:val="page number"/>
    <w:basedOn w:val="DefaultParagraphFont"/>
    <w:semiHidden/>
    <w:rsid w:val="00691BE5"/>
  </w:style>
  <w:style w:type="character" w:customStyle="1" w:styleId="Cross-ref">
    <w:name w:val="Cross-ref"/>
    <w:semiHidden/>
    <w:rsid w:val="00691BE5"/>
    <w:rPr>
      <w:rFonts w:ascii="Gill Sans MT" w:hAnsi="Gill Sans MT"/>
      <w:color w:val="0000FF"/>
      <w:u w:val="single" w:color="0000FF"/>
    </w:rPr>
  </w:style>
  <w:style w:type="paragraph" w:styleId="Caption">
    <w:name w:val="caption"/>
    <w:basedOn w:val="Normal"/>
    <w:next w:val="Normal"/>
    <w:rsid w:val="00691BE5"/>
    <w:pPr>
      <w:spacing w:before="120" w:after="120"/>
    </w:pPr>
    <w:rPr>
      <w:b/>
      <w:bCs/>
      <w:sz w:val="20"/>
      <w:szCs w:val="20"/>
    </w:rPr>
  </w:style>
  <w:style w:type="paragraph" w:styleId="Date">
    <w:name w:val="Date"/>
    <w:basedOn w:val="Normal"/>
    <w:next w:val="Normal"/>
    <w:link w:val="DateChar"/>
    <w:semiHidden/>
    <w:rsid w:val="00691BE5"/>
    <w:pPr>
      <w:spacing w:after="0" w:line="480" w:lineRule="atLeast"/>
    </w:pPr>
    <w:rPr>
      <w:sz w:val="28"/>
    </w:rPr>
  </w:style>
  <w:style w:type="character" w:customStyle="1" w:styleId="DateChar">
    <w:name w:val="Date Char"/>
    <w:basedOn w:val="DefaultParagraphFont"/>
    <w:link w:val="Date"/>
    <w:semiHidden/>
    <w:rsid w:val="00691BE5"/>
    <w:rPr>
      <w:rFonts w:ascii="Gill Sans MT" w:eastAsia="Times New Roman" w:hAnsi="Gill Sans MT" w:cs="Times New Roman"/>
      <w:sz w:val="28"/>
    </w:rPr>
  </w:style>
  <w:style w:type="paragraph" w:customStyle="1" w:styleId="File">
    <w:name w:val="File"/>
    <w:basedOn w:val="Normal"/>
    <w:semiHidden/>
    <w:rsid w:val="00691BE5"/>
    <w:pPr>
      <w:spacing w:after="0"/>
    </w:pPr>
    <w:rPr>
      <w:sz w:val="18"/>
    </w:rPr>
  </w:style>
  <w:style w:type="paragraph" w:customStyle="1" w:styleId="Header1">
    <w:name w:val="Header 1"/>
    <w:basedOn w:val="Normal"/>
    <w:semiHidden/>
    <w:rsid w:val="00691BE5"/>
    <w:rPr>
      <w:caps/>
      <w:spacing w:val="30"/>
      <w:sz w:val="20"/>
    </w:rPr>
  </w:style>
  <w:style w:type="paragraph" w:customStyle="1" w:styleId="Header2">
    <w:name w:val="Header 2"/>
    <w:basedOn w:val="Header1"/>
    <w:semiHidden/>
    <w:rsid w:val="00691BE5"/>
    <w:pPr>
      <w:spacing w:before="560"/>
    </w:pPr>
    <w:rPr>
      <w:spacing w:val="20"/>
      <w:sz w:val="18"/>
      <w:szCs w:val="18"/>
    </w:rPr>
  </w:style>
  <w:style w:type="paragraph" w:customStyle="1" w:styleId="Contentsheading">
    <w:name w:val="Contents heading"/>
    <w:next w:val="Normal"/>
    <w:semiHidden/>
    <w:rsid w:val="00691BE5"/>
    <w:pPr>
      <w:pageBreakBefore/>
      <w:spacing w:before="300" w:after="240" w:line="240" w:lineRule="auto"/>
    </w:pPr>
    <w:rPr>
      <w:rFonts w:ascii="Gill Sans MT" w:eastAsia="Times New Roman" w:hAnsi="Gill Sans MT" w:cs="Times New Roman"/>
      <w:b/>
      <w:sz w:val="40"/>
      <w:szCs w:val="24"/>
    </w:rPr>
  </w:style>
  <w:style w:type="paragraph" w:styleId="NormalIndent">
    <w:name w:val="Normal Indent"/>
    <w:basedOn w:val="Normal"/>
    <w:rsid w:val="00691BE5"/>
    <w:pPr>
      <w:ind w:left="567"/>
    </w:pPr>
  </w:style>
  <w:style w:type="paragraph" w:customStyle="1" w:styleId="Quotation">
    <w:name w:val="Quotation"/>
    <w:basedOn w:val="NormalIndent"/>
    <w:semiHidden/>
    <w:rsid w:val="00691BE5"/>
    <w:rPr>
      <w:sz w:val="20"/>
    </w:rPr>
  </w:style>
  <w:style w:type="paragraph" w:customStyle="1" w:styleId="TableHeadingRight">
    <w:name w:val="Table Heading Right"/>
    <w:basedOn w:val="TableHeadingLeft"/>
    <w:semiHidden/>
    <w:rsid w:val="00691BE5"/>
    <w:pPr>
      <w:jc w:val="right"/>
    </w:pPr>
  </w:style>
  <w:style w:type="paragraph" w:customStyle="1" w:styleId="TableHeadingLeft">
    <w:name w:val="Table Heading Left"/>
    <w:basedOn w:val="Normal"/>
    <w:semiHidden/>
    <w:rsid w:val="00691BE5"/>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691BE5"/>
    <w:pPr>
      <w:jc w:val="center"/>
    </w:pPr>
  </w:style>
  <w:style w:type="paragraph" w:customStyle="1" w:styleId="TableContentsRight">
    <w:name w:val="Table Contents Right"/>
    <w:basedOn w:val="TableContentsLeft"/>
    <w:semiHidden/>
    <w:rsid w:val="00691BE5"/>
    <w:pPr>
      <w:jc w:val="right"/>
    </w:pPr>
  </w:style>
  <w:style w:type="paragraph" w:customStyle="1" w:styleId="TableContentsLeft">
    <w:name w:val="Table Contents Left"/>
    <w:basedOn w:val="Normal"/>
    <w:semiHidden/>
    <w:rsid w:val="00691BE5"/>
    <w:pPr>
      <w:tabs>
        <w:tab w:val="clear" w:pos="567"/>
        <w:tab w:val="left" w:pos="425"/>
      </w:tabs>
      <w:spacing w:before="60" w:after="60" w:line="240" w:lineRule="auto"/>
    </w:pPr>
    <w:rPr>
      <w:szCs w:val="24"/>
    </w:rPr>
  </w:style>
  <w:style w:type="paragraph" w:customStyle="1" w:styleId="TableBulletedList">
    <w:name w:val="Table Bulleted List"/>
    <w:rsid w:val="00691BE5"/>
    <w:pPr>
      <w:numPr>
        <w:numId w:val="29"/>
      </w:numPr>
      <w:tabs>
        <w:tab w:val="left" w:pos="284"/>
      </w:tabs>
      <w:spacing w:before="20" w:after="60" w:line="240" w:lineRule="auto"/>
    </w:pPr>
    <w:rPr>
      <w:rFonts w:ascii="Gill Sans MT" w:eastAsia="Times New Roman" w:hAnsi="Gill Sans MT" w:cs="Times New Roman"/>
      <w:szCs w:val="24"/>
    </w:rPr>
  </w:style>
  <w:style w:type="paragraph" w:customStyle="1" w:styleId="Tablenotes">
    <w:name w:val="Table notes"/>
    <w:basedOn w:val="Caption"/>
    <w:semiHidden/>
    <w:rsid w:val="00691BE5"/>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691BE5"/>
    <w:pPr>
      <w:spacing w:after="0" w:line="300" w:lineRule="atLeast"/>
      <w:ind w:right="-28"/>
      <w:jc w:val="right"/>
    </w:pPr>
    <w:rPr>
      <w:rFonts w:ascii="Gill Sans MT" w:eastAsia="Times New Roman" w:hAnsi="Gill Sans MT" w:cs="Times New Roman"/>
      <w:sz w:val="20"/>
      <w:szCs w:val="24"/>
    </w:rPr>
  </w:style>
  <w:style w:type="paragraph" w:styleId="TOC1">
    <w:name w:val="toc 1"/>
    <w:basedOn w:val="Normal"/>
    <w:next w:val="Normal"/>
    <w:autoRedefine/>
    <w:uiPriority w:val="39"/>
    <w:qFormat/>
    <w:rsid w:val="002D3844"/>
    <w:pPr>
      <w:tabs>
        <w:tab w:val="right" w:pos="9360"/>
      </w:tabs>
      <w:spacing w:before="120" w:after="120" w:line="240" w:lineRule="auto"/>
    </w:pPr>
    <w:rPr>
      <w:b/>
      <w:noProof/>
      <w:szCs w:val="36"/>
    </w:rPr>
  </w:style>
  <w:style w:type="paragraph" w:styleId="TOC2">
    <w:name w:val="toc 2"/>
    <w:basedOn w:val="Normal"/>
    <w:next w:val="Normal"/>
    <w:autoRedefine/>
    <w:uiPriority w:val="39"/>
    <w:qFormat/>
    <w:rsid w:val="00691BE5"/>
    <w:pPr>
      <w:tabs>
        <w:tab w:val="clear" w:pos="567"/>
        <w:tab w:val="right" w:pos="9360"/>
      </w:tabs>
      <w:spacing w:before="140"/>
      <w:ind w:left="1260" w:right="278" w:hanging="709"/>
    </w:pPr>
    <w:rPr>
      <w:rFonts w:cs="Arial"/>
      <w:noProof/>
      <w:szCs w:val="26"/>
    </w:rPr>
  </w:style>
  <w:style w:type="paragraph" w:styleId="DocumentMap">
    <w:name w:val="Document Map"/>
    <w:basedOn w:val="Normal"/>
    <w:link w:val="DocumentMapChar"/>
    <w:rsid w:val="00691BE5"/>
    <w:pPr>
      <w:numPr>
        <w:ilvl w:val="1"/>
        <w:numId w:val="12"/>
      </w:numPr>
      <w:shd w:val="clear" w:color="auto" w:fill="000080"/>
      <w:spacing w:after="0"/>
    </w:pPr>
    <w:rPr>
      <w:rFonts w:ascii="Arial" w:hAnsi="Arial"/>
    </w:rPr>
  </w:style>
  <w:style w:type="character" w:customStyle="1" w:styleId="DocumentMapChar">
    <w:name w:val="Document Map Char"/>
    <w:basedOn w:val="DefaultParagraphFont"/>
    <w:link w:val="DocumentMap"/>
    <w:rsid w:val="00691BE5"/>
    <w:rPr>
      <w:rFonts w:ascii="Arial" w:eastAsia="Times New Roman" w:hAnsi="Arial" w:cs="Times New Roman"/>
      <w:shd w:val="clear" w:color="auto" w:fill="000080"/>
    </w:rPr>
  </w:style>
  <w:style w:type="paragraph" w:customStyle="1" w:styleId="Fileno">
    <w:name w:val="File no."/>
    <w:basedOn w:val="Normal"/>
    <w:semiHidden/>
    <w:rsid w:val="00691BE5"/>
    <w:pPr>
      <w:spacing w:after="240" w:line="300" w:lineRule="exact"/>
    </w:pPr>
    <w:rPr>
      <w:rFonts w:ascii="Arial" w:hAnsi="Arial" w:cs="Arial"/>
    </w:rPr>
  </w:style>
  <w:style w:type="character" w:styleId="FollowedHyperlink">
    <w:name w:val="FollowedHyperlink"/>
    <w:uiPriority w:val="99"/>
    <w:rsid w:val="00691BE5"/>
    <w:rPr>
      <w:color w:val="800080"/>
      <w:u w:val="single"/>
    </w:rPr>
  </w:style>
  <w:style w:type="paragraph" w:customStyle="1" w:styleId="GovernanceText">
    <w:name w:val="Governance Text"/>
    <w:semiHidden/>
    <w:rsid w:val="00691BE5"/>
    <w:pPr>
      <w:spacing w:after="120" w:line="240" w:lineRule="auto"/>
    </w:pPr>
    <w:rPr>
      <w:rFonts w:ascii="Gill Sans MT" w:eastAsia="Times New Roman" w:hAnsi="Gill Sans MT" w:cs="Times New Roman"/>
      <w:color w:val="808080"/>
      <w:sz w:val="16"/>
      <w:szCs w:val="16"/>
    </w:rPr>
  </w:style>
  <w:style w:type="paragraph" w:customStyle="1" w:styleId="ReportTitle">
    <w:name w:val="Report Title"/>
    <w:basedOn w:val="Heading1"/>
    <w:semiHidden/>
    <w:rsid w:val="00691BE5"/>
    <w:pPr>
      <w:keepNext w:val="0"/>
      <w:keepLines w:val="0"/>
      <w:spacing w:before="2600" w:after="5600"/>
      <w:outlineLvl w:val="9"/>
    </w:pPr>
    <w:rPr>
      <w:rFonts w:eastAsia="Times New Roman" w:cs="Times New Roman"/>
      <w:bCs w:val="0"/>
      <w:snapToGrid w:val="0"/>
      <w:kern w:val="28"/>
      <w:sz w:val="48"/>
      <w:szCs w:val="20"/>
    </w:rPr>
  </w:style>
  <w:style w:type="paragraph" w:customStyle="1" w:styleId="TableContentsCentered">
    <w:name w:val="Table Contents Centered"/>
    <w:basedOn w:val="TableContentsLeft"/>
    <w:semiHidden/>
    <w:rsid w:val="00691BE5"/>
    <w:pPr>
      <w:jc w:val="center"/>
    </w:pPr>
  </w:style>
  <w:style w:type="paragraph" w:customStyle="1" w:styleId="DepartmentAddress">
    <w:name w:val="Department Address"/>
    <w:semiHidden/>
    <w:rsid w:val="00691BE5"/>
    <w:pPr>
      <w:widowControl w:val="0"/>
      <w:tabs>
        <w:tab w:val="left" w:pos="425"/>
        <w:tab w:val="left" w:pos="1495"/>
        <w:tab w:val="right" w:pos="17987"/>
      </w:tabs>
      <w:suppressAutoHyphens/>
      <w:autoSpaceDE w:val="0"/>
      <w:autoSpaceDN w:val="0"/>
      <w:adjustRightInd w:val="0"/>
      <w:spacing w:after="0" w:line="240" w:lineRule="exact"/>
      <w:textAlignment w:val="baseline"/>
    </w:pPr>
    <w:rPr>
      <w:rFonts w:ascii="Gill Sans MT" w:eastAsia="Times New Roman" w:hAnsi="Gill Sans MT" w:cs="Times New Roman"/>
      <w:color w:val="000000"/>
      <w:sz w:val="18"/>
      <w:szCs w:val="20"/>
      <w:lang w:val="en-GB"/>
    </w:rPr>
  </w:style>
  <w:style w:type="paragraph" w:customStyle="1" w:styleId="DepartmentTitle">
    <w:name w:val="Department Title"/>
    <w:semiHidden/>
    <w:rsid w:val="00691BE5"/>
    <w:pPr>
      <w:tabs>
        <w:tab w:val="left" w:pos="720"/>
      </w:tabs>
      <w:spacing w:after="0" w:line="240" w:lineRule="auto"/>
    </w:pPr>
    <w:rPr>
      <w:rFonts w:ascii="Gill Sans MT" w:eastAsia="Times New Roman" w:hAnsi="Gill Sans MT" w:cs="Times New Roman"/>
      <w:sz w:val="28"/>
      <w:szCs w:val="24"/>
    </w:rPr>
  </w:style>
  <w:style w:type="paragraph" w:customStyle="1" w:styleId="Sub-branch">
    <w:name w:val="Sub-branch"/>
    <w:basedOn w:val="Normal"/>
    <w:semiHidden/>
    <w:rsid w:val="00691BE5"/>
    <w:pPr>
      <w:spacing w:before="80" w:after="240" w:line="24" w:lineRule="atLeast"/>
    </w:pPr>
    <w:rPr>
      <w:caps/>
      <w:w w:val="95"/>
      <w:sz w:val="18"/>
      <w:szCs w:val="20"/>
    </w:rPr>
  </w:style>
  <w:style w:type="paragraph" w:customStyle="1" w:styleId="Attention">
    <w:name w:val="Attention"/>
    <w:basedOn w:val="Normal"/>
    <w:semiHidden/>
    <w:rsid w:val="00691BE5"/>
    <w:pPr>
      <w:keepNext/>
      <w:spacing w:after="240"/>
    </w:pPr>
  </w:style>
  <w:style w:type="paragraph" w:customStyle="1" w:styleId="BoldTitle">
    <w:name w:val="BoldTitle"/>
    <w:semiHidden/>
    <w:rsid w:val="00691BE5"/>
    <w:pPr>
      <w:spacing w:after="0" w:line="240" w:lineRule="auto"/>
    </w:pPr>
    <w:rPr>
      <w:rFonts w:ascii="Gill Sans MT" w:eastAsia="Times New Roman" w:hAnsi="Gill Sans MT" w:cs="Times New Roman"/>
      <w:b/>
      <w:caps/>
      <w:szCs w:val="24"/>
    </w:rPr>
  </w:style>
  <w:style w:type="paragraph" w:styleId="Subtitle">
    <w:name w:val="Subtitle"/>
    <w:basedOn w:val="Normal"/>
    <w:link w:val="SubtitleChar"/>
    <w:uiPriority w:val="11"/>
    <w:qFormat/>
    <w:rsid w:val="00691BE5"/>
    <w:pPr>
      <w:spacing w:after="60"/>
      <w:jc w:val="center"/>
      <w:outlineLvl w:val="1"/>
    </w:pPr>
    <w:rPr>
      <w:sz w:val="24"/>
    </w:rPr>
  </w:style>
  <w:style w:type="character" w:customStyle="1" w:styleId="SubtitleChar">
    <w:name w:val="Subtitle Char"/>
    <w:basedOn w:val="DefaultParagraphFont"/>
    <w:link w:val="Subtitle"/>
    <w:uiPriority w:val="11"/>
    <w:rsid w:val="00691BE5"/>
    <w:rPr>
      <w:rFonts w:ascii="Gill Sans MT" w:eastAsia="Times New Roman" w:hAnsi="Gill Sans MT" w:cs="Times New Roman"/>
      <w:sz w:val="24"/>
    </w:rPr>
  </w:style>
  <w:style w:type="paragraph" w:customStyle="1" w:styleId="FirstPageFooter">
    <w:name w:val="FirstPageFooter"/>
    <w:basedOn w:val="Footer"/>
    <w:semiHidden/>
    <w:rsid w:val="00691BE5"/>
    <w:pPr>
      <w:jc w:val="center"/>
    </w:pPr>
  </w:style>
  <w:style w:type="paragraph" w:customStyle="1" w:styleId="Indented">
    <w:name w:val="Indented"/>
    <w:semiHidden/>
    <w:rsid w:val="00691BE5"/>
    <w:pPr>
      <w:spacing w:after="0" w:line="240" w:lineRule="auto"/>
      <w:ind w:left="1418"/>
    </w:pPr>
    <w:rPr>
      <w:rFonts w:ascii="Gill Sans MT" w:eastAsia="Times New Roman" w:hAnsi="Gill Sans MT" w:cs="Times New Roman"/>
    </w:rPr>
  </w:style>
  <w:style w:type="paragraph" w:customStyle="1" w:styleId="IndentedItalic">
    <w:name w:val="Indented Italic"/>
    <w:semiHidden/>
    <w:rsid w:val="00691BE5"/>
    <w:pPr>
      <w:spacing w:after="120" w:line="240" w:lineRule="auto"/>
      <w:ind w:left="567"/>
    </w:pPr>
    <w:rPr>
      <w:rFonts w:ascii="Gill Sans MT" w:eastAsia="Times New Roman" w:hAnsi="Gill Sans MT" w:cs="Times New Roman"/>
      <w:i/>
      <w:szCs w:val="24"/>
    </w:rPr>
  </w:style>
  <w:style w:type="paragraph" w:customStyle="1" w:styleId="Lettered">
    <w:name w:val="Lettered"/>
    <w:semiHidden/>
    <w:rsid w:val="00691BE5"/>
    <w:pPr>
      <w:numPr>
        <w:numId w:val="13"/>
      </w:numPr>
      <w:spacing w:after="0" w:line="300" w:lineRule="atLeast"/>
    </w:pPr>
    <w:rPr>
      <w:rFonts w:ascii="Gill Sans MT" w:eastAsia="Times New Roman" w:hAnsi="Gill Sans MT" w:cs="Times New Roman"/>
      <w:szCs w:val="24"/>
    </w:rPr>
  </w:style>
  <w:style w:type="paragraph" w:customStyle="1" w:styleId="ReferenceBlock">
    <w:name w:val="Reference Block"/>
    <w:semiHidden/>
    <w:rsid w:val="00691BE5"/>
    <w:pPr>
      <w:tabs>
        <w:tab w:val="left" w:pos="425"/>
      </w:tabs>
      <w:spacing w:after="0" w:line="240" w:lineRule="auto"/>
    </w:pPr>
    <w:rPr>
      <w:rFonts w:ascii="Gill Sans MT" w:eastAsia="Times New Roman" w:hAnsi="Gill Sans MT" w:cs="Arial"/>
      <w:sz w:val="20"/>
      <w:szCs w:val="20"/>
    </w:rPr>
  </w:style>
  <w:style w:type="paragraph" w:customStyle="1" w:styleId="RomanNumerals">
    <w:name w:val="Roman Numerals"/>
    <w:semiHidden/>
    <w:rsid w:val="00691BE5"/>
    <w:pPr>
      <w:numPr>
        <w:numId w:val="14"/>
      </w:numPr>
      <w:spacing w:after="120" w:line="240" w:lineRule="auto"/>
    </w:pPr>
    <w:rPr>
      <w:rFonts w:ascii="Gill Sans MT" w:eastAsia="Times New Roman" w:hAnsi="Gill Sans MT" w:cs="Times New Roman"/>
      <w:szCs w:val="24"/>
    </w:rPr>
  </w:style>
  <w:style w:type="paragraph" w:customStyle="1" w:styleId="Subject">
    <w:name w:val="Subject"/>
    <w:semiHidden/>
    <w:rsid w:val="00691BE5"/>
    <w:pPr>
      <w:spacing w:before="60" w:after="60" w:line="240" w:lineRule="auto"/>
    </w:pPr>
    <w:rPr>
      <w:rFonts w:ascii="Gill Sans MT" w:eastAsia="Times New Roman" w:hAnsi="Gill Sans MT" w:cs="Times New Roman"/>
      <w:b/>
      <w:sz w:val="24"/>
      <w:szCs w:val="28"/>
    </w:rPr>
  </w:style>
  <w:style w:type="paragraph" w:customStyle="1" w:styleId="Heading1notinTOC">
    <w:name w:val="Heading 1 not in TOC"/>
    <w:basedOn w:val="Heading1"/>
    <w:semiHidden/>
    <w:rsid w:val="00691BE5"/>
    <w:pPr>
      <w:keepLines w:val="0"/>
      <w:pageBreakBefore/>
      <w:spacing w:before="240" w:after="140"/>
    </w:pPr>
    <w:rPr>
      <w:rFonts w:eastAsia="Times New Roman" w:cs="Times New Roman"/>
      <w:bCs w:val="0"/>
      <w:snapToGrid w:val="0"/>
      <w:kern w:val="28"/>
      <w:szCs w:val="20"/>
    </w:rPr>
  </w:style>
  <w:style w:type="paragraph" w:customStyle="1" w:styleId="NumberedList">
    <w:name w:val="Numbered List"/>
    <w:semiHidden/>
    <w:rsid w:val="00691BE5"/>
    <w:pPr>
      <w:numPr>
        <w:numId w:val="24"/>
      </w:numPr>
      <w:spacing w:after="140" w:line="300" w:lineRule="atLeast"/>
    </w:pPr>
    <w:rPr>
      <w:rFonts w:ascii="Gill Sans MT" w:eastAsia="Times New Roman" w:hAnsi="Gill Sans MT" w:cs="Times New Roman"/>
      <w:szCs w:val="20"/>
    </w:rPr>
  </w:style>
  <w:style w:type="paragraph" w:styleId="BlockText">
    <w:name w:val="Block Text"/>
    <w:basedOn w:val="Normal"/>
    <w:semiHidden/>
    <w:rsid w:val="00691BE5"/>
    <w:pPr>
      <w:spacing w:line="300" w:lineRule="exact"/>
      <w:ind w:left="1440" w:right="1440"/>
    </w:pPr>
    <w:rPr>
      <w:rFonts w:ascii="Arial" w:hAnsi="Arial"/>
    </w:rPr>
  </w:style>
  <w:style w:type="paragraph" w:styleId="BodyText2">
    <w:name w:val="Body Text 2"/>
    <w:basedOn w:val="Normal"/>
    <w:link w:val="BodyText2Char"/>
    <w:rsid w:val="00691BE5"/>
    <w:pPr>
      <w:spacing w:line="480" w:lineRule="auto"/>
    </w:pPr>
    <w:rPr>
      <w:rFonts w:ascii="Arial" w:hAnsi="Arial"/>
    </w:rPr>
  </w:style>
  <w:style w:type="character" w:customStyle="1" w:styleId="BodyText2Char">
    <w:name w:val="Body Text 2 Char"/>
    <w:basedOn w:val="DefaultParagraphFont"/>
    <w:link w:val="BodyText2"/>
    <w:rsid w:val="00691BE5"/>
    <w:rPr>
      <w:rFonts w:ascii="Arial" w:eastAsia="Times New Roman" w:hAnsi="Arial" w:cs="Times New Roman"/>
    </w:rPr>
  </w:style>
  <w:style w:type="paragraph" w:styleId="BodyText3">
    <w:name w:val="Body Text 3"/>
    <w:basedOn w:val="Normal"/>
    <w:link w:val="BodyText3Char"/>
    <w:rsid w:val="00691BE5"/>
    <w:pPr>
      <w:spacing w:line="300" w:lineRule="exact"/>
    </w:pPr>
    <w:rPr>
      <w:rFonts w:ascii="Arial" w:hAnsi="Arial"/>
      <w:sz w:val="16"/>
      <w:szCs w:val="16"/>
    </w:rPr>
  </w:style>
  <w:style w:type="character" w:customStyle="1" w:styleId="BodyText3Char">
    <w:name w:val="Body Text 3 Char"/>
    <w:basedOn w:val="DefaultParagraphFont"/>
    <w:link w:val="BodyText3"/>
    <w:rsid w:val="00691BE5"/>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691BE5"/>
    <w:pPr>
      <w:ind w:firstLine="210"/>
    </w:pPr>
  </w:style>
  <w:style w:type="character" w:customStyle="1" w:styleId="BodyTextFirstIndentChar">
    <w:name w:val="Body Text First Indent Char"/>
    <w:basedOn w:val="BodyTextChar"/>
    <w:link w:val="BodyTextFirstIndent"/>
    <w:semiHidden/>
    <w:rsid w:val="00691BE5"/>
    <w:rPr>
      <w:rFonts w:ascii="Gill Sans MT" w:eastAsia="Times New Roman" w:hAnsi="Gill Sans MT" w:cs="Times New Roman"/>
    </w:rPr>
  </w:style>
  <w:style w:type="paragraph" w:styleId="BodyTextIndent">
    <w:name w:val="Body Text Indent"/>
    <w:basedOn w:val="BodyText"/>
    <w:link w:val="BodyTextIndentChar"/>
    <w:rsid w:val="00691BE5"/>
    <w:pPr>
      <w:ind w:left="567"/>
    </w:pPr>
  </w:style>
  <w:style w:type="character" w:customStyle="1" w:styleId="BodyTextIndentChar">
    <w:name w:val="Body Text Indent Char"/>
    <w:basedOn w:val="DefaultParagraphFont"/>
    <w:link w:val="BodyTextIndent"/>
    <w:rsid w:val="00691BE5"/>
    <w:rPr>
      <w:rFonts w:ascii="Gill Sans MT" w:eastAsia="Times New Roman" w:hAnsi="Gill Sans MT" w:cs="Times New Roman"/>
    </w:rPr>
  </w:style>
  <w:style w:type="paragraph" w:styleId="BodyTextFirstIndent2">
    <w:name w:val="Body Text First Indent 2"/>
    <w:basedOn w:val="BodyTextIndent"/>
    <w:link w:val="BodyTextFirstIndent2Char"/>
    <w:semiHidden/>
    <w:rsid w:val="00691BE5"/>
    <w:pPr>
      <w:spacing w:line="300" w:lineRule="exact"/>
      <w:ind w:firstLine="210"/>
    </w:pPr>
    <w:rPr>
      <w:rFonts w:ascii="Arial" w:hAnsi="Arial"/>
    </w:rPr>
  </w:style>
  <w:style w:type="character" w:customStyle="1" w:styleId="BodyTextFirstIndent2Char">
    <w:name w:val="Body Text First Indent 2 Char"/>
    <w:basedOn w:val="BodyTextIndentChar"/>
    <w:link w:val="BodyTextFirstIndent2"/>
    <w:semiHidden/>
    <w:rsid w:val="00691BE5"/>
    <w:rPr>
      <w:rFonts w:ascii="Arial" w:eastAsia="Times New Roman" w:hAnsi="Arial" w:cs="Times New Roman"/>
    </w:rPr>
  </w:style>
  <w:style w:type="paragraph" w:styleId="BodyTextIndent2">
    <w:name w:val="Body Text Indent 2"/>
    <w:basedOn w:val="Normal"/>
    <w:link w:val="BodyTextIndent2Char"/>
    <w:semiHidden/>
    <w:rsid w:val="00691BE5"/>
    <w:pPr>
      <w:spacing w:line="480" w:lineRule="auto"/>
      <w:ind w:left="283"/>
    </w:pPr>
    <w:rPr>
      <w:rFonts w:ascii="Arial" w:hAnsi="Arial"/>
    </w:rPr>
  </w:style>
  <w:style w:type="character" w:customStyle="1" w:styleId="BodyTextIndent2Char">
    <w:name w:val="Body Text Indent 2 Char"/>
    <w:basedOn w:val="DefaultParagraphFont"/>
    <w:link w:val="BodyTextIndent2"/>
    <w:semiHidden/>
    <w:rsid w:val="00691BE5"/>
    <w:rPr>
      <w:rFonts w:ascii="Arial" w:eastAsia="Times New Roman" w:hAnsi="Arial" w:cs="Times New Roman"/>
    </w:rPr>
  </w:style>
  <w:style w:type="paragraph" w:styleId="BodyTextIndent3">
    <w:name w:val="Body Text Indent 3"/>
    <w:basedOn w:val="Normal"/>
    <w:link w:val="BodyTextIndent3Char"/>
    <w:semiHidden/>
    <w:rsid w:val="00691BE5"/>
    <w:pPr>
      <w:spacing w:line="300" w:lineRule="exact"/>
      <w:ind w:left="283"/>
    </w:pPr>
    <w:rPr>
      <w:rFonts w:ascii="Arial" w:hAnsi="Arial"/>
      <w:sz w:val="16"/>
      <w:szCs w:val="16"/>
    </w:rPr>
  </w:style>
  <w:style w:type="character" w:customStyle="1" w:styleId="BodyTextIndent3Char">
    <w:name w:val="Body Text Indent 3 Char"/>
    <w:basedOn w:val="DefaultParagraphFont"/>
    <w:link w:val="BodyTextIndent3"/>
    <w:semiHidden/>
    <w:rsid w:val="00691BE5"/>
    <w:rPr>
      <w:rFonts w:ascii="Arial" w:eastAsia="Times New Roman" w:hAnsi="Arial" w:cs="Times New Roman"/>
      <w:sz w:val="16"/>
      <w:szCs w:val="16"/>
    </w:rPr>
  </w:style>
  <w:style w:type="paragraph" w:styleId="Closing">
    <w:name w:val="Closing"/>
    <w:basedOn w:val="Normal"/>
    <w:link w:val="ClosingChar"/>
    <w:semiHidden/>
    <w:rsid w:val="00691BE5"/>
    <w:pPr>
      <w:spacing w:after="240" w:line="300" w:lineRule="exact"/>
      <w:ind w:left="4252"/>
    </w:pPr>
    <w:rPr>
      <w:rFonts w:ascii="Arial" w:hAnsi="Arial"/>
    </w:rPr>
  </w:style>
  <w:style w:type="character" w:customStyle="1" w:styleId="ClosingChar">
    <w:name w:val="Closing Char"/>
    <w:basedOn w:val="DefaultParagraphFont"/>
    <w:link w:val="Closing"/>
    <w:semiHidden/>
    <w:rsid w:val="00691BE5"/>
    <w:rPr>
      <w:rFonts w:ascii="Arial" w:eastAsia="Times New Roman" w:hAnsi="Arial" w:cs="Times New Roman"/>
    </w:rPr>
  </w:style>
  <w:style w:type="paragraph" w:styleId="E-mailSignature">
    <w:name w:val="E-mail Signature"/>
    <w:basedOn w:val="Normal"/>
    <w:link w:val="E-mailSignatureChar"/>
    <w:semiHidden/>
    <w:rsid w:val="00691BE5"/>
    <w:pPr>
      <w:spacing w:after="240" w:line="300" w:lineRule="exact"/>
    </w:pPr>
    <w:rPr>
      <w:rFonts w:ascii="Arial" w:hAnsi="Arial"/>
    </w:rPr>
  </w:style>
  <w:style w:type="character" w:customStyle="1" w:styleId="E-mailSignatureChar">
    <w:name w:val="E-mail Signature Char"/>
    <w:basedOn w:val="DefaultParagraphFont"/>
    <w:link w:val="E-mailSignature"/>
    <w:semiHidden/>
    <w:rsid w:val="00691BE5"/>
    <w:rPr>
      <w:rFonts w:ascii="Arial" w:eastAsia="Times New Roman" w:hAnsi="Arial" w:cs="Times New Roman"/>
    </w:rPr>
  </w:style>
  <w:style w:type="character" w:styleId="Emphasis">
    <w:name w:val="Emphasis"/>
    <w:uiPriority w:val="20"/>
    <w:qFormat/>
    <w:rsid w:val="00691BE5"/>
    <w:rPr>
      <w:i/>
      <w:iCs/>
    </w:rPr>
  </w:style>
  <w:style w:type="paragraph" w:customStyle="1" w:styleId="Heading1numbered">
    <w:name w:val="Heading 1 (numbered)"/>
    <w:basedOn w:val="Heading1"/>
    <w:next w:val="Normal"/>
    <w:semiHidden/>
    <w:rsid w:val="00691BE5"/>
    <w:pPr>
      <w:keepLines w:val="0"/>
      <w:pageBreakBefore/>
      <w:numPr>
        <w:numId w:val="23"/>
      </w:numPr>
      <w:tabs>
        <w:tab w:val="clear" w:pos="567"/>
      </w:tabs>
      <w:spacing w:before="240" w:after="120"/>
    </w:pPr>
    <w:rPr>
      <w:rFonts w:eastAsia="Times New Roman" w:cs="Times New Roman"/>
      <w:bCs w:val="0"/>
      <w:snapToGrid w:val="0"/>
      <w:kern w:val="28"/>
      <w:szCs w:val="20"/>
    </w:rPr>
  </w:style>
  <w:style w:type="character" w:styleId="LineNumber">
    <w:name w:val="line number"/>
    <w:basedOn w:val="DefaultParagraphFont"/>
    <w:semiHidden/>
    <w:rsid w:val="00691BE5"/>
  </w:style>
  <w:style w:type="paragraph" w:styleId="MessageHeader">
    <w:name w:val="Message Header"/>
    <w:basedOn w:val="Normal"/>
    <w:link w:val="MessageHeaderChar"/>
    <w:semiHidden/>
    <w:rsid w:val="00691BE5"/>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character" w:customStyle="1" w:styleId="MessageHeaderChar">
    <w:name w:val="Message Header Char"/>
    <w:basedOn w:val="DefaultParagraphFont"/>
    <w:link w:val="MessageHeader"/>
    <w:semiHidden/>
    <w:rsid w:val="00691BE5"/>
    <w:rPr>
      <w:rFonts w:ascii="Arial" w:eastAsia="Times New Roman" w:hAnsi="Arial" w:cs="Arial"/>
      <w:sz w:val="24"/>
      <w:shd w:val="pct20" w:color="auto" w:fill="auto"/>
    </w:rPr>
  </w:style>
  <w:style w:type="paragraph" w:styleId="NoteHeading">
    <w:name w:val="Note Heading"/>
    <w:basedOn w:val="Normal"/>
    <w:next w:val="Normal"/>
    <w:link w:val="NoteHeadingChar"/>
    <w:semiHidden/>
    <w:rsid w:val="00691BE5"/>
  </w:style>
  <w:style w:type="character" w:customStyle="1" w:styleId="NoteHeadingChar">
    <w:name w:val="Note Heading Char"/>
    <w:basedOn w:val="DefaultParagraphFont"/>
    <w:link w:val="NoteHeading"/>
    <w:semiHidden/>
    <w:rsid w:val="00691BE5"/>
    <w:rPr>
      <w:rFonts w:ascii="Gill Sans MT" w:eastAsia="Times New Roman" w:hAnsi="Gill Sans MT" w:cs="Times New Roman"/>
    </w:rPr>
  </w:style>
  <w:style w:type="paragraph" w:styleId="PlainText">
    <w:name w:val="Plain Text"/>
    <w:basedOn w:val="Normal"/>
    <w:link w:val="PlainTextChar"/>
    <w:semiHidden/>
    <w:rsid w:val="00691BE5"/>
    <w:rPr>
      <w:rFonts w:ascii="Courier New" w:hAnsi="Courier New" w:cs="Courier New"/>
      <w:sz w:val="20"/>
      <w:szCs w:val="20"/>
    </w:rPr>
  </w:style>
  <w:style w:type="character" w:customStyle="1" w:styleId="PlainTextChar">
    <w:name w:val="Plain Text Char"/>
    <w:basedOn w:val="DefaultParagraphFont"/>
    <w:link w:val="PlainText"/>
    <w:semiHidden/>
    <w:rsid w:val="00691BE5"/>
    <w:rPr>
      <w:rFonts w:ascii="Courier New" w:eastAsia="Times New Roman" w:hAnsi="Courier New" w:cs="Courier New"/>
      <w:sz w:val="20"/>
      <w:szCs w:val="20"/>
    </w:rPr>
  </w:style>
  <w:style w:type="paragraph" w:styleId="Salutation">
    <w:name w:val="Salutation"/>
    <w:basedOn w:val="Normal"/>
    <w:next w:val="Normal"/>
    <w:link w:val="SalutationChar"/>
    <w:semiHidden/>
    <w:rsid w:val="00691BE5"/>
  </w:style>
  <w:style w:type="character" w:customStyle="1" w:styleId="SalutationChar">
    <w:name w:val="Salutation Char"/>
    <w:basedOn w:val="DefaultParagraphFont"/>
    <w:link w:val="Salutation"/>
    <w:semiHidden/>
    <w:rsid w:val="00691BE5"/>
    <w:rPr>
      <w:rFonts w:ascii="Gill Sans MT" w:eastAsia="Times New Roman" w:hAnsi="Gill Sans MT" w:cs="Times New Roman"/>
    </w:rPr>
  </w:style>
  <w:style w:type="paragraph" w:styleId="Signature">
    <w:name w:val="Signature"/>
    <w:basedOn w:val="Normal"/>
    <w:link w:val="SignatureChar"/>
    <w:semiHidden/>
    <w:rsid w:val="00691BE5"/>
    <w:pPr>
      <w:spacing w:after="0" w:line="240" w:lineRule="auto"/>
    </w:pPr>
  </w:style>
  <w:style w:type="character" w:customStyle="1" w:styleId="SignatureChar">
    <w:name w:val="Signature Char"/>
    <w:basedOn w:val="DefaultParagraphFont"/>
    <w:link w:val="Signature"/>
    <w:semiHidden/>
    <w:rsid w:val="00691BE5"/>
    <w:rPr>
      <w:rFonts w:ascii="Gill Sans MT" w:eastAsia="Times New Roman" w:hAnsi="Gill Sans MT" w:cs="Times New Roman"/>
    </w:rPr>
  </w:style>
  <w:style w:type="paragraph" w:customStyle="1" w:styleId="Heading2numbered">
    <w:name w:val="Heading 2 (numbered)"/>
    <w:basedOn w:val="Heading2"/>
    <w:next w:val="Normal"/>
    <w:semiHidden/>
    <w:rsid w:val="00691BE5"/>
    <w:pPr>
      <w:keepLines w:val="0"/>
      <w:numPr>
        <w:ilvl w:val="1"/>
        <w:numId w:val="23"/>
      </w:numPr>
      <w:tabs>
        <w:tab w:val="clear" w:pos="567"/>
      </w:tabs>
      <w:spacing w:before="240" w:after="120"/>
    </w:pPr>
    <w:rPr>
      <w:rFonts w:eastAsia="Times New Roman" w:cs="Times New Roman"/>
      <w:szCs w:val="28"/>
    </w:rPr>
  </w:style>
  <w:style w:type="paragraph" w:styleId="Title">
    <w:name w:val="Title"/>
    <w:basedOn w:val="Normal"/>
    <w:link w:val="TitleChar"/>
    <w:uiPriority w:val="10"/>
    <w:qFormat/>
    <w:rsid w:val="00691BE5"/>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691BE5"/>
    <w:rPr>
      <w:rFonts w:ascii="Gill Sans MT" w:eastAsia="Times New Roman" w:hAnsi="Gill Sans MT" w:cs="Times New Roman"/>
      <w:b/>
      <w:bCs/>
      <w:kern w:val="28"/>
      <w:sz w:val="32"/>
      <w:szCs w:val="32"/>
    </w:rPr>
  </w:style>
  <w:style w:type="paragraph" w:customStyle="1" w:styleId="BulletedIndentedafterNumber">
    <w:name w:val="Bulleted Indented after Number"/>
    <w:semiHidden/>
    <w:rsid w:val="00691BE5"/>
    <w:pPr>
      <w:numPr>
        <w:numId w:val="20"/>
      </w:numPr>
      <w:spacing w:after="140" w:line="300" w:lineRule="atLeast"/>
    </w:pPr>
    <w:rPr>
      <w:rFonts w:ascii="Gill Sans MT" w:eastAsia="Times New Roman" w:hAnsi="Gill Sans MT" w:cs="Times New Roman"/>
      <w:szCs w:val="20"/>
    </w:rPr>
  </w:style>
  <w:style w:type="paragraph" w:customStyle="1" w:styleId="BulletedListLevel2">
    <w:name w:val="Bulleted List Level 2"/>
    <w:semiHidden/>
    <w:rsid w:val="00691BE5"/>
    <w:pPr>
      <w:numPr>
        <w:numId w:val="21"/>
      </w:numPr>
      <w:spacing w:after="140" w:line="300" w:lineRule="atLeast"/>
    </w:pPr>
    <w:rPr>
      <w:rFonts w:ascii="Gill Sans MT" w:eastAsia="Times New Roman" w:hAnsi="Gill Sans MT" w:cs="Arial"/>
      <w:snapToGrid w:val="0"/>
      <w:kern w:val="28"/>
      <w:szCs w:val="20"/>
    </w:rPr>
  </w:style>
  <w:style w:type="paragraph" w:customStyle="1" w:styleId="BulletedListLevel3">
    <w:name w:val="Bulleted List Level 3"/>
    <w:basedOn w:val="ListBullet2"/>
    <w:semiHidden/>
    <w:rsid w:val="00691BE5"/>
  </w:style>
  <w:style w:type="paragraph" w:customStyle="1" w:styleId="Clearance">
    <w:name w:val="Clearance"/>
    <w:semiHidden/>
    <w:rsid w:val="00691BE5"/>
    <w:pPr>
      <w:keepNext/>
      <w:spacing w:before="40" w:after="40" w:line="240" w:lineRule="auto"/>
    </w:pPr>
    <w:rPr>
      <w:rFonts w:ascii="Gill Sans MT" w:eastAsia="Times New Roman" w:hAnsi="Gill Sans MT" w:cs="Times New Roman"/>
      <w:sz w:val="20"/>
    </w:rPr>
  </w:style>
  <w:style w:type="paragraph" w:customStyle="1" w:styleId="Contact">
    <w:name w:val="Contact"/>
    <w:semiHidden/>
    <w:rsid w:val="00691BE5"/>
    <w:pPr>
      <w:spacing w:before="40" w:after="40" w:line="240" w:lineRule="auto"/>
    </w:pPr>
    <w:rPr>
      <w:rFonts w:ascii="Gill Sans MT" w:eastAsia="Times New Roman" w:hAnsi="Gill Sans MT" w:cs="Times New Roman"/>
      <w:sz w:val="20"/>
      <w:szCs w:val="24"/>
    </w:rPr>
  </w:style>
  <w:style w:type="paragraph" w:customStyle="1" w:styleId="Heading3numbered">
    <w:name w:val="Heading 3 (numbered)"/>
    <w:basedOn w:val="Heading3"/>
    <w:next w:val="Normal"/>
    <w:semiHidden/>
    <w:rsid w:val="00691BE5"/>
    <w:pPr>
      <w:keepLines w:val="0"/>
      <w:numPr>
        <w:ilvl w:val="2"/>
        <w:numId w:val="23"/>
      </w:numPr>
      <w:tabs>
        <w:tab w:val="clear" w:pos="567"/>
      </w:tabs>
      <w:spacing w:before="240" w:after="120"/>
    </w:pPr>
    <w:rPr>
      <w:rFonts w:eastAsia="Times New Roman" w:cs="Times New Roman"/>
      <w:iCs/>
      <w:szCs w:val="28"/>
    </w:rPr>
  </w:style>
  <w:style w:type="table" w:customStyle="1" w:styleId="DHHSTableStyle">
    <w:name w:val="DHHS Table Style"/>
    <w:basedOn w:val="TableNormal"/>
    <w:semiHidden/>
    <w:rsid w:val="00691BE5"/>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691BE5"/>
    <w:pPr>
      <w:spacing w:after="0" w:line="240" w:lineRule="auto"/>
    </w:pPr>
    <w:rPr>
      <w:rFonts w:ascii="Gill Sans MT" w:eastAsia="Times New Roman" w:hAnsi="Gill Sans MT" w:cs="Times New Roman"/>
      <w:sz w:val="18"/>
    </w:rPr>
  </w:style>
  <w:style w:type="paragraph" w:customStyle="1" w:styleId="FileorMTSNo">
    <w:name w:val="File or MTS No."/>
    <w:semiHidden/>
    <w:rsid w:val="00691BE5"/>
    <w:pPr>
      <w:spacing w:after="120" w:line="240" w:lineRule="auto"/>
    </w:pPr>
    <w:rPr>
      <w:rFonts w:ascii="Gill Sans MT" w:eastAsia="Times New Roman" w:hAnsi="Gill Sans MT" w:cs="Times New Roman"/>
      <w:color w:val="000000"/>
      <w:sz w:val="18"/>
      <w:szCs w:val="20"/>
    </w:rPr>
  </w:style>
  <w:style w:type="paragraph" w:customStyle="1" w:styleId="Heading-Main">
    <w:name w:val="Heading - Main"/>
    <w:next w:val="Normal"/>
    <w:semiHidden/>
    <w:rsid w:val="00691BE5"/>
    <w:pPr>
      <w:spacing w:before="240" w:after="240" w:line="300" w:lineRule="atLeast"/>
      <w:outlineLvl w:val="0"/>
    </w:pPr>
    <w:rPr>
      <w:rFonts w:ascii="Gill Sans MT" w:eastAsia="Times New Roman" w:hAnsi="Gill Sans MT" w:cs="Arial"/>
      <w:b/>
      <w:iCs/>
      <w:kern w:val="36"/>
      <w:sz w:val="28"/>
      <w:szCs w:val="28"/>
      <w:lang w:eastAsia="en-AU"/>
    </w:rPr>
  </w:style>
  <w:style w:type="paragraph" w:customStyle="1" w:styleId="InformationBlock">
    <w:name w:val="Information Block"/>
    <w:semiHidden/>
    <w:rsid w:val="00691BE5"/>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semiHidden/>
    <w:rsid w:val="00691BE5"/>
    <w:rPr>
      <w:b w:val="0"/>
    </w:rPr>
  </w:style>
  <w:style w:type="paragraph" w:customStyle="1" w:styleId="space">
    <w:name w:val="space"/>
    <w:semiHidden/>
    <w:rsid w:val="00691BE5"/>
    <w:pPr>
      <w:spacing w:after="0" w:line="240" w:lineRule="auto"/>
    </w:pPr>
    <w:rPr>
      <w:rFonts w:ascii="Arial" w:eastAsia="Times New Roman" w:hAnsi="Arial" w:cs="Arial"/>
      <w:caps/>
      <w:sz w:val="4"/>
      <w:szCs w:val="30"/>
    </w:rPr>
  </w:style>
  <w:style w:type="paragraph" w:customStyle="1" w:styleId="TableStyle">
    <w:name w:val="Table Style"/>
    <w:basedOn w:val="Normal"/>
    <w:semiHidden/>
    <w:rsid w:val="00691BE5"/>
    <w:pPr>
      <w:spacing w:before="20" w:after="20" w:line="240" w:lineRule="auto"/>
    </w:pPr>
    <w:rPr>
      <w:szCs w:val="20"/>
    </w:rPr>
  </w:style>
  <w:style w:type="paragraph" w:customStyle="1" w:styleId="Heading4numbered">
    <w:name w:val="Heading 4 (numbered)"/>
    <w:basedOn w:val="Heading4"/>
    <w:next w:val="Normal"/>
    <w:semiHidden/>
    <w:rsid w:val="00691BE5"/>
    <w:pPr>
      <w:numPr>
        <w:ilvl w:val="3"/>
        <w:numId w:val="23"/>
      </w:numPr>
      <w:tabs>
        <w:tab w:val="clear" w:pos="567"/>
      </w:tabs>
      <w:spacing w:after="120"/>
    </w:pPr>
  </w:style>
  <w:style w:type="paragraph" w:customStyle="1" w:styleId="Address">
    <w:name w:val="Address"/>
    <w:basedOn w:val="Normal"/>
    <w:semiHidden/>
    <w:rsid w:val="00691BE5"/>
    <w:pPr>
      <w:spacing w:after="0" w:line="240" w:lineRule="auto"/>
    </w:pPr>
  </w:style>
  <w:style w:type="paragraph" w:customStyle="1" w:styleId="AddressIndent">
    <w:name w:val="Address Indent"/>
    <w:semiHidden/>
    <w:rsid w:val="00691BE5"/>
    <w:pPr>
      <w:spacing w:after="0" w:line="240" w:lineRule="auto"/>
      <w:ind w:left="1080"/>
    </w:pPr>
    <w:rPr>
      <w:rFonts w:ascii="Gill Sans MT" w:eastAsia="Times New Roman" w:hAnsi="Gill Sans MT" w:cs="Times New Roman"/>
      <w:szCs w:val="24"/>
    </w:rPr>
  </w:style>
  <w:style w:type="paragraph" w:styleId="EnvelopeAddress">
    <w:name w:val="envelope address"/>
    <w:basedOn w:val="Normal"/>
    <w:semiHidden/>
    <w:rsid w:val="00691BE5"/>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691BE5"/>
    <w:rPr>
      <w:rFonts w:cs="Arial"/>
      <w:sz w:val="20"/>
      <w:szCs w:val="20"/>
    </w:rPr>
  </w:style>
  <w:style w:type="paragraph" w:customStyle="1" w:styleId="Instructions">
    <w:name w:val="Instructions"/>
    <w:next w:val="Normal"/>
    <w:semiHidden/>
    <w:rsid w:val="00691BE5"/>
    <w:pPr>
      <w:shd w:val="clear" w:color="auto" w:fill="FFFFCC"/>
      <w:spacing w:after="0" w:line="240" w:lineRule="atLeast"/>
    </w:pPr>
    <w:rPr>
      <w:rFonts w:ascii="Verdana" w:eastAsia="Times New Roman" w:hAnsi="Verdana" w:cs="Arial"/>
      <w:iCs/>
      <w:kern w:val="36"/>
      <w:sz w:val="17"/>
      <w:szCs w:val="17"/>
      <w:lang w:eastAsia="en-AU"/>
    </w:rPr>
  </w:style>
  <w:style w:type="paragraph" w:customStyle="1" w:styleId="RecommendationNumberedList">
    <w:name w:val="Recommendation Numbered List"/>
    <w:basedOn w:val="NumberedList"/>
    <w:semiHidden/>
    <w:rsid w:val="00691BE5"/>
    <w:pPr>
      <w:numPr>
        <w:numId w:val="25"/>
      </w:numPr>
      <w:spacing w:after="240"/>
    </w:pPr>
    <w:rPr>
      <w:b/>
    </w:rPr>
  </w:style>
  <w:style w:type="paragraph" w:customStyle="1" w:styleId="Tabledecimal">
    <w:name w:val="Table decimal"/>
    <w:basedOn w:val="Normal"/>
    <w:semiHidden/>
    <w:rsid w:val="00691BE5"/>
    <w:pPr>
      <w:tabs>
        <w:tab w:val="clear" w:pos="567"/>
        <w:tab w:val="decimal" w:pos="884"/>
      </w:tabs>
      <w:spacing w:before="40" w:after="40" w:line="260" w:lineRule="atLeast"/>
    </w:pPr>
    <w:rPr>
      <w:rFonts w:ascii="Arial" w:hAnsi="Arial" w:cs="Arial"/>
      <w:snapToGrid w:val="0"/>
      <w:sz w:val="20"/>
      <w:szCs w:val="20"/>
    </w:rPr>
  </w:style>
  <w:style w:type="paragraph" w:styleId="CommentSubject">
    <w:name w:val="annotation subject"/>
    <w:basedOn w:val="CommentText"/>
    <w:next w:val="CommentText"/>
    <w:link w:val="CommentSubjectChar"/>
    <w:rsid w:val="00691BE5"/>
    <w:pPr>
      <w:tabs>
        <w:tab w:val="left" w:pos="567"/>
      </w:tabs>
      <w:spacing w:after="140" w:line="300" w:lineRule="atLeast"/>
    </w:pPr>
    <w:rPr>
      <w:rFonts w:ascii="Gill Sans MT" w:hAnsi="Gill Sans MT"/>
      <w:b/>
      <w:bCs/>
      <w:lang w:eastAsia="en-US"/>
    </w:rPr>
  </w:style>
  <w:style w:type="character" w:customStyle="1" w:styleId="CommentSubjectChar">
    <w:name w:val="Comment Subject Char"/>
    <w:basedOn w:val="CommentTextChar"/>
    <w:link w:val="CommentSubject"/>
    <w:rsid w:val="00691BE5"/>
    <w:rPr>
      <w:rFonts w:ascii="Gill Sans MT" w:eastAsia="Times New Roman" w:hAnsi="Gill Sans MT" w:cs="Times New Roman"/>
      <w:b/>
      <w:bCs/>
      <w:sz w:val="20"/>
      <w:szCs w:val="20"/>
      <w:lang w:eastAsia="en-AU"/>
    </w:rPr>
  </w:style>
  <w:style w:type="character" w:styleId="EndnoteReference">
    <w:name w:val="endnote reference"/>
    <w:rsid w:val="00691BE5"/>
    <w:rPr>
      <w:vertAlign w:val="superscript"/>
    </w:rPr>
  </w:style>
  <w:style w:type="paragraph" w:styleId="EndnoteText">
    <w:name w:val="endnote text"/>
    <w:basedOn w:val="Normal"/>
    <w:link w:val="EndnoteTextChar"/>
    <w:rsid w:val="00691BE5"/>
    <w:rPr>
      <w:sz w:val="20"/>
      <w:szCs w:val="20"/>
    </w:rPr>
  </w:style>
  <w:style w:type="character" w:customStyle="1" w:styleId="EndnoteTextChar">
    <w:name w:val="Endnote Text Char"/>
    <w:basedOn w:val="DefaultParagraphFont"/>
    <w:link w:val="EndnoteText"/>
    <w:rsid w:val="00691BE5"/>
    <w:rPr>
      <w:rFonts w:ascii="Gill Sans MT" w:eastAsia="Times New Roman" w:hAnsi="Gill Sans MT" w:cs="Times New Roman"/>
      <w:sz w:val="20"/>
      <w:szCs w:val="20"/>
    </w:rPr>
  </w:style>
  <w:style w:type="paragraph" w:styleId="Index1">
    <w:name w:val="index 1"/>
    <w:basedOn w:val="Normal"/>
    <w:next w:val="Normal"/>
    <w:autoRedefine/>
    <w:semiHidden/>
    <w:rsid w:val="00691BE5"/>
    <w:pPr>
      <w:tabs>
        <w:tab w:val="clear" w:pos="567"/>
      </w:tabs>
      <w:ind w:left="220" w:hanging="220"/>
    </w:pPr>
  </w:style>
  <w:style w:type="paragraph" w:styleId="Index2">
    <w:name w:val="index 2"/>
    <w:basedOn w:val="Normal"/>
    <w:next w:val="Normal"/>
    <w:autoRedefine/>
    <w:semiHidden/>
    <w:rsid w:val="00691BE5"/>
    <w:pPr>
      <w:tabs>
        <w:tab w:val="clear" w:pos="567"/>
      </w:tabs>
      <w:ind w:left="440" w:hanging="220"/>
    </w:pPr>
  </w:style>
  <w:style w:type="paragraph" w:styleId="Index3">
    <w:name w:val="index 3"/>
    <w:basedOn w:val="Normal"/>
    <w:next w:val="Normal"/>
    <w:autoRedefine/>
    <w:semiHidden/>
    <w:rsid w:val="00691BE5"/>
    <w:pPr>
      <w:tabs>
        <w:tab w:val="clear" w:pos="567"/>
      </w:tabs>
      <w:ind w:left="660" w:hanging="220"/>
    </w:pPr>
  </w:style>
  <w:style w:type="paragraph" w:styleId="Index4">
    <w:name w:val="index 4"/>
    <w:basedOn w:val="Normal"/>
    <w:next w:val="Normal"/>
    <w:autoRedefine/>
    <w:semiHidden/>
    <w:rsid w:val="00691BE5"/>
    <w:pPr>
      <w:tabs>
        <w:tab w:val="clear" w:pos="567"/>
      </w:tabs>
      <w:ind w:left="880" w:hanging="220"/>
    </w:pPr>
  </w:style>
  <w:style w:type="paragraph" w:styleId="Index5">
    <w:name w:val="index 5"/>
    <w:basedOn w:val="Normal"/>
    <w:next w:val="Normal"/>
    <w:autoRedefine/>
    <w:semiHidden/>
    <w:rsid w:val="00691BE5"/>
    <w:pPr>
      <w:tabs>
        <w:tab w:val="clear" w:pos="567"/>
      </w:tabs>
      <w:ind w:left="1100" w:hanging="220"/>
    </w:pPr>
  </w:style>
  <w:style w:type="paragraph" w:styleId="Index6">
    <w:name w:val="index 6"/>
    <w:basedOn w:val="Normal"/>
    <w:next w:val="Normal"/>
    <w:autoRedefine/>
    <w:semiHidden/>
    <w:rsid w:val="00691BE5"/>
    <w:pPr>
      <w:tabs>
        <w:tab w:val="clear" w:pos="567"/>
      </w:tabs>
      <w:ind w:left="1320" w:hanging="220"/>
    </w:pPr>
  </w:style>
  <w:style w:type="paragraph" w:styleId="Index7">
    <w:name w:val="index 7"/>
    <w:basedOn w:val="Normal"/>
    <w:next w:val="Normal"/>
    <w:autoRedefine/>
    <w:semiHidden/>
    <w:rsid w:val="00691BE5"/>
    <w:pPr>
      <w:tabs>
        <w:tab w:val="clear" w:pos="567"/>
      </w:tabs>
      <w:ind w:left="1540" w:hanging="220"/>
    </w:pPr>
  </w:style>
  <w:style w:type="paragraph" w:styleId="Index8">
    <w:name w:val="index 8"/>
    <w:basedOn w:val="Normal"/>
    <w:next w:val="Normal"/>
    <w:autoRedefine/>
    <w:semiHidden/>
    <w:rsid w:val="00691BE5"/>
    <w:pPr>
      <w:tabs>
        <w:tab w:val="clear" w:pos="567"/>
      </w:tabs>
      <w:ind w:left="1760" w:hanging="220"/>
    </w:pPr>
  </w:style>
  <w:style w:type="paragraph" w:styleId="Index9">
    <w:name w:val="index 9"/>
    <w:basedOn w:val="Normal"/>
    <w:next w:val="Normal"/>
    <w:autoRedefine/>
    <w:semiHidden/>
    <w:rsid w:val="00691BE5"/>
    <w:pPr>
      <w:tabs>
        <w:tab w:val="clear" w:pos="567"/>
      </w:tabs>
      <w:ind w:left="1980" w:hanging="220"/>
    </w:pPr>
  </w:style>
  <w:style w:type="paragraph" w:styleId="IndexHeading">
    <w:name w:val="index heading"/>
    <w:basedOn w:val="Normal"/>
    <w:next w:val="Index1"/>
    <w:semiHidden/>
    <w:rsid w:val="00691BE5"/>
    <w:rPr>
      <w:rFonts w:ascii="Arial" w:hAnsi="Arial" w:cs="Arial"/>
      <w:b/>
      <w:bCs/>
    </w:rPr>
  </w:style>
  <w:style w:type="paragraph" w:styleId="MacroText">
    <w:name w:val="macro"/>
    <w:link w:val="MacroTextChar"/>
    <w:semiHidden/>
    <w:rsid w:val="00691BE5"/>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91BE5"/>
    <w:rPr>
      <w:rFonts w:ascii="Courier New" w:eastAsia="Times New Roman" w:hAnsi="Courier New" w:cs="Courier New"/>
      <w:sz w:val="20"/>
      <w:szCs w:val="20"/>
    </w:rPr>
  </w:style>
  <w:style w:type="paragraph" w:styleId="TableofAuthorities">
    <w:name w:val="table of authorities"/>
    <w:basedOn w:val="Normal"/>
    <w:next w:val="Normal"/>
    <w:semiHidden/>
    <w:rsid w:val="00691BE5"/>
    <w:pPr>
      <w:tabs>
        <w:tab w:val="clear" w:pos="567"/>
      </w:tabs>
      <w:ind w:left="220" w:hanging="220"/>
    </w:pPr>
  </w:style>
  <w:style w:type="paragraph" w:styleId="TableofFigures">
    <w:name w:val="table of figures"/>
    <w:basedOn w:val="Normal"/>
    <w:next w:val="Normal"/>
    <w:semiHidden/>
    <w:rsid w:val="00691BE5"/>
    <w:pPr>
      <w:tabs>
        <w:tab w:val="clear" w:pos="567"/>
      </w:tabs>
    </w:pPr>
  </w:style>
  <w:style w:type="paragraph" w:styleId="TOAHeading">
    <w:name w:val="toa heading"/>
    <w:basedOn w:val="Normal"/>
    <w:next w:val="Normal"/>
    <w:semiHidden/>
    <w:rsid w:val="00691BE5"/>
    <w:pPr>
      <w:spacing w:before="120"/>
    </w:pPr>
    <w:rPr>
      <w:rFonts w:ascii="Arial" w:hAnsi="Arial" w:cs="Arial"/>
      <w:b/>
      <w:bCs/>
      <w:sz w:val="24"/>
      <w:szCs w:val="24"/>
    </w:rPr>
  </w:style>
  <w:style w:type="paragraph" w:styleId="TOC3">
    <w:name w:val="toc 3"/>
    <w:basedOn w:val="Normal"/>
    <w:next w:val="Normal"/>
    <w:autoRedefine/>
    <w:uiPriority w:val="39"/>
    <w:semiHidden/>
    <w:qFormat/>
    <w:rsid w:val="00691BE5"/>
    <w:pPr>
      <w:tabs>
        <w:tab w:val="clear" w:pos="567"/>
      </w:tabs>
      <w:ind w:left="440"/>
    </w:pPr>
  </w:style>
  <w:style w:type="paragraph" w:styleId="TOC4">
    <w:name w:val="toc 4"/>
    <w:basedOn w:val="Normal"/>
    <w:next w:val="Normal"/>
    <w:autoRedefine/>
    <w:semiHidden/>
    <w:rsid w:val="00691BE5"/>
    <w:pPr>
      <w:tabs>
        <w:tab w:val="clear" w:pos="567"/>
      </w:tabs>
      <w:ind w:left="660"/>
    </w:pPr>
  </w:style>
  <w:style w:type="paragraph" w:styleId="TOC5">
    <w:name w:val="toc 5"/>
    <w:basedOn w:val="Normal"/>
    <w:next w:val="Normal"/>
    <w:autoRedefine/>
    <w:semiHidden/>
    <w:rsid w:val="00691BE5"/>
    <w:pPr>
      <w:tabs>
        <w:tab w:val="clear" w:pos="567"/>
      </w:tabs>
      <w:ind w:left="880"/>
    </w:pPr>
  </w:style>
  <w:style w:type="paragraph" w:styleId="TOC6">
    <w:name w:val="toc 6"/>
    <w:basedOn w:val="Normal"/>
    <w:next w:val="Normal"/>
    <w:autoRedefine/>
    <w:semiHidden/>
    <w:rsid w:val="00691BE5"/>
    <w:pPr>
      <w:tabs>
        <w:tab w:val="clear" w:pos="567"/>
      </w:tabs>
      <w:ind w:left="1100"/>
    </w:pPr>
  </w:style>
  <w:style w:type="paragraph" w:styleId="TOC7">
    <w:name w:val="toc 7"/>
    <w:basedOn w:val="Normal"/>
    <w:next w:val="Normal"/>
    <w:autoRedefine/>
    <w:semiHidden/>
    <w:rsid w:val="00691BE5"/>
    <w:pPr>
      <w:tabs>
        <w:tab w:val="clear" w:pos="567"/>
      </w:tabs>
      <w:ind w:left="1320"/>
    </w:pPr>
  </w:style>
  <w:style w:type="paragraph" w:styleId="TOC8">
    <w:name w:val="toc 8"/>
    <w:basedOn w:val="Normal"/>
    <w:next w:val="Normal"/>
    <w:autoRedefine/>
    <w:semiHidden/>
    <w:rsid w:val="00691BE5"/>
    <w:pPr>
      <w:tabs>
        <w:tab w:val="clear" w:pos="567"/>
      </w:tabs>
      <w:ind w:left="1540"/>
    </w:pPr>
  </w:style>
  <w:style w:type="paragraph" w:styleId="TOC9">
    <w:name w:val="toc 9"/>
    <w:basedOn w:val="Normal"/>
    <w:next w:val="Normal"/>
    <w:autoRedefine/>
    <w:semiHidden/>
    <w:rsid w:val="00691BE5"/>
    <w:pPr>
      <w:tabs>
        <w:tab w:val="clear" w:pos="567"/>
      </w:tabs>
      <w:ind w:left="1760"/>
    </w:pPr>
  </w:style>
  <w:style w:type="numbering" w:styleId="111111">
    <w:name w:val="Outline List 2"/>
    <w:basedOn w:val="NoList"/>
    <w:semiHidden/>
    <w:rsid w:val="00691BE5"/>
    <w:pPr>
      <w:numPr>
        <w:numId w:val="26"/>
      </w:numPr>
    </w:pPr>
  </w:style>
  <w:style w:type="numbering" w:styleId="1ai">
    <w:name w:val="Outline List 1"/>
    <w:basedOn w:val="NoList"/>
    <w:semiHidden/>
    <w:rsid w:val="00691BE5"/>
    <w:pPr>
      <w:numPr>
        <w:numId w:val="27"/>
      </w:numPr>
    </w:pPr>
  </w:style>
  <w:style w:type="numbering" w:styleId="ArticleSection">
    <w:name w:val="Outline List 3"/>
    <w:basedOn w:val="NoList"/>
    <w:semiHidden/>
    <w:rsid w:val="00691BE5"/>
    <w:pPr>
      <w:numPr>
        <w:numId w:val="28"/>
      </w:numPr>
    </w:pPr>
  </w:style>
  <w:style w:type="character" w:styleId="HTMLAcronym">
    <w:name w:val="HTML Acronym"/>
    <w:basedOn w:val="DefaultParagraphFont"/>
    <w:semiHidden/>
    <w:rsid w:val="00691BE5"/>
  </w:style>
  <w:style w:type="paragraph" w:styleId="HTMLAddress">
    <w:name w:val="HTML Address"/>
    <w:basedOn w:val="Normal"/>
    <w:link w:val="HTMLAddressChar"/>
    <w:semiHidden/>
    <w:rsid w:val="00691BE5"/>
    <w:rPr>
      <w:i/>
      <w:iCs/>
    </w:rPr>
  </w:style>
  <w:style w:type="character" w:customStyle="1" w:styleId="HTMLAddressChar">
    <w:name w:val="HTML Address Char"/>
    <w:basedOn w:val="DefaultParagraphFont"/>
    <w:link w:val="HTMLAddress"/>
    <w:semiHidden/>
    <w:rsid w:val="00691BE5"/>
    <w:rPr>
      <w:rFonts w:ascii="Gill Sans MT" w:eastAsia="Times New Roman" w:hAnsi="Gill Sans MT" w:cs="Times New Roman"/>
      <w:i/>
      <w:iCs/>
    </w:rPr>
  </w:style>
  <w:style w:type="character" w:styleId="HTMLCite">
    <w:name w:val="HTML Cite"/>
    <w:semiHidden/>
    <w:rsid w:val="00691BE5"/>
    <w:rPr>
      <w:i/>
      <w:iCs/>
    </w:rPr>
  </w:style>
  <w:style w:type="character" w:styleId="HTMLCode">
    <w:name w:val="HTML Code"/>
    <w:semiHidden/>
    <w:rsid w:val="00691BE5"/>
    <w:rPr>
      <w:rFonts w:ascii="Courier New" w:hAnsi="Courier New" w:cs="Courier New"/>
      <w:sz w:val="20"/>
      <w:szCs w:val="20"/>
    </w:rPr>
  </w:style>
  <w:style w:type="character" w:styleId="HTMLDefinition">
    <w:name w:val="HTML Definition"/>
    <w:semiHidden/>
    <w:rsid w:val="00691BE5"/>
    <w:rPr>
      <w:i/>
      <w:iCs/>
    </w:rPr>
  </w:style>
  <w:style w:type="character" w:styleId="HTMLKeyboard">
    <w:name w:val="HTML Keyboard"/>
    <w:semiHidden/>
    <w:rsid w:val="00691BE5"/>
    <w:rPr>
      <w:rFonts w:ascii="Courier New" w:hAnsi="Courier New" w:cs="Courier New"/>
      <w:sz w:val="20"/>
      <w:szCs w:val="20"/>
    </w:rPr>
  </w:style>
  <w:style w:type="paragraph" w:styleId="HTMLPreformatted">
    <w:name w:val="HTML Preformatted"/>
    <w:basedOn w:val="Normal"/>
    <w:link w:val="HTMLPreformattedChar"/>
    <w:semiHidden/>
    <w:rsid w:val="00691BE5"/>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91BE5"/>
    <w:rPr>
      <w:rFonts w:ascii="Courier New" w:eastAsia="Times New Roman" w:hAnsi="Courier New" w:cs="Courier New"/>
      <w:sz w:val="20"/>
      <w:szCs w:val="20"/>
    </w:rPr>
  </w:style>
  <w:style w:type="character" w:styleId="HTMLSample">
    <w:name w:val="HTML Sample"/>
    <w:semiHidden/>
    <w:rsid w:val="00691BE5"/>
    <w:rPr>
      <w:rFonts w:ascii="Courier New" w:hAnsi="Courier New" w:cs="Courier New"/>
    </w:rPr>
  </w:style>
  <w:style w:type="character" w:styleId="HTMLTypewriter">
    <w:name w:val="HTML Typewriter"/>
    <w:semiHidden/>
    <w:rsid w:val="00691BE5"/>
    <w:rPr>
      <w:rFonts w:ascii="Courier New" w:hAnsi="Courier New" w:cs="Courier New"/>
      <w:sz w:val="20"/>
      <w:szCs w:val="20"/>
    </w:rPr>
  </w:style>
  <w:style w:type="character" w:styleId="HTMLVariable">
    <w:name w:val="HTML Variable"/>
    <w:semiHidden/>
    <w:rsid w:val="00691BE5"/>
    <w:rPr>
      <w:i/>
      <w:iCs/>
    </w:rPr>
  </w:style>
  <w:style w:type="paragraph" w:styleId="List">
    <w:name w:val="List"/>
    <w:basedOn w:val="Normal"/>
    <w:rsid w:val="00691BE5"/>
    <w:pPr>
      <w:ind w:left="283" w:hanging="283"/>
    </w:pPr>
  </w:style>
  <w:style w:type="paragraph" w:styleId="List3">
    <w:name w:val="List 3"/>
    <w:aliases w:val="Bullet 3"/>
    <w:basedOn w:val="Normal"/>
    <w:rsid w:val="00691BE5"/>
    <w:pPr>
      <w:ind w:left="849" w:hanging="283"/>
    </w:pPr>
  </w:style>
  <w:style w:type="paragraph" w:styleId="List4">
    <w:name w:val="List 4"/>
    <w:basedOn w:val="Normal"/>
    <w:rsid w:val="00691BE5"/>
    <w:pPr>
      <w:ind w:left="1132" w:hanging="283"/>
    </w:pPr>
  </w:style>
  <w:style w:type="paragraph" w:styleId="List5">
    <w:name w:val="List 5"/>
    <w:basedOn w:val="Normal"/>
    <w:semiHidden/>
    <w:rsid w:val="00691BE5"/>
    <w:pPr>
      <w:ind w:left="1415" w:hanging="283"/>
    </w:pPr>
  </w:style>
  <w:style w:type="paragraph" w:styleId="ListBullet">
    <w:name w:val="List Bullet"/>
    <w:basedOn w:val="BulletedListLevel1"/>
    <w:rsid w:val="00691BE5"/>
    <w:pPr>
      <w:numPr>
        <w:numId w:val="0"/>
      </w:numPr>
      <w:tabs>
        <w:tab w:val="num" w:pos="720"/>
      </w:tabs>
      <w:ind w:left="720" w:hanging="360"/>
    </w:pPr>
    <w:rPr>
      <w:rFonts w:ascii="GillSans Light" w:hAnsi="GillSans Light"/>
    </w:rPr>
  </w:style>
  <w:style w:type="paragraph" w:styleId="ListBullet2">
    <w:name w:val="List Bullet 2"/>
    <w:basedOn w:val="BulletedListLevel2"/>
    <w:semiHidden/>
    <w:rsid w:val="00691BE5"/>
    <w:rPr>
      <w:rFonts w:ascii="GillSans Light" w:hAnsi="GillSans Light"/>
    </w:rPr>
  </w:style>
  <w:style w:type="paragraph" w:styleId="ListBullet3">
    <w:name w:val="List Bullet 3"/>
    <w:basedOn w:val="Normal"/>
    <w:semiHidden/>
    <w:rsid w:val="00691BE5"/>
    <w:pPr>
      <w:numPr>
        <w:numId w:val="22"/>
      </w:numPr>
      <w:tabs>
        <w:tab w:val="clear" w:pos="567"/>
      </w:tabs>
    </w:pPr>
  </w:style>
  <w:style w:type="paragraph" w:styleId="ListBullet4">
    <w:name w:val="List Bullet 4"/>
    <w:basedOn w:val="BulletedIndentedafterNumber"/>
    <w:semiHidden/>
    <w:rsid w:val="00691BE5"/>
    <w:rPr>
      <w:rFonts w:ascii="GillSans Light" w:hAnsi="GillSans Light"/>
    </w:rPr>
  </w:style>
  <w:style w:type="paragraph" w:styleId="ListBullet5">
    <w:name w:val="List Bullet 5"/>
    <w:basedOn w:val="Normal"/>
    <w:semiHidden/>
    <w:rsid w:val="00691BE5"/>
    <w:pPr>
      <w:numPr>
        <w:numId w:val="15"/>
      </w:numPr>
    </w:pPr>
  </w:style>
  <w:style w:type="paragraph" w:styleId="ListContinue">
    <w:name w:val="List Continue"/>
    <w:basedOn w:val="Normal"/>
    <w:semiHidden/>
    <w:rsid w:val="00691BE5"/>
    <w:pPr>
      <w:spacing w:after="120"/>
      <w:ind w:left="283"/>
    </w:pPr>
  </w:style>
  <w:style w:type="paragraph" w:styleId="ListContinue2">
    <w:name w:val="List Continue 2"/>
    <w:basedOn w:val="Normal"/>
    <w:semiHidden/>
    <w:rsid w:val="00691BE5"/>
    <w:pPr>
      <w:spacing w:after="120"/>
      <w:ind w:left="566"/>
    </w:pPr>
  </w:style>
  <w:style w:type="paragraph" w:styleId="ListContinue3">
    <w:name w:val="List Continue 3"/>
    <w:aliases w:val="Number Heading 3"/>
    <w:basedOn w:val="Normal"/>
    <w:rsid w:val="00691BE5"/>
    <w:pPr>
      <w:spacing w:after="120"/>
      <w:ind w:left="849"/>
    </w:pPr>
  </w:style>
  <w:style w:type="paragraph" w:styleId="ListContinue4">
    <w:name w:val="List Continue 4"/>
    <w:basedOn w:val="Normal"/>
    <w:semiHidden/>
    <w:rsid w:val="00691BE5"/>
    <w:pPr>
      <w:spacing w:after="120"/>
      <w:ind w:left="1132"/>
    </w:pPr>
  </w:style>
  <w:style w:type="paragraph" w:styleId="ListContinue5">
    <w:name w:val="List Continue 5"/>
    <w:basedOn w:val="Normal"/>
    <w:semiHidden/>
    <w:rsid w:val="00691BE5"/>
    <w:pPr>
      <w:spacing w:after="120"/>
      <w:ind w:left="1415"/>
    </w:pPr>
  </w:style>
  <w:style w:type="paragraph" w:styleId="ListNumber">
    <w:name w:val="List Number"/>
    <w:basedOn w:val="Normal"/>
    <w:rsid w:val="00691BE5"/>
    <w:pPr>
      <w:numPr>
        <w:numId w:val="16"/>
      </w:numPr>
    </w:pPr>
  </w:style>
  <w:style w:type="paragraph" w:styleId="ListNumber3">
    <w:name w:val="List Number 3"/>
    <w:aliases w:val="Numbered Heading 2"/>
    <w:basedOn w:val="Normal"/>
    <w:rsid w:val="00691BE5"/>
    <w:pPr>
      <w:numPr>
        <w:numId w:val="17"/>
      </w:numPr>
    </w:pPr>
  </w:style>
  <w:style w:type="paragraph" w:styleId="ListNumber4">
    <w:name w:val="List Number 4"/>
    <w:aliases w:val="Numbered Heading 3"/>
    <w:basedOn w:val="Normal"/>
    <w:rsid w:val="00691BE5"/>
    <w:pPr>
      <w:numPr>
        <w:numId w:val="18"/>
      </w:numPr>
    </w:pPr>
  </w:style>
  <w:style w:type="paragraph" w:styleId="ListNumber5">
    <w:name w:val="List Number 5"/>
    <w:aliases w:val="Numbered Heading 4"/>
    <w:basedOn w:val="Normal"/>
    <w:rsid w:val="00691BE5"/>
    <w:pPr>
      <w:numPr>
        <w:numId w:val="19"/>
      </w:numPr>
    </w:pPr>
  </w:style>
  <w:style w:type="character" w:styleId="Strong">
    <w:name w:val="Strong"/>
    <w:uiPriority w:val="22"/>
    <w:qFormat/>
    <w:rsid w:val="00691BE5"/>
    <w:rPr>
      <w:b/>
      <w:bCs/>
    </w:rPr>
  </w:style>
  <w:style w:type="table" w:styleId="Table3Deffects1">
    <w:name w:val="Table 3D effects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91BE5"/>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91BE5"/>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Heading1"/>
    <w:rsid w:val="00691BE5"/>
    <w:pPr>
      <w:widowControl w:val="0"/>
      <w:tabs>
        <w:tab w:val="clear" w:pos="567"/>
      </w:tabs>
      <w:spacing w:before="0" w:after="140"/>
    </w:pPr>
    <w:rPr>
      <w:rFonts w:eastAsia="Times New Roman" w:cs="Times New Roman"/>
      <w:kern w:val="32"/>
      <w:sz w:val="48"/>
      <w:szCs w:val="32"/>
      <w:lang w:bidi="en-US"/>
    </w:rPr>
  </w:style>
  <w:style w:type="paragraph" w:customStyle="1" w:styleId="Style2">
    <w:name w:val="Style2"/>
    <w:basedOn w:val="Normal"/>
    <w:rsid w:val="00691BE5"/>
    <w:pPr>
      <w:keepLines/>
      <w:widowControl w:val="0"/>
      <w:tabs>
        <w:tab w:val="clear" w:pos="567"/>
      </w:tabs>
    </w:pPr>
    <w:rPr>
      <w:szCs w:val="24"/>
      <w:lang w:bidi="en-US"/>
    </w:rPr>
  </w:style>
  <w:style w:type="paragraph" w:styleId="NoSpacing">
    <w:name w:val="No Spacing"/>
    <w:basedOn w:val="Normal"/>
    <w:uiPriority w:val="1"/>
    <w:qFormat/>
    <w:rsid w:val="00691BE5"/>
    <w:pPr>
      <w:keepLines/>
      <w:widowControl w:val="0"/>
      <w:tabs>
        <w:tab w:val="clear" w:pos="567"/>
      </w:tabs>
    </w:pPr>
    <w:rPr>
      <w:szCs w:val="32"/>
      <w:lang w:bidi="en-US"/>
    </w:rPr>
  </w:style>
  <w:style w:type="paragraph" w:styleId="ListParagraph">
    <w:name w:val="List Paragraph"/>
    <w:basedOn w:val="Normal"/>
    <w:uiPriority w:val="34"/>
    <w:qFormat/>
    <w:rsid w:val="00691BE5"/>
    <w:pPr>
      <w:keepLines/>
      <w:widowControl w:val="0"/>
      <w:tabs>
        <w:tab w:val="clear" w:pos="567"/>
      </w:tabs>
      <w:ind w:left="720"/>
      <w:contextualSpacing/>
    </w:pPr>
    <w:rPr>
      <w:szCs w:val="24"/>
      <w:lang w:bidi="en-US"/>
    </w:rPr>
  </w:style>
  <w:style w:type="paragraph" w:styleId="Quote">
    <w:name w:val="Quote"/>
    <w:basedOn w:val="Normal"/>
    <w:next w:val="Normal"/>
    <w:link w:val="QuoteChar"/>
    <w:uiPriority w:val="29"/>
    <w:qFormat/>
    <w:rsid w:val="00691BE5"/>
    <w:pPr>
      <w:keepLines/>
      <w:widowControl w:val="0"/>
      <w:tabs>
        <w:tab w:val="clear" w:pos="567"/>
      </w:tabs>
    </w:pPr>
    <w:rPr>
      <w:i/>
      <w:szCs w:val="24"/>
      <w:lang w:bidi="en-US"/>
    </w:rPr>
  </w:style>
  <w:style w:type="character" w:customStyle="1" w:styleId="QuoteChar">
    <w:name w:val="Quote Char"/>
    <w:basedOn w:val="DefaultParagraphFont"/>
    <w:link w:val="Quote"/>
    <w:uiPriority w:val="29"/>
    <w:rsid w:val="00691BE5"/>
    <w:rPr>
      <w:rFonts w:ascii="Gill Sans MT" w:eastAsia="Times New Roman" w:hAnsi="Gill Sans MT" w:cs="Times New Roman"/>
      <w:i/>
      <w:szCs w:val="24"/>
      <w:lang w:bidi="en-US"/>
    </w:rPr>
  </w:style>
  <w:style w:type="paragraph" w:styleId="IntenseQuote">
    <w:name w:val="Intense Quote"/>
    <w:basedOn w:val="Normal"/>
    <w:next w:val="Normal"/>
    <w:link w:val="IntenseQuoteChar"/>
    <w:uiPriority w:val="30"/>
    <w:qFormat/>
    <w:rsid w:val="00691BE5"/>
    <w:pPr>
      <w:keepLines/>
      <w:widowControl w:val="0"/>
      <w:tabs>
        <w:tab w:val="clear" w:pos="567"/>
      </w:tabs>
      <w:ind w:left="720" w:right="720"/>
    </w:pPr>
    <w:rPr>
      <w:b/>
      <w:i/>
      <w:lang w:bidi="en-US"/>
    </w:rPr>
  </w:style>
  <w:style w:type="character" w:customStyle="1" w:styleId="IntenseQuoteChar">
    <w:name w:val="Intense Quote Char"/>
    <w:basedOn w:val="DefaultParagraphFont"/>
    <w:link w:val="IntenseQuote"/>
    <w:uiPriority w:val="30"/>
    <w:rsid w:val="00691BE5"/>
    <w:rPr>
      <w:rFonts w:ascii="Gill Sans MT" w:eastAsia="Times New Roman" w:hAnsi="Gill Sans MT" w:cs="Times New Roman"/>
      <w:b/>
      <w:i/>
      <w:lang w:bidi="en-US"/>
    </w:rPr>
  </w:style>
  <w:style w:type="character" w:styleId="SubtleEmphasis">
    <w:name w:val="Subtle Emphasis"/>
    <w:uiPriority w:val="19"/>
    <w:qFormat/>
    <w:rsid w:val="00691BE5"/>
    <w:rPr>
      <w:i/>
      <w:color w:val="5A5A5A"/>
    </w:rPr>
  </w:style>
  <w:style w:type="character" w:styleId="IntenseEmphasis">
    <w:name w:val="Intense Emphasis"/>
    <w:uiPriority w:val="21"/>
    <w:qFormat/>
    <w:rsid w:val="00691BE5"/>
    <w:rPr>
      <w:b/>
      <w:i/>
      <w:sz w:val="24"/>
      <w:szCs w:val="24"/>
      <w:u w:val="single"/>
    </w:rPr>
  </w:style>
  <w:style w:type="character" w:styleId="SubtleReference">
    <w:name w:val="Subtle Reference"/>
    <w:uiPriority w:val="31"/>
    <w:qFormat/>
    <w:rsid w:val="00691BE5"/>
    <w:rPr>
      <w:sz w:val="24"/>
      <w:szCs w:val="24"/>
      <w:u w:val="single"/>
    </w:rPr>
  </w:style>
  <w:style w:type="character" w:styleId="IntenseReference">
    <w:name w:val="Intense Reference"/>
    <w:uiPriority w:val="32"/>
    <w:qFormat/>
    <w:rsid w:val="00691BE5"/>
    <w:rPr>
      <w:b/>
      <w:sz w:val="24"/>
      <w:u w:val="single"/>
    </w:rPr>
  </w:style>
  <w:style w:type="character" w:styleId="BookTitle">
    <w:name w:val="Book Title"/>
    <w:uiPriority w:val="33"/>
    <w:qFormat/>
    <w:rsid w:val="00691BE5"/>
    <w:rPr>
      <w:rFonts w:ascii="Cambria" w:eastAsia="Times New Roman" w:hAnsi="Cambria"/>
      <w:b/>
      <w:i/>
      <w:sz w:val="24"/>
      <w:szCs w:val="24"/>
    </w:rPr>
  </w:style>
  <w:style w:type="paragraph" w:styleId="TOCHeading">
    <w:name w:val="TOC Heading"/>
    <w:basedOn w:val="Heading1"/>
    <w:next w:val="Normal"/>
    <w:uiPriority w:val="39"/>
    <w:qFormat/>
    <w:rsid w:val="00691BE5"/>
    <w:pPr>
      <w:widowControl w:val="0"/>
      <w:tabs>
        <w:tab w:val="clear" w:pos="567"/>
      </w:tabs>
      <w:spacing w:before="0" w:after="140"/>
      <w:outlineLvl w:val="9"/>
    </w:pPr>
    <w:rPr>
      <w:rFonts w:eastAsia="Times New Roman" w:cs="Times New Roman"/>
      <w:kern w:val="32"/>
      <w:szCs w:val="32"/>
      <w:lang w:bidi="en-US"/>
    </w:rPr>
  </w:style>
  <w:style w:type="character" w:customStyle="1" w:styleId="List2Char">
    <w:name w:val="List 2 Char"/>
    <w:aliases w:val="Bullet 2 Char"/>
    <w:link w:val="List2"/>
    <w:rsid w:val="00691BE5"/>
    <w:rPr>
      <w:rFonts w:ascii="Gill Sans MT" w:eastAsia="Times New Roman" w:hAnsi="Gill Sans MT" w:cs="Times New Roman"/>
    </w:rPr>
  </w:style>
  <w:style w:type="paragraph" w:customStyle="1" w:styleId="Bullet1">
    <w:name w:val="Bullet 1"/>
    <w:basedOn w:val="List2"/>
    <w:link w:val="Bullet1Char"/>
    <w:autoRedefine/>
    <w:qFormat/>
    <w:rsid w:val="00CB41D0"/>
    <w:pPr>
      <w:keepLines/>
      <w:widowControl w:val="0"/>
      <w:numPr>
        <w:numId w:val="42"/>
      </w:numPr>
      <w:tabs>
        <w:tab w:val="left" w:pos="1134"/>
      </w:tabs>
      <w:contextualSpacing w:val="0"/>
    </w:pPr>
    <w:rPr>
      <w:szCs w:val="52"/>
      <w:lang w:bidi="en-US"/>
    </w:rPr>
  </w:style>
  <w:style w:type="character" w:customStyle="1" w:styleId="Bullet1Char">
    <w:name w:val="Bullet 1 Char"/>
    <w:link w:val="Bullet1"/>
    <w:rsid w:val="00CB41D0"/>
    <w:rPr>
      <w:rFonts w:ascii="GillSans Light" w:eastAsia="Times New Roman" w:hAnsi="GillSans Light" w:cs="Times New Roman"/>
      <w:szCs w:val="52"/>
      <w:lang w:bidi="en-US"/>
    </w:rPr>
  </w:style>
  <w:style w:type="paragraph" w:customStyle="1" w:styleId="xl84">
    <w:name w:val="xl84"/>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5">
    <w:name w:val="xl85"/>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86">
    <w:name w:val="xl86"/>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7">
    <w:name w:val="xl87"/>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8">
    <w:name w:val="xl88"/>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89">
    <w:name w:val="xl89"/>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0">
    <w:name w:val="xl90"/>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1">
    <w:name w:val="xl91"/>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2">
    <w:name w:val="xl92"/>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3">
    <w:name w:val="xl93"/>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4">
    <w:name w:val="xl94"/>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5">
    <w:name w:val="xl95"/>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6">
    <w:name w:val="xl96"/>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7">
    <w:name w:val="xl97"/>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98">
    <w:name w:val="xl98"/>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9">
    <w:name w:val="xl99"/>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100">
    <w:name w:val="xl100"/>
    <w:basedOn w:val="Normal"/>
    <w:rsid w:val="00691BE5"/>
    <w:pPr>
      <w:tabs>
        <w:tab w:val="clear" w:pos="567"/>
      </w:tabs>
      <w:spacing w:before="100" w:beforeAutospacing="1" w:after="100" w:afterAutospacing="1" w:line="240" w:lineRule="auto"/>
      <w:jc w:val="center"/>
    </w:pPr>
    <w:rPr>
      <w:b/>
      <w:bCs/>
      <w:sz w:val="24"/>
      <w:szCs w:val="24"/>
      <w:lang w:eastAsia="en-AU"/>
    </w:rPr>
  </w:style>
  <w:style w:type="character" w:customStyle="1" w:styleId="jrnl">
    <w:name w:val="jrnl"/>
    <w:rsid w:val="00691BE5"/>
  </w:style>
  <w:style w:type="character" w:customStyle="1" w:styleId="A1">
    <w:name w:val="A1"/>
    <w:uiPriority w:val="99"/>
    <w:rsid w:val="00691BE5"/>
    <w:rPr>
      <w:color w:val="221E1F"/>
      <w:sz w:val="16"/>
      <w:szCs w:val="16"/>
    </w:rPr>
  </w:style>
  <w:style w:type="character" w:customStyle="1" w:styleId="A6">
    <w:name w:val="A6"/>
    <w:uiPriority w:val="99"/>
    <w:rsid w:val="00691BE5"/>
    <w:rPr>
      <w:color w:val="221E1F"/>
      <w:sz w:val="14"/>
      <w:szCs w:val="14"/>
    </w:rPr>
  </w:style>
  <w:style w:type="character" w:customStyle="1" w:styleId="A5">
    <w:name w:val="A5"/>
    <w:uiPriority w:val="99"/>
    <w:rsid w:val="00691BE5"/>
    <w:rPr>
      <w:color w:val="221E1F"/>
      <w:sz w:val="14"/>
      <w:szCs w:val="14"/>
    </w:rPr>
  </w:style>
  <w:style w:type="character" w:customStyle="1" w:styleId="citation-abbreviation">
    <w:name w:val="citation-abbreviation"/>
    <w:rsid w:val="00691BE5"/>
  </w:style>
  <w:style w:type="character" w:customStyle="1" w:styleId="citation-publication-date">
    <w:name w:val="citation-publication-date"/>
    <w:rsid w:val="00691BE5"/>
  </w:style>
  <w:style w:type="character" w:customStyle="1" w:styleId="citation-volume">
    <w:name w:val="citation-volume"/>
    <w:rsid w:val="00691BE5"/>
  </w:style>
  <w:style w:type="character" w:customStyle="1" w:styleId="citation-flpages">
    <w:name w:val="citation-flpages"/>
    <w:rsid w:val="00691BE5"/>
  </w:style>
  <w:style w:type="character" w:customStyle="1" w:styleId="st1">
    <w:name w:val="st1"/>
    <w:rsid w:val="00691BE5"/>
  </w:style>
  <w:style w:type="paragraph" w:customStyle="1" w:styleId="xl80">
    <w:name w:val="xl80"/>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paragraph" w:customStyle="1" w:styleId="xl81">
    <w:name w:val="xl81"/>
    <w:basedOn w:val="Normal"/>
    <w:rsid w:val="00691BE5"/>
    <w:pPr>
      <w:shd w:val="clear" w:color="000000" w:fill="FFFFFF"/>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82">
    <w:name w:val="xl82"/>
    <w:basedOn w:val="Normal"/>
    <w:rsid w:val="00691BE5"/>
    <w:pPr>
      <w:shd w:val="clear" w:color="000000" w:fill="FFFFFF"/>
      <w:tabs>
        <w:tab w:val="clear" w:pos="567"/>
      </w:tabs>
      <w:spacing w:before="100" w:beforeAutospacing="1" w:after="100" w:afterAutospacing="1" w:line="240" w:lineRule="auto"/>
      <w:jc w:val="right"/>
      <w:textAlignment w:val="center"/>
    </w:pPr>
    <w:rPr>
      <w:b/>
      <w:bCs/>
      <w:color w:val="000000"/>
      <w:sz w:val="18"/>
      <w:szCs w:val="18"/>
      <w:lang w:eastAsia="en-AU"/>
    </w:rPr>
  </w:style>
  <w:style w:type="paragraph" w:customStyle="1" w:styleId="xl83">
    <w:name w:val="xl83"/>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numbering" w:customStyle="1" w:styleId="NoList1">
    <w:name w:val="No List1"/>
    <w:next w:val="NoList"/>
    <w:uiPriority w:val="99"/>
    <w:semiHidden/>
    <w:unhideWhenUsed/>
    <w:rsid w:val="00691BE5"/>
  </w:style>
  <w:style w:type="paragraph" w:customStyle="1" w:styleId="Default">
    <w:name w:val="Default"/>
    <w:rsid w:val="00691BE5"/>
    <w:pPr>
      <w:autoSpaceDE w:val="0"/>
      <w:autoSpaceDN w:val="0"/>
      <w:adjustRightInd w:val="0"/>
      <w:spacing w:after="0" w:line="240" w:lineRule="auto"/>
    </w:pPr>
    <w:rPr>
      <w:rFonts w:ascii="Gill Sans MT" w:eastAsia="Times New Roman" w:hAnsi="Gill Sans MT" w:cs="Gill Sans MT"/>
      <w:color w:val="000000"/>
      <w:sz w:val="24"/>
      <w:szCs w:val="24"/>
      <w:lang w:eastAsia="en-AU"/>
    </w:rPr>
  </w:style>
  <w:style w:type="paragraph" w:customStyle="1" w:styleId="Table-AnnualReport">
    <w:name w:val="Table - Annual Report"/>
    <w:basedOn w:val="Normal"/>
    <w:link w:val="Table-AnnualReportChar"/>
    <w:qFormat/>
    <w:rsid w:val="00C92920"/>
    <w:pPr>
      <w:spacing w:after="60"/>
      <w:ind w:right="-46"/>
    </w:pPr>
    <w:rPr>
      <w:sz w:val="18"/>
      <w:szCs w:val="17"/>
      <w:lang w:eastAsia="en-AU"/>
    </w:rPr>
  </w:style>
  <w:style w:type="character" w:customStyle="1" w:styleId="Table-AnnualReportChar">
    <w:name w:val="Table - Annual Report Char"/>
    <w:basedOn w:val="DefaultParagraphFont"/>
    <w:link w:val="Table-AnnualReport"/>
    <w:rsid w:val="00C92920"/>
    <w:rPr>
      <w:rFonts w:ascii="Gill Sans MT" w:eastAsia="Times New Roman" w:hAnsi="Gill Sans MT" w:cs="Times New Roman"/>
      <w:sz w:val="18"/>
      <w:szCs w:val="17"/>
      <w:lang w:eastAsia="en-AU"/>
    </w:rPr>
  </w:style>
  <w:style w:type="paragraph" w:customStyle="1" w:styleId="SDText">
    <w:name w:val="SD Text"/>
    <w:uiPriority w:val="99"/>
    <w:rsid w:val="0074113B"/>
    <w:pPr>
      <w:widowControl w:val="0"/>
      <w:autoSpaceDE w:val="0"/>
      <w:autoSpaceDN w:val="0"/>
      <w:adjustRightInd w:val="0"/>
      <w:spacing w:before="289" w:after="0" w:line="240" w:lineRule="auto"/>
      <w:jc w:val="both"/>
    </w:pPr>
    <w:rPr>
      <w:rFonts w:ascii="Arial" w:eastAsiaTheme="minorEastAsia" w:hAnsi="Arial" w:cs="Arial"/>
      <w:color w:val="000000"/>
      <w:sz w:val="20"/>
      <w:szCs w:val="20"/>
      <w:lang w:eastAsia="en-AU"/>
    </w:rPr>
  </w:style>
  <w:style w:type="paragraph" w:customStyle="1" w:styleId="SDTextInd">
    <w:name w:val="SD Text Ind"/>
    <w:uiPriority w:val="99"/>
    <w:rsid w:val="0074113B"/>
    <w:pPr>
      <w:widowControl w:val="0"/>
      <w:tabs>
        <w:tab w:val="left" w:pos="396"/>
      </w:tabs>
      <w:autoSpaceDE w:val="0"/>
      <w:autoSpaceDN w:val="0"/>
      <w:adjustRightInd w:val="0"/>
      <w:spacing w:after="0" w:line="240" w:lineRule="auto"/>
      <w:ind w:left="396" w:hanging="396"/>
    </w:pPr>
    <w:rPr>
      <w:rFonts w:ascii="Arial" w:eastAsiaTheme="minorEastAsia" w:hAnsi="Arial" w:cs="Arial"/>
      <w:color w:val="000000"/>
      <w:sz w:val="20"/>
      <w:szCs w:val="20"/>
      <w:lang w:eastAsia="en-AU"/>
    </w:rPr>
  </w:style>
  <w:style w:type="paragraph" w:customStyle="1" w:styleId="ISCPAYCHd">
    <w:name w:val="IS C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CPPYCHd">
    <w:name w:val="IS C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Desc">
    <w:name w:val="IS Desc"/>
    <w:uiPriority w:val="99"/>
    <w:rsid w:val="0074113B"/>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ISDescS">
    <w:name w:val="IS Desc S"/>
    <w:uiPriority w:val="99"/>
    <w:rsid w:val="0074113B"/>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ISDescTi">
    <w:name w:val="IS Desc Ti"/>
    <w:uiPriority w:val="99"/>
    <w:rsid w:val="0074113B"/>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ISNoteNo">
    <w:name w:val="IS NoteNo"/>
    <w:uiPriority w:val="99"/>
    <w:rsid w:val="0074113B"/>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ISPAY">
    <w:name w:val="IS P# A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AYCHd">
    <w:name w:val="IS 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AYS">
    <w:name w:val="IS P# A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ISPPY">
    <w:name w:val="IS P# P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PYCHd">
    <w:name w:val="IS 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PYS">
    <w:name w:val="IS P# P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CPAYCHd">
    <w:name w:val="BS CP AY CHd"/>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CPPYCHd">
    <w:name w:val="BS C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Desc">
    <w:name w:val="BS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BSDescS">
    <w:name w:val="BS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
    <w:name w:val="BS Desc T"/>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i">
    <w:name w:val="BS Desc Ti"/>
    <w:uiPriority w:val="99"/>
    <w:rsid w:val="00967C1E"/>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BSNoteNo">
    <w:name w:val="BS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BSNoteNoCHd">
    <w:name w:val="BS NoteNo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
    <w:name w:val="BS P#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AYCHd">
    <w:name w:val="BS P#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S">
    <w:name w:val="BS P#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AYT">
    <w:name w:val="BS P# A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
    <w:name w:val="BS P#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PYCHd">
    <w:name w:val="BS 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PYS">
    <w:name w:val="BS P#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T">
    <w:name w:val="BS P# P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SEQCPCl04AYCHd">
    <w:name w:val="SEQ C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AYCHd">
    <w:name w:val="SEQ C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Desc">
    <w:name w:val="SEQ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18"/>
      <w:szCs w:val="18"/>
      <w:lang w:eastAsia="en-AU"/>
    </w:rPr>
  </w:style>
  <w:style w:type="paragraph" w:customStyle="1" w:styleId="SEQDescCHd2">
    <w:name w:val="SEQ Desc CHd2"/>
    <w:uiPriority w:val="99"/>
    <w:rsid w:val="00967C1E"/>
    <w:pPr>
      <w:widowControl w:val="0"/>
      <w:autoSpaceDE w:val="0"/>
      <w:autoSpaceDN w:val="0"/>
      <w:adjustRightInd w:val="0"/>
      <w:spacing w:before="34" w:after="34" w:line="239" w:lineRule="exact"/>
    </w:pPr>
    <w:rPr>
      <w:rFonts w:ascii="Arial" w:eastAsiaTheme="minorEastAsia" w:hAnsi="Arial" w:cs="Arial"/>
      <w:b/>
      <w:bCs/>
      <w:color w:val="000080"/>
      <w:sz w:val="18"/>
      <w:szCs w:val="18"/>
      <w:lang w:eastAsia="en-AU"/>
    </w:rPr>
  </w:style>
  <w:style w:type="paragraph" w:customStyle="1" w:styleId="SEQDescColHead">
    <w:name w:val="SEQ Desc ColHead"/>
    <w:uiPriority w:val="99"/>
    <w:rsid w:val="00967C1E"/>
    <w:pPr>
      <w:widowControl w:val="0"/>
      <w:autoSpaceDE w:val="0"/>
      <w:autoSpaceDN w:val="0"/>
      <w:adjustRightInd w:val="0"/>
      <w:spacing w:before="34" w:after="34" w:line="240" w:lineRule="auto"/>
    </w:pPr>
    <w:rPr>
      <w:rFonts w:ascii="Arial" w:eastAsiaTheme="minorEastAsia" w:hAnsi="Arial" w:cs="Arial"/>
      <w:b/>
      <w:bCs/>
      <w:color w:val="000000"/>
      <w:sz w:val="18"/>
      <w:szCs w:val="18"/>
      <w:lang w:eastAsia="en-AU"/>
    </w:rPr>
  </w:style>
  <w:style w:type="paragraph" w:customStyle="1" w:styleId="SEQDescS">
    <w:name w:val="SEQ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18"/>
      <w:szCs w:val="18"/>
      <w:lang w:eastAsia="en-AU"/>
    </w:rPr>
  </w:style>
  <w:style w:type="paragraph" w:customStyle="1" w:styleId="SEQNoteNo">
    <w:name w:val="SEQ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SEQPCl04AY">
    <w:name w:val="SEQ P# Cl04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AYCHd">
    <w:name w:val="SEQ 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AYS">
    <w:name w:val="SEQ P# Cl04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AY">
    <w:name w:val="SEQ P# Cl15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AYCHd">
    <w:name w:val="SEQ 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AYS">
    <w:name w:val="SEQ P# Cl15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CPCl04PYCHd">
    <w:name w:val="SEQ C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PYCHd">
    <w:name w:val="SEQ C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PCl04PY">
    <w:name w:val="SEQ P# Cl04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PYCHd">
    <w:name w:val="SEQ 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PYS">
    <w:name w:val="SEQ P# Cl04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PY">
    <w:name w:val="SEQ P# Cl15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PYCHd">
    <w:name w:val="SEQ 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PYS">
    <w:name w:val="SEQ P# Cl15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CFCPAYCHd">
    <w:name w:val="CF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CPPYCHd">
    <w:name w:val="CF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Desc">
    <w:name w:val="CF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CFDescTi">
    <w:name w:val="CF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CFNoteNo">
    <w:name w:val="CF NoteNo"/>
    <w:uiPriority w:val="99"/>
    <w:rsid w:val="005B2186"/>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CFNoteNoCHd">
    <w:name w:val="CF NoteNo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
    <w:name w:val="CF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AYCHd">
    <w:name w:val="CF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S">
    <w:name w:val="CF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
    <w:name w:val="CF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PYCHd">
    <w:name w:val="CF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PYS">
    <w:name w:val="CF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AYT">
    <w:name w:val="CF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T">
    <w:name w:val="CF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FSFooter1">
    <w:name w:val="FS Footer1"/>
    <w:uiPriority w:val="99"/>
    <w:rsid w:val="005B2186"/>
    <w:pPr>
      <w:widowControl w:val="0"/>
      <w:autoSpaceDE w:val="0"/>
      <w:autoSpaceDN w:val="0"/>
      <w:adjustRightInd w:val="0"/>
      <w:spacing w:after="0" w:line="240" w:lineRule="auto"/>
      <w:jc w:val="right"/>
    </w:pPr>
    <w:rPr>
      <w:rFonts w:ascii="Arial" w:eastAsiaTheme="minorEastAsia" w:hAnsi="Arial" w:cs="Arial"/>
      <w:color w:val="000000"/>
      <w:sz w:val="20"/>
      <w:szCs w:val="20"/>
      <w:lang w:eastAsia="en-AU"/>
    </w:rPr>
  </w:style>
  <w:style w:type="paragraph" w:customStyle="1" w:styleId="FSHeading1">
    <w:name w:val="FS Heading 1"/>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40"/>
      <w:szCs w:val="40"/>
      <w:lang w:eastAsia="en-AU"/>
    </w:rPr>
  </w:style>
  <w:style w:type="paragraph" w:customStyle="1" w:styleId="FSHeading3">
    <w:name w:val="FS Heading 3"/>
    <w:uiPriority w:val="99"/>
    <w:rsid w:val="005B2186"/>
    <w:pPr>
      <w:widowControl w:val="0"/>
      <w:autoSpaceDE w:val="0"/>
      <w:autoSpaceDN w:val="0"/>
      <w:adjustRightInd w:val="0"/>
      <w:spacing w:before="170" w:after="0" w:line="240" w:lineRule="auto"/>
    </w:pPr>
    <w:rPr>
      <w:rFonts w:ascii="Arial" w:eastAsiaTheme="minorEastAsia" w:hAnsi="Arial" w:cs="Arial"/>
      <w:b/>
      <w:bCs/>
      <w:color w:val="000080"/>
      <w:sz w:val="20"/>
      <w:szCs w:val="20"/>
      <w:lang w:eastAsia="en-AU"/>
    </w:rPr>
  </w:style>
  <w:style w:type="paragraph" w:customStyle="1" w:styleId="FSName">
    <w:name w:val="FS Name"/>
    <w:uiPriority w:val="99"/>
    <w:rsid w:val="005B2186"/>
    <w:pPr>
      <w:widowControl w:val="0"/>
      <w:autoSpaceDE w:val="0"/>
      <w:autoSpaceDN w:val="0"/>
      <w:adjustRightInd w:val="0"/>
      <w:spacing w:after="0" w:line="240" w:lineRule="auto"/>
    </w:pPr>
    <w:rPr>
      <w:rFonts w:ascii="Arial" w:eastAsiaTheme="minorEastAsia" w:hAnsi="Arial" w:cs="Arial"/>
      <w:b/>
      <w:bCs/>
      <w:color w:val="000080"/>
      <w:sz w:val="24"/>
      <w:szCs w:val="24"/>
      <w:lang w:eastAsia="en-AU"/>
    </w:rPr>
  </w:style>
  <w:style w:type="paragraph" w:customStyle="1" w:styleId="FSSubHeading">
    <w:name w:val="FS SubHeading"/>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18"/>
      <w:szCs w:val="18"/>
      <w:lang w:eastAsia="en-AU"/>
    </w:rPr>
  </w:style>
  <w:style w:type="paragraph" w:customStyle="1" w:styleId="NtHeading1">
    <w:name w:val="Nt Heading 1"/>
    <w:uiPriority w:val="99"/>
    <w:rsid w:val="005B2186"/>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80"/>
      <w:sz w:val="20"/>
      <w:szCs w:val="20"/>
      <w:lang w:eastAsia="en-AU"/>
    </w:rPr>
  </w:style>
  <w:style w:type="paragraph" w:customStyle="1" w:styleId="NtHeading3">
    <w:name w:val="Nt Heading 3"/>
    <w:uiPriority w:val="99"/>
    <w:rsid w:val="005B2186"/>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80"/>
      <w:sz w:val="20"/>
      <w:szCs w:val="20"/>
      <w:lang w:eastAsia="en-AU"/>
    </w:rPr>
  </w:style>
  <w:style w:type="paragraph" w:customStyle="1" w:styleId="NtTextLevel1">
    <w:name w:val="Nt Text Level1"/>
    <w:uiPriority w:val="99"/>
    <w:rsid w:val="005B2186"/>
    <w:pPr>
      <w:widowControl w:val="0"/>
      <w:autoSpaceDE w:val="0"/>
      <w:autoSpaceDN w:val="0"/>
      <w:adjustRightInd w:val="0"/>
      <w:spacing w:before="289" w:after="0" w:line="240" w:lineRule="auto"/>
      <w:ind w:left="1530"/>
      <w:jc w:val="both"/>
    </w:pPr>
    <w:rPr>
      <w:rFonts w:ascii="Arial" w:eastAsiaTheme="minorEastAsia" w:hAnsi="Arial" w:cs="Arial"/>
      <w:color w:val="000000"/>
      <w:sz w:val="20"/>
      <w:szCs w:val="20"/>
      <w:lang w:eastAsia="en-AU"/>
    </w:rPr>
  </w:style>
  <w:style w:type="paragraph" w:customStyle="1" w:styleId="NtF2Desc">
    <w:name w:val="NtF2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F2DescCHd1">
    <w:name w:val="NtF2 Desc CHd1"/>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F2xCl01">
    <w:name w:val="NtF2 x Cl01"/>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DescTiNo">
    <w:name w:val="Nt Desc TiNo"/>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color w:val="000000"/>
      <w:sz w:val="20"/>
      <w:szCs w:val="20"/>
      <w:lang w:eastAsia="en-AU"/>
    </w:rPr>
  </w:style>
  <w:style w:type="paragraph" w:customStyle="1" w:styleId="NtACPAYCHd">
    <w:name w:val="NtA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CPPYCHd">
    <w:name w:val="NtA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1Desc">
    <w:name w:val="NtA1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A1DescT">
    <w:name w:val="NtA1 Desc T"/>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NtA1DescTi">
    <w:name w:val="NtA1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NtA1PAY">
    <w:name w:val="NtA1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AYCHd">
    <w:name w:val="NtA1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AYS">
    <w:name w:val="NtA1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AYT">
    <w:name w:val="NtA1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
    <w:name w:val="NtA1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PYCHd">
    <w:name w:val="NtA1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PYS">
    <w:name w:val="NtA1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T">
    <w:name w:val="NtA1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Heading4">
    <w:name w:val="Nt Heading 4"/>
    <w:uiPriority w:val="99"/>
    <w:rsid w:val="005B2186"/>
    <w:pPr>
      <w:keepNext/>
      <w:keepLines/>
      <w:widowControl w:val="0"/>
      <w:tabs>
        <w:tab w:val="left" w:pos="1530"/>
      </w:tabs>
      <w:autoSpaceDE w:val="0"/>
      <w:autoSpaceDN w:val="0"/>
      <w:adjustRightInd w:val="0"/>
      <w:spacing w:before="288" w:after="0" w:line="240" w:lineRule="auto"/>
      <w:ind w:left="1530" w:hanging="566"/>
    </w:pPr>
    <w:rPr>
      <w:rFonts w:ascii="Arial" w:eastAsiaTheme="minorEastAsia" w:hAnsi="Arial" w:cs="Arial"/>
      <w:b/>
      <w:bCs/>
      <w:color w:val="000080"/>
      <w:sz w:val="20"/>
      <w:szCs w:val="20"/>
      <w:lang w:eastAsia="en-AU"/>
    </w:rPr>
  </w:style>
  <w:style w:type="paragraph" w:customStyle="1" w:styleId="NtA1DescCHd2">
    <w:name w:val="NtA1 Desc CHd2"/>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A1DescLevel1">
    <w:name w:val="NtA1 Desc Level1"/>
    <w:uiPriority w:val="99"/>
    <w:rsid w:val="005B2186"/>
    <w:pPr>
      <w:widowControl w:val="0"/>
      <w:autoSpaceDE w:val="0"/>
      <w:autoSpaceDN w:val="0"/>
      <w:adjustRightInd w:val="0"/>
      <w:spacing w:before="28" w:after="28" w:line="240" w:lineRule="auto"/>
      <w:ind w:left="447" w:hanging="232"/>
    </w:pPr>
    <w:rPr>
      <w:rFonts w:ascii="Arial" w:eastAsiaTheme="minorEastAsia" w:hAnsi="Arial" w:cs="Arial"/>
      <w:color w:val="000000"/>
      <w:sz w:val="20"/>
      <w:szCs w:val="20"/>
      <w:lang w:eastAsia="en-AU"/>
    </w:rPr>
  </w:style>
  <w:style w:type="paragraph" w:customStyle="1" w:styleId="NtS3Desc">
    <w:name w:val="NtS3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zFreezeSpace">
    <w:name w:val="zFreezeSpace"/>
    <w:uiPriority w:val="99"/>
    <w:rsid w:val="005B2186"/>
    <w:pPr>
      <w:widowControl w:val="0"/>
      <w:autoSpaceDE w:val="0"/>
      <w:autoSpaceDN w:val="0"/>
      <w:adjustRightInd w:val="0"/>
      <w:spacing w:after="0" w:line="240" w:lineRule="auto"/>
    </w:pPr>
    <w:rPr>
      <w:rFonts w:ascii="Arial" w:eastAsiaTheme="minorEastAsia" w:hAnsi="Arial" w:cs="Arial"/>
      <w:color w:val="000000"/>
      <w:sz w:val="14"/>
      <w:szCs w:val="1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qFormat="1"/>
    <w:lsdException w:name="footnote reference" w:uiPriority="99"/>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5C8"/>
    <w:pPr>
      <w:tabs>
        <w:tab w:val="left" w:pos="567"/>
      </w:tabs>
      <w:spacing w:after="140" w:line="300" w:lineRule="atLeast"/>
    </w:pPr>
    <w:rPr>
      <w:rFonts w:ascii="GillSans Light" w:eastAsia="Times New Roman" w:hAnsi="GillSans Light" w:cs="Times New Roman"/>
    </w:rPr>
  </w:style>
  <w:style w:type="paragraph" w:styleId="Heading1">
    <w:name w:val="heading 1"/>
    <w:basedOn w:val="Normal"/>
    <w:next w:val="Normal"/>
    <w:link w:val="Heading1Char"/>
    <w:uiPriority w:val="9"/>
    <w:qFormat/>
    <w:rsid w:val="001B05C8"/>
    <w:pPr>
      <w:keepNext/>
      <w:keepLines/>
      <w:spacing w:before="480" w:after="24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41611F"/>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1611F"/>
    <w:pPr>
      <w:keepNext/>
      <w:keepLines/>
      <w:spacing w:before="200" w:after="0"/>
      <w:outlineLvl w:val="2"/>
    </w:pPr>
    <w:rPr>
      <w:rFonts w:eastAsiaTheme="majorEastAsia" w:cstheme="majorBidi"/>
      <w:b/>
      <w:bCs/>
      <w:sz w:val="28"/>
    </w:rPr>
  </w:style>
  <w:style w:type="paragraph" w:styleId="Heading4">
    <w:name w:val="heading 4"/>
    <w:basedOn w:val="Normal"/>
    <w:link w:val="Heading4Char"/>
    <w:uiPriority w:val="9"/>
    <w:qFormat/>
    <w:rsid w:val="00854935"/>
    <w:pPr>
      <w:keepNext/>
      <w:spacing w:before="240"/>
      <w:outlineLvl w:val="3"/>
    </w:pPr>
    <w:rPr>
      <w:b/>
      <w:bCs/>
      <w:sz w:val="24"/>
    </w:rPr>
  </w:style>
  <w:style w:type="paragraph" w:styleId="Heading5">
    <w:name w:val="heading 5"/>
    <w:basedOn w:val="Heading1numbered"/>
    <w:next w:val="Normal"/>
    <w:link w:val="Heading5Char"/>
    <w:uiPriority w:val="9"/>
    <w:qFormat/>
    <w:rsid w:val="00691BE5"/>
    <w:pPr>
      <w:outlineLvl w:val="4"/>
    </w:pPr>
  </w:style>
  <w:style w:type="paragraph" w:styleId="Heading6">
    <w:name w:val="heading 6"/>
    <w:basedOn w:val="Heading2numbered"/>
    <w:next w:val="Normal"/>
    <w:link w:val="Heading6Char"/>
    <w:uiPriority w:val="9"/>
    <w:qFormat/>
    <w:rsid w:val="00691BE5"/>
    <w:pPr>
      <w:outlineLvl w:val="5"/>
    </w:pPr>
  </w:style>
  <w:style w:type="paragraph" w:styleId="Heading7">
    <w:name w:val="heading 7"/>
    <w:basedOn w:val="Heading3numbered"/>
    <w:next w:val="Normal"/>
    <w:link w:val="Heading7Char"/>
    <w:uiPriority w:val="9"/>
    <w:qFormat/>
    <w:rsid w:val="00691BE5"/>
    <w:pPr>
      <w:outlineLvl w:val="6"/>
    </w:pPr>
  </w:style>
  <w:style w:type="paragraph" w:styleId="Heading8">
    <w:name w:val="heading 8"/>
    <w:basedOn w:val="Heading4numbered"/>
    <w:next w:val="Normal"/>
    <w:link w:val="Heading8Char"/>
    <w:uiPriority w:val="9"/>
    <w:qFormat/>
    <w:rsid w:val="00691BE5"/>
    <w:pPr>
      <w:outlineLvl w:val="7"/>
    </w:pPr>
  </w:style>
  <w:style w:type="paragraph" w:styleId="Heading9">
    <w:name w:val="heading 9"/>
    <w:basedOn w:val="Normal"/>
    <w:next w:val="Normal"/>
    <w:link w:val="Heading9Char"/>
    <w:uiPriority w:val="9"/>
    <w:qFormat/>
    <w:rsid w:val="00691BE5"/>
    <w:pPr>
      <w:spacing w:before="240" w:after="60" w:line="300" w:lineRule="exact"/>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unhideWhenUsed/>
    <w:rsid w:val="00A90575"/>
    <w:pPr>
      <w:tabs>
        <w:tab w:val="clear" w:pos="567"/>
      </w:tabs>
      <w:spacing w:before="100" w:beforeAutospacing="1" w:after="100" w:afterAutospacing="1" w:line="240" w:lineRule="auto"/>
    </w:pPr>
    <w:rPr>
      <w:rFonts w:ascii="Times New Roman" w:hAnsi="Times New Roman"/>
      <w:sz w:val="24"/>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1B05C8"/>
    <w:rPr>
      <w:rFonts w:ascii="GillSans Light" w:eastAsiaTheme="majorEastAsia" w:hAnsi="GillSans Light" w:cstheme="majorBidi"/>
      <w:b/>
      <w:bCs/>
      <w:sz w:val="40"/>
      <w:szCs w:val="28"/>
    </w:rPr>
  </w:style>
  <w:style w:type="character" w:customStyle="1" w:styleId="Heading2Char">
    <w:name w:val="Heading 2 Char"/>
    <w:basedOn w:val="DefaultParagraphFont"/>
    <w:link w:val="Heading2"/>
    <w:uiPriority w:val="9"/>
    <w:rsid w:val="0041611F"/>
    <w:rPr>
      <w:rFonts w:ascii="Gill Sans MT" w:eastAsiaTheme="majorEastAsia" w:hAnsi="Gill Sans MT" w:cstheme="majorBidi"/>
      <w:b/>
      <w:bCs/>
      <w:sz w:val="32"/>
      <w:szCs w:val="26"/>
    </w:rPr>
  </w:style>
  <w:style w:type="character" w:customStyle="1" w:styleId="Heading3Char">
    <w:name w:val="Heading 3 Char"/>
    <w:basedOn w:val="DefaultParagraphFont"/>
    <w:link w:val="Heading3"/>
    <w:uiPriority w:val="9"/>
    <w:rsid w:val="0041611F"/>
    <w:rPr>
      <w:rFonts w:ascii="Gill Sans MT" w:eastAsiaTheme="majorEastAsia" w:hAnsi="Gill Sans MT" w:cstheme="majorBidi"/>
      <w:b/>
      <w:bCs/>
      <w:sz w:val="28"/>
    </w:rPr>
  </w:style>
  <w:style w:type="paragraph" w:customStyle="1" w:styleId="Responselevel1">
    <w:name w:val="Response (level 1)"/>
    <w:basedOn w:val="Normal"/>
    <w:semiHidden/>
    <w:rsid w:val="00BD1A43"/>
    <w:pPr>
      <w:keepLines/>
      <w:numPr>
        <w:numId w:val="2"/>
      </w:numPr>
      <w:spacing w:before="240" w:after="60"/>
    </w:pPr>
    <w:rPr>
      <w:sz w:val="32"/>
      <w:szCs w:val="32"/>
    </w:rPr>
  </w:style>
  <w:style w:type="paragraph" w:styleId="ListNumber2">
    <w:name w:val="List Number 2"/>
    <w:aliases w:val="Numbered Heading 1"/>
    <w:basedOn w:val="Normal"/>
    <w:rsid w:val="00BD1A43"/>
  </w:style>
  <w:style w:type="paragraph" w:styleId="List2">
    <w:name w:val="List 2"/>
    <w:aliases w:val="Bullet 2"/>
    <w:basedOn w:val="Normal"/>
    <w:link w:val="List2Char"/>
    <w:unhideWhenUsed/>
    <w:rsid w:val="00BD1A43"/>
    <w:pPr>
      <w:ind w:left="566" w:hanging="283"/>
      <w:contextualSpacing/>
    </w:pPr>
  </w:style>
  <w:style w:type="paragraph" w:styleId="BodyText">
    <w:name w:val="Body Text"/>
    <w:basedOn w:val="Normal"/>
    <w:link w:val="BodyTextChar"/>
    <w:rsid w:val="000F54B0"/>
  </w:style>
  <w:style w:type="character" w:customStyle="1" w:styleId="BodyTextChar">
    <w:name w:val="Body Text Char"/>
    <w:basedOn w:val="DefaultParagraphFont"/>
    <w:link w:val="BodyText"/>
    <w:rsid w:val="000F54B0"/>
    <w:rPr>
      <w:rFonts w:ascii="Gill Sans MT" w:eastAsia="Times New Roman" w:hAnsi="Gill Sans MT" w:cs="Times New Roman"/>
    </w:rPr>
  </w:style>
  <w:style w:type="paragraph" w:customStyle="1" w:styleId="ClearedByText">
    <w:name w:val="Cleared By Text"/>
    <w:basedOn w:val="Normal"/>
    <w:semiHidden/>
    <w:rsid w:val="00973B3B"/>
    <w:pPr>
      <w:keepNext/>
      <w:keepLines/>
      <w:spacing w:before="40" w:after="40" w:line="240" w:lineRule="auto"/>
    </w:pPr>
    <w:rPr>
      <w:sz w:val="20"/>
    </w:rPr>
  </w:style>
  <w:style w:type="table" w:styleId="TableGrid">
    <w:name w:val="Table Grid"/>
    <w:basedOn w:val="TableNormal"/>
    <w:uiPriority w:val="59"/>
    <w:rsid w:val="00973B3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0">
    <w:name w:val="dot point"/>
    <w:rsid w:val="00973B3B"/>
    <w:pPr>
      <w:numPr>
        <w:numId w:val="6"/>
      </w:numPr>
      <w:spacing w:after="140" w:line="300" w:lineRule="atLeast"/>
      <w:jc w:val="both"/>
    </w:pPr>
    <w:rPr>
      <w:rFonts w:ascii="Arial" w:eastAsia="Times New Roman" w:hAnsi="Arial" w:cs="Times New Roman"/>
      <w:sz w:val="20"/>
      <w:szCs w:val="24"/>
    </w:rPr>
  </w:style>
  <w:style w:type="paragraph" w:customStyle="1" w:styleId="BulletedList">
    <w:name w:val="Bulleted List"/>
    <w:basedOn w:val="Normal"/>
    <w:link w:val="BulletedListChar"/>
    <w:rsid w:val="00973B3B"/>
    <w:pPr>
      <w:numPr>
        <w:numId w:val="3"/>
      </w:numPr>
      <w:tabs>
        <w:tab w:val="clear" w:pos="567"/>
      </w:tabs>
      <w:spacing w:after="120" w:line="240" w:lineRule="auto"/>
    </w:pPr>
    <w:rPr>
      <w:rFonts w:ascii="Palatino Linotype" w:hAnsi="Palatino Linotype"/>
      <w:szCs w:val="24"/>
    </w:rPr>
  </w:style>
  <w:style w:type="character" w:customStyle="1" w:styleId="BulletedListChar">
    <w:name w:val="Bulleted List Char"/>
    <w:basedOn w:val="DefaultParagraphFont"/>
    <w:link w:val="BulletedList"/>
    <w:rsid w:val="00973B3B"/>
    <w:rPr>
      <w:rFonts w:ascii="Palatino Linotype" w:eastAsia="Times New Roman" w:hAnsi="Palatino Linotype" w:cs="Times New Roman"/>
      <w:szCs w:val="24"/>
    </w:rPr>
  </w:style>
  <w:style w:type="paragraph" w:customStyle="1" w:styleId="unboldbullet">
    <w:name w:val="unboldbullet"/>
    <w:basedOn w:val="BulletedList"/>
    <w:rsid w:val="00973B3B"/>
    <w:pPr>
      <w:numPr>
        <w:ilvl w:val="1"/>
      </w:numPr>
      <w:tabs>
        <w:tab w:val="clear" w:pos="1440"/>
        <w:tab w:val="num" w:pos="1080"/>
        <w:tab w:val="num" w:pos="1134"/>
      </w:tabs>
      <w:ind w:left="1080" w:hanging="567"/>
    </w:pPr>
    <w:rPr>
      <w:color w:val="000000"/>
    </w:rPr>
  </w:style>
  <w:style w:type="paragraph" w:customStyle="1" w:styleId="ResponseDotPoints">
    <w:name w:val="Response Dot Points"/>
    <w:basedOn w:val="Normal"/>
    <w:rsid w:val="00973B3B"/>
    <w:pPr>
      <w:numPr>
        <w:numId w:val="5"/>
      </w:numPr>
      <w:tabs>
        <w:tab w:val="clear" w:pos="567"/>
        <w:tab w:val="left" w:pos="425"/>
      </w:tabs>
      <w:spacing w:before="240" w:after="60" w:line="240" w:lineRule="auto"/>
    </w:pPr>
    <w:rPr>
      <w:rFonts w:ascii="Arial" w:hAnsi="Arial"/>
      <w:sz w:val="32"/>
      <w:szCs w:val="20"/>
    </w:rPr>
  </w:style>
  <w:style w:type="paragraph" w:customStyle="1" w:styleId="Response">
    <w:name w:val="Response"/>
    <w:basedOn w:val="Normal"/>
    <w:rsid w:val="00973B3B"/>
    <w:pPr>
      <w:numPr>
        <w:numId w:val="7"/>
      </w:numPr>
      <w:tabs>
        <w:tab w:val="clear" w:pos="567"/>
      </w:tabs>
      <w:spacing w:after="0" w:line="240" w:lineRule="auto"/>
    </w:pPr>
    <w:rPr>
      <w:rFonts w:ascii="Times New Roman" w:hAnsi="Times New Roman"/>
      <w:sz w:val="24"/>
      <w:szCs w:val="24"/>
      <w:lang w:eastAsia="en-AU"/>
    </w:rPr>
  </w:style>
  <w:style w:type="paragraph" w:customStyle="1" w:styleId="BulletedList2">
    <w:name w:val="Bulleted List 2"/>
    <w:basedOn w:val="Normal"/>
    <w:rsid w:val="00973B3B"/>
    <w:pPr>
      <w:numPr>
        <w:numId w:val="8"/>
      </w:numPr>
      <w:spacing w:after="0" w:line="240" w:lineRule="auto"/>
    </w:pPr>
    <w:rPr>
      <w:rFonts w:ascii="Times New Roman" w:hAnsi="Times New Roman"/>
      <w:sz w:val="24"/>
      <w:szCs w:val="24"/>
      <w:lang w:eastAsia="en-AU"/>
    </w:rPr>
  </w:style>
  <w:style w:type="paragraph" w:customStyle="1" w:styleId="Backgrounddotpoints">
    <w:name w:val="Background dot points"/>
    <w:basedOn w:val="Normal"/>
    <w:rsid w:val="00973B3B"/>
    <w:pPr>
      <w:tabs>
        <w:tab w:val="clear" w:pos="567"/>
        <w:tab w:val="left" w:pos="360"/>
        <w:tab w:val="left" w:pos="425"/>
      </w:tabs>
      <w:spacing w:before="60" w:after="60" w:line="240" w:lineRule="auto"/>
      <w:ind w:left="360" w:hanging="360"/>
    </w:pPr>
    <w:rPr>
      <w:rFonts w:ascii="Arial" w:hAnsi="Arial" w:cs="Arial"/>
      <w:szCs w:val="24"/>
    </w:rPr>
  </w:style>
  <w:style w:type="paragraph" w:customStyle="1" w:styleId="dotpoint1">
    <w:name w:val="dotpoint 1"/>
    <w:basedOn w:val="Normal"/>
    <w:rsid w:val="00973B3B"/>
    <w:pPr>
      <w:numPr>
        <w:numId w:val="9"/>
      </w:numPr>
      <w:tabs>
        <w:tab w:val="clear" w:pos="567"/>
      </w:tabs>
      <w:spacing w:after="0" w:line="240" w:lineRule="auto"/>
    </w:pPr>
    <w:rPr>
      <w:rFonts w:ascii="Times New Roman" w:hAnsi="Times New Roman"/>
      <w:sz w:val="24"/>
      <w:szCs w:val="24"/>
      <w:lang w:eastAsia="en-AU"/>
    </w:rPr>
  </w:style>
  <w:style w:type="paragraph" w:customStyle="1" w:styleId="NormalJustified">
    <w:name w:val="Normal + Justified"/>
    <w:aliases w:val="After:  6 pt"/>
    <w:basedOn w:val="Normal"/>
    <w:link w:val="NormalJustifiedChar"/>
    <w:rsid w:val="00973B3B"/>
    <w:pPr>
      <w:tabs>
        <w:tab w:val="clear" w:pos="567"/>
        <w:tab w:val="left" w:pos="425"/>
      </w:tabs>
      <w:spacing w:after="120" w:line="240" w:lineRule="auto"/>
      <w:jc w:val="both"/>
    </w:pPr>
    <w:rPr>
      <w:rFonts w:ascii="Palatino Linotype" w:hAnsi="Palatino Linotype"/>
      <w:szCs w:val="24"/>
    </w:rPr>
  </w:style>
  <w:style w:type="character" w:customStyle="1" w:styleId="NormalJustifiedChar">
    <w:name w:val="Normal + Justified Char"/>
    <w:aliases w:val="After:  6 pt Char"/>
    <w:basedOn w:val="DefaultParagraphFont"/>
    <w:link w:val="NormalJustified"/>
    <w:rsid w:val="00973B3B"/>
    <w:rPr>
      <w:rFonts w:ascii="Palatino Linotype" w:eastAsia="Times New Roman" w:hAnsi="Palatino Linotype" w:cs="Times New Roman"/>
      <w:szCs w:val="24"/>
    </w:rPr>
  </w:style>
  <w:style w:type="paragraph" w:customStyle="1" w:styleId="Tt">
    <w:name w:val="Tt"/>
    <w:basedOn w:val="Normal"/>
    <w:link w:val="TtChar"/>
    <w:rsid w:val="00973B3B"/>
    <w:pPr>
      <w:numPr>
        <w:numId w:val="10"/>
      </w:numPr>
      <w:tabs>
        <w:tab w:val="clear" w:pos="567"/>
      </w:tabs>
      <w:autoSpaceDE w:val="0"/>
      <w:autoSpaceDN w:val="0"/>
      <w:adjustRightInd w:val="0"/>
      <w:spacing w:after="0" w:line="240" w:lineRule="auto"/>
      <w:ind w:right="271"/>
    </w:pPr>
    <w:rPr>
      <w:rFonts w:cs="MyriadPro-Light"/>
      <w:sz w:val="20"/>
      <w:szCs w:val="20"/>
      <w:lang w:eastAsia="en-AU"/>
    </w:rPr>
  </w:style>
  <w:style w:type="character" w:customStyle="1" w:styleId="TtChar">
    <w:name w:val="Tt Char"/>
    <w:basedOn w:val="DefaultParagraphFont"/>
    <w:link w:val="Tt"/>
    <w:rsid w:val="00973B3B"/>
    <w:rPr>
      <w:rFonts w:ascii="GillSans Light" w:eastAsia="Times New Roman" w:hAnsi="GillSans Light" w:cs="MyriadPro-Light"/>
      <w:sz w:val="20"/>
      <w:szCs w:val="20"/>
      <w:lang w:eastAsia="en-AU"/>
    </w:rPr>
  </w:style>
  <w:style w:type="paragraph" w:customStyle="1" w:styleId="BullettedList">
    <w:name w:val="Bulletted List"/>
    <w:basedOn w:val="Normal"/>
    <w:rsid w:val="00973B3B"/>
    <w:pPr>
      <w:numPr>
        <w:numId w:val="11"/>
      </w:numPr>
      <w:tabs>
        <w:tab w:val="clear" w:pos="567"/>
      </w:tabs>
      <w:spacing w:before="120" w:after="120" w:line="240" w:lineRule="auto"/>
      <w:ind w:left="357" w:hanging="357"/>
    </w:pPr>
    <w:rPr>
      <w:rFonts w:ascii="Palatino Linotype" w:hAnsi="Palatino Linotype"/>
    </w:rPr>
  </w:style>
  <w:style w:type="character" w:customStyle="1" w:styleId="parlhead1">
    <w:name w:val="parlhead1"/>
    <w:basedOn w:val="DefaultParagraphFont"/>
    <w:rsid w:val="00973B3B"/>
    <w:rPr>
      <w:rFonts w:ascii="Georgia" w:hAnsi="Georgia" w:hint="default"/>
      <w:b/>
      <w:bCs/>
      <w:color w:val="003399"/>
      <w:sz w:val="24"/>
      <w:szCs w:val="24"/>
    </w:rPr>
  </w:style>
  <w:style w:type="character" w:styleId="CommentReference">
    <w:name w:val="annotation reference"/>
    <w:basedOn w:val="DefaultParagraphFont"/>
    <w:uiPriority w:val="99"/>
    <w:rsid w:val="00973B3B"/>
    <w:rPr>
      <w:sz w:val="16"/>
      <w:szCs w:val="16"/>
    </w:rPr>
  </w:style>
  <w:style w:type="paragraph" w:styleId="CommentText">
    <w:name w:val="annotation text"/>
    <w:basedOn w:val="Normal"/>
    <w:link w:val="Comment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rsid w:val="00973B3B"/>
    <w:rPr>
      <w:rFonts w:ascii="Times New Roman" w:eastAsia="Times New Roman" w:hAnsi="Times New Roman" w:cs="Times New Roman"/>
      <w:sz w:val="20"/>
      <w:szCs w:val="20"/>
      <w:lang w:eastAsia="en-AU"/>
    </w:rPr>
  </w:style>
  <w:style w:type="paragraph" w:styleId="BalloonText">
    <w:name w:val="Balloon Text"/>
    <w:basedOn w:val="Normal"/>
    <w:link w:val="BalloonTextChar"/>
    <w:rsid w:val="00973B3B"/>
    <w:pPr>
      <w:tabs>
        <w:tab w:val="clear" w:pos="567"/>
      </w:tabs>
      <w:spacing w:after="0" w:line="240" w:lineRule="auto"/>
    </w:pPr>
    <w:rPr>
      <w:rFonts w:ascii="Tahoma" w:hAnsi="Tahoma" w:cs="Tahoma"/>
      <w:sz w:val="16"/>
      <w:szCs w:val="16"/>
      <w:lang w:eastAsia="en-AU"/>
    </w:rPr>
  </w:style>
  <w:style w:type="character" w:customStyle="1" w:styleId="BalloonTextChar">
    <w:name w:val="Balloon Text Char"/>
    <w:basedOn w:val="DefaultParagraphFont"/>
    <w:link w:val="BalloonText"/>
    <w:rsid w:val="00973B3B"/>
    <w:rPr>
      <w:rFonts w:ascii="Tahoma" w:eastAsia="Times New Roman" w:hAnsi="Tahoma" w:cs="Tahoma"/>
      <w:sz w:val="16"/>
      <w:szCs w:val="16"/>
      <w:lang w:eastAsia="en-AU"/>
    </w:rPr>
  </w:style>
  <w:style w:type="paragraph" w:styleId="FootnoteText">
    <w:name w:val="footnote text"/>
    <w:basedOn w:val="Normal"/>
    <w:link w:val="FootnoteTextChar"/>
    <w:uiPriority w:val="99"/>
    <w:rsid w:val="00973B3B"/>
    <w:pPr>
      <w:tabs>
        <w:tab w:val="clear" w:pos="567"/>
      </w:tabs>
      <w:spacing w:after="0" w:line="240" w:lineRule="auto"/>
    </w:pPr>
    <w:rPr>
      <w:rFonts w:ascii="Times New Roman" w:hAnsi="Times New Roman"/>
      <w:sz w:val="20"/>
      <w:szCs w:val="20"/>
      <w:lang w:eastAsia="en-AU"/>
    </w:rPr>
  </w:style>
  <w:style w:type="character" w:customStyle="1" w:styleId="FootnoteTextChar">
    <w:name w:val="Footnote Text Char"/>
    <w:basedOn w:val="DefaultParagraphFont"/>
    <w:link w:val="FootnoteText"/>
    <w:uiPriority w:val="99"/>
    <w:rsid w:val="00973B3B"/>
    <w:rPr>
      <w:rFonts w:ascii="Times New Roman" w:eastAsia="Times New Roman" w:hAnsi="Times New Roman" w:cs="Times New Roman"/>
      <w:sz w:val="20"/>
      <w:szCs w:val="20"/>
      <w:lang w:eastAsia="en-AU"/>
    </w:rPr>
  </w:style>
  <w:style w:type="paragraph" w:customStyle="1" w:styleId="dotpoint">
    <w:name w:val="dotpoint"/>
    <w:basedOn w:val="Normal"/>
    <w:rsid w:val="00973B3B"/>
    <w:pPr>
      <w:numPr>
        <w:numId w:val="4"/>
      </w:numPr>
      <w:tabs>
        <w:tab w:val="clear" w:pos="567"/>
      </w:tabs>
      <w:overflowPunct w:val="0"/>
      <w:autoSpaceDE w:val="0"/>
      <w:autoSpaceDN w:val="0"/>
      <w:spacing w:after="240" w:line="240" w:lineRule="auto"/>
    </w:pPr>
    <w:rPr>
      <w:sz w:val="26"/>
      <w:szCs w:val="26"/>
      <w:lang w:eastAsia="en-AU"/>
    </w:rPr>
  </w:style>
  <w:style w:type="character" w:styleId="FootnoteReference">
    <w:name w:val="footnote reference"/>
    <w:basedOn w:val="DefaultParagraphFont"/>
    <w:uiPriority w:val="99"/>
    <w:rsid w:val="00973B3B"/>
    <w:rPr>
      <w:vertAlign w:val="superscript"/>
    </w:rPr>
  </w:style>
  <w:style w:type="character" w:customStyle="1" w:styleId="Heading4Char">
    <w:name w:val="Heading 4 Char"/>
    <w:basedOn w:val="DefaultParagraphFont"/>
    <w:link w:val="Heading4"/>
    <w:uiPriority w:val="9"/>
    <w:rsid w:val="00854935"/>
    <w:rPr>
      <w:rFonts w:ascii="Gill Sans MT" w:eastAsia="Times New Roman" w:hAnsi="Gill Sans MT" w:cs="Times New Roman"/>
      <w:b/>
      <w:bCs/>
      <w:sz w:val="24"/>
    </w:rPr>
  </w:style>
  <w:style w:type="character" w:customStyle="1" w:styleId="Heading5Char">
    <w:name w:val="Heading 5 Char"/>
    <w:basedOn w:val="DefaultParagraphFont"/>
    <w:link w:val="Heading5"/>
    <w:uiPriority w:val="9"/>
    <w:rsid w:val="00691BE5"/>
    <w:rPr>
      <w:rFonts w:ascii="GillSans Light" w:eastAsia="Times New Roman" w:hAnsi="GillSans Light" w:cs="Times New Roman"/>
      <w:b/>
      <w:snapToGrid w:val="0"/>
      <w:kern w:val="28"/>
      <w:sz w:val="40"/>
      <w:szCs w:val="20"/>
    </w:rPr>
  </w:style>
  <w:style w:type="character" w:customStyle="1" w:styleId="Heading6Char">
    <w:name w:val="Heading 6 Char"/>
    <w:basedOn w:val="DefaultParagraphFont"/>
    <w:link w:val="Heading6"/>
    <w:uiPriority w:val="9"/>
    <w:rsid w:val="00691BE5"/>
    <w:rPr>
      <w:rFonts w:ascii="GillSans Light" w:eastAsia="Times New Roman" w:hAnsi="GillSans Light" w:cs="Times New Roman"/>
      <w:b/>
      <w:bCs/>
      <w:sz w:val="32"/>
      <w:szCs w:val="28"/>
    </w:rPr>
  </w:style>
  <w:style w:type="character" w:customStyle="1" w:styleId="Heading7Char">
    <w:name w:val="Heading 7 Char"/>
    <w:basedOn w:val="DefaultParagraphFont"/>
    <w:link w:val="Heading7"/>
    <w:uiPriority w:val="9"/>
    <w:rsid w:val="00691BE5"/>
    <w:rPr>
      <w:rFonts w:ascii="GillSans Light" w:eastAsia="Times New Roman" w:hAnsi="GillSans Light" w:cs="Times New Roman"/>
      <w:b/>
      <w:bCs/>
      <w:iCs/>
      <w:sz w:val="28"/>
      <w:szCs w:val="28"/>
    </w:rPr>
  </w:style>
  <w:style w:type="character" w:customStyle="1" w:styleId="Heading8Char">
    <w:name w:val="Heading 8 Char"/>
    <w:basedOn w:val="DefaultParagraphFont"/>
    <w:link w:val="Heading8"/>
    <w:uiPriority w:val="9"/>
    <w:rsid w:val="00691BE5"/>
    <w:rPr>
      <w:rFonts w:ascii="GillSans Light" w:eastAsia="Times New Roman" w:hAnsi="GillSans Light" w:cs="Times New Roman"/>
      <w:b/>
      <w:bCs/>
      <w:sz w:val="24"/>
    </w:rPr>
  </w:style>
  <w:style w:type="character" w:customStyle="1" w:styleId="Heading9Char">
    <w:name w:val="Heading 9 Char"/>
    <w:basedOn w:val="DefaultParagraphFont"/>
    <w:link w:val="Heading9"/>
    <w:uiPriority w:val="9"/>
    <w:rsid w:val="00691BE5"/>
    <w:rPr>
      <w:rFonts w:ascii="Arial" w:eastAsia="Times New Roman" w:hAnsi="Arial" w:cs="Times New Roman"/>
    </w:rPr>
  </w:style>
  <w:style w:type="character" w:styleId="PageNumber">
    <w:name w:val="page number"/>
    <w:basedOn w:val="DefaultParagraphFont"/>
    <w:semiHidden/>
    <w:rsid w:val="00691BE5"/>
  </w:style>
  <w:style w:type="character" w:customStyle="1" w:styleId="Cross-ref">
    <w:name w:val="Cross-ref"/>
    <w:semiHidden/>
    <w:rsid w:val="00691BE5"/>
    <w:rPr>
      <w:rFonts w:ascii="Gill Sans MT" w:hAnsi="Gill Sans MT"/>
      <w:color w:val="0000FF"/>
      <w:u w:val="single" w:color="0000FF"/>
    </w:rPr>
  </w:style>
  <w:style w:type="paragraph" w:styleId="Caption">
    <w:name w:val="caption"/>
    <w:basedOn w:val="Normal"/>
    <w:next w:val="Normal"/>
    <w:rsid w:val="00691BE5"/>
    <w:pPr>
      <w:spacing w:before="120" w:after="120"/>
    </w:pPr>
    <w:rPr>
      <w:b/>
      <w:bCs/>
      <w:sz w:val="20"/>
      <w:szCs w:val="20"/>
    </w:rPr>
  </w:style>
  <w:style w:type="paragraph" w:styleId="Date">
    <w:name w:val="Date"/>
    <w:basedOn w:val="Normal"/>
    <w:next w:val="Normal"/>
    <w:link w:val="DateChar"/>
    <w:semiHidden/>
    <w:rsid w:val="00691BE5"/>
    <w:pPr>
      <w:spacing w:after="0" w:line="480" w:lineRule="atLeast"/>
    </w:pPr>
    <w:rPr>
      <w:sz w:val="28"/>
    </w:rPr>
  </w:style>
  <w:style w:type="character" w:customStyle="1" w:styleId="DateChar">
    <w:name w:val="Date Char"/>
    <w:basedOn w:val="DefaultParagraphFont"/>
    <w:link w:val="Date"/>
    <w:semiHidden/>
    <w:rsid w:val="00691BE5"/>
    <w:rPr>
      <w:rFonts w:ascii="Gill Sans MT" w:eastAsia="Times New Roman" w:hAnsi="Gill Sans MT" w:cs="Times New Roman"/>
      <w:sz w:val="28"/>
    </w:rPr>
  </w:style>
  <w:style w:type="paragraph" w:customStyle="1" w:styleId="File">
    <w:name w:val="File"/>
    <w:basedOn w:val="Normal"/>
    <w:semiHidden/>
    <w:rsid w:val="00691BE5"/>
    <w:pPr>
      <w:spacing w:after="0"/>
    </w:pPr>
    <w:rPr>
      <w:sz w:val="18"/>
    </w:rPr>
  </w:style>
  <w:style w:type="paragraph" w:customStyle="1" w:styleId="Header1">
    <w:name w:val="Header 1"/>
    <w:basedOn w:val="Normal"/>
    <w:semiHidden/>
    <w:rsid w:val="00691BE5"/>
    <w:rPr>
      <w:caps/>
      <w:spacing w:val="30"/>
      <w:sz w:val="20"/>
    </w:rPr>
  </w:style>
  <w:style w:type="paragraph" w:customStyle="1" w:styleId="Header2">
    <w:name w:val="Header 2"/>
    <w:basedOn w:val="Header1"/>
    <w:semiHidden/>
    <w:rsid w:val="00691BE5"/>
    <w:pPr>
      <w:spacing w:before="560"/>
    </w:pPr>
    <w:rPr>
      <w:spacing w:val="20"/>
      <w:sz w:val="18"/>
      <w:szCs w:val="18"/>
    </w:rPr>
  </w:style>
  <w:style w:type="paragraph" w:customStyle="1" w:styleId="Contentsheading">
    <w:name w:val="Contents heading"/>
    <w:next w:val="Normal"/>
    <w:semiHidden/>
    <w:rsid w:val="00691BE5"/>
    <w:pPr>
      <w:pageBreakBefore/>
      <w:spacing w:before="300" w:after="240" w:line="240" w:lineRule="auto"/>
    </w:pPr>
    <w:rPr>
      <w:rFonts w:ascii="Gill Sans MT" w:eastAsia="Times New Roman" w:hAnsi="Gill Sans MT" w:cs="Times New Roman"/>
      <w:b/>
      <w:sz w:val="40"/>
      <w:szCs w:val="24"/>
    </w:rPr>
  </w:style>
  <w:style w:type="paragraph" w:styleId="NormalIndent">
    <w:name w:val="Normal Indent"/>
    <w:basedOn w:val="Normal"/>
    <w:rsid w:val="00691BE5"/>
    <w:pPr>
      <w:ind w:left="567"/>
    </w:pPr>
  </w:style>
  <w:style w:type="paragraph" w:customStyle="1" w:styleId="Quotation">
    <w:name w:val="Quotation"/>
    <w:basedOn w:val="NormalIndent"/>
    <w:semiHidden/>
    <w:rsid w:val="00691BE5"/>
    <w:rPr>
      <w:sz w:val="20"/>
    </w:rPr>
  </w:style>
  <w:style w:type="paragraph" w:customStyle="1" w:styleId="TableHeadingRight">
    <w:name w:val="Table Heading Right"/>
    <w:basedOn w:val="TableHeadingLeft"/>
    <w:semiHidden/>
    <w:rsid w:val="00691BE5"/>
    <w:pPr>
      <w:jc w:val="right"/>
    </w:pPr>
  </w:style>
  <w:style w:type="paragraph" w:customStyle="1" w:styleId="TableHeadingLeft">
    <w:name w:val="Table Heading Left"/>
    <w:basedOn w:val="Normal"/>
    <w:semiHidden/>
    <w:rsid w:val="00691BE5"/>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691BE5"/>
    <w:pPr>
      <w:jc w:val="center"/>
    </w:pPr>
  </w:style>
  <w:style w:type="paragraph" w:customStyle="1" w:styleId="TableContentsRight">
    <w:name w:val="Table Contents Right"/>
    <w:basedOn w:val="TableContentsLeft"/>
    <w:semiHidden/>
    <w:rsid w:val="00691BE5"/>
    <w:pPr>
      <w:jc w:val="right"/>
    </w:pPr>
  </w:style>
  <w:style w:type="paragraph" w:customStyle="1" w:styleId="TableContentsLeft">
    <w:name w:val="Table Contents Left"/>
    <w:basedOn w:val="Normal"/>
    <w:semiHidden/>
    <w:rsid w:val="00691BE5"/>
    <w:pPr>
      <w:tabs>
        <w:tab w:val="clear" w:pos="567"/>
        <w:tab w:val="left" w:pos="425"/>
      </w:tabs>
      <w:spacing w:before="60" w:after="60" w:line="240" w:lineRule="auto"/>
    </w:pPr>
    <w:rPr>
      <w:szCs w:val="24"/>
    </w:rPr>
  </w:style>
  <w:style w:type="paragraph" w:customStyle="1" w:styleId="TableBulletedList">
    <w:name w:val="Table Bulleted List"/>
    <w:rsid w:val="00691BE5"/>
    <w:pPr>
      <w:numPr>
        <w:numId w:val="29"/>
      </w:numPr>
      <w:tabs>
        <w:tab w:val="left" w:pos="284"/>
      </w:tabs>
      <w:spacing w:before="20" w:after="60" w:line="240" w:lineRule="auto"/>
    </w:pPr>
    <w:rPr>
      <w:rFonts w:ascii="Gill Sans MT" w:eastAsia="Times New Roman" w:hAnsi="Gill Sans MT" w:cs="Times New Roman"/>
      <w:szCs w:val="24"/>
    </w:rPr>
  </w:style>
  <w:style w:type="paragraph" w:customStyle="1" w:styleId="Tablenotes">
    <w:name w:val="Table notes"/>
    <w:basedOn w:val="Caption"/>
    <w:semiHidden/>
    <w:rsid w:val="00691BE5"/>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691BE5"/>
    <w:pPr>
      <w:spacing w:after="0" w:line="300" w:lineRule="atLeast"/>
      <w:ind w:right="-28"/>
      <w:jc w:val="right"/>
    </w:pPr>
    <w:rPr>
      <w:rFonts w:ascii="Gill Sans MT" w:eastAsia="Times New Roman" w:hAnsi="Gill Sans MT" w:cs="Times New Roman"/>
      <w:sz w:val="20"/>
      <w:szCs w:val="24"/>
    </w:rPr>
  </w:style>
  <w:style w:type="paragraph" w:styleId="TOC1">
    <w:name w:val="toc 1"/>
    <w:basedOn w:val="Normal"/>
    <w:next w:val="Normal"/>
    <w:autoRedefine/>
    <w:uiPriority w:val="39"/>
    <w:qFormat/>
    <w:rsid w:val="002D3844"/>
    <w:pPr>
      <w:tabs>
        <w:tab w:val="right" w:pos="9360"/>
      </w:tabs>
      <w:spacing w:before="120" w:after="120" w:line="240" w:lineRule="auto"/>
    </w:pPr>
    <w:rPr>
      <w:b/>
      <w:noProof/>
      <w:szCs w:val="36"/>
    </w:rPr>
  </w:style>
  <w:style w:type="paragraph" w:styleId="TOC2">
    <w:name w:val="toc 2"/>
    <w:basedOn w:val="Normal"/>
    <w:next w:val="Normal"/>
    <w:autoRedefine/>
    <w:uiPriority w:val="39"/>
    <w:qFormat/>
    <w:rsid w:val="00691BE5"/>
    <w:pPr>
      <w:tabs>
        <w:tab w:val="clear" w:pos="567"/>
        <w:tab w:val="right" w:pos="9360"/>
      </w:tabs>
      <w:spacing w:before="140"/>
      <w:ind w:left="1260" w:right="278" w:hanging="709"/>
    </w:pPr>
    <w:rPr>
      <w:rFonts w:cs="Arial"/>
      <w:noProof/>
      <w:szCs w:val="26"/>
    </w:rPr>
  </w:style>
  <w:style w:type="paragraph" w:styleId="DocumentMap">
    <w:name w:val="Document Map"/>
    <w:basedOn w:val="Normal"/>
    <w:link w:val="DocumentMapChar"/>
    <w:rsid w:val="00691BE5"/>
    <w:pPr>
      <w:numPr>
        <w:ilvl w:val="1"/>
        <w:numId w:val="12"/>
      </w:numPr>
      <w:shd w:val="clear" w:color="auto" w:fill="000080"/>
      <w:spacing w:after="0"/>
    </w:pPr>
    <w:rPr>
      <w:rFonts w:ascii="Arial" w:hAnsi="Arial"/>
    </w:rPr>
  </w:style>
  <w:style w:type="character" w:customStyle="1" w:styleId="DocumentMapChar">
    <w:name w:val="Document Map Char"/>
    <w:basedOn w:val="DefaultParagraphFont"/>
    <w:link w:val="DocumentMap"/>
    <w:rsid w:val="00691BE5"/>
    <w:rPr>
      <w:rFonts w:ascii="Arial" w:eastAsia="Times New Roman" w:hAnsi="Arial" w:cs="Times New Roman"/>
      <w:shd w:val="clear" w:color="auto" w:fill="000080"/>
    </w:rPr>
  </w:style>
  <w:style w:type="paragraph" w:customStyle="1" w:styleId="Fileno">
    <w:name w:val="File no."/>
    <w:basedOn w:val="Normal"/>
    <w:semiHidden/>
    <w:rsid w:val="00691BE5"/>
    <w:pPr>
      <w:spacing w:after="240" w:line="300" w:lineRule="exact"/>
    </w:pPr>
    <w:rPr>
      <w:rFonts w:ascii="Arial" w:hAnsi="Arial" w:cs="Arial"/>
    </w:rPr>
  </w:style>
  <w:style w:type="character" w:styleId="FollowedHyperlink">
    <w:name w:val="FollowedHyperlink"/>
    <w:uiPriority w:val="99"/>
    <w:rsid w:val="00691BE5"/>
    <w:rPr>
      <w:color w:val="800080"/>
      <w:u w:val="single"/>
    </w:rPr>
  </w:style>
  <w:style w:type="paragraph" w:customStyle="1" w:styleId="GovernanceText">
    <w:name w:val="Governance Text"/>
    <w:semiHidden/>
    <w:rsid w:val="00691BE5"/>
    <w:pPr>
      <w:spacing w:after="120" w:line="240" w:lineRule="auto"/>
    </w:pPr>
    <w:rPr>
      <w:rFonts w:ascii="Gill Sans MT" w:eastAsia="Times New Roman" w:hAnsi="Gill Sans MT" w:cs="Times New Roman"/>
      <w:color w:val="808080"/>
      <w:sz w:val="16"/>
      <w:szCs w:val="16"/>
    </w:rPr>
  </w:style>
  <w:style w:type="paragraph" w:customStyle="1" w:styleId="ReportTitle">
    <w:name w:val="Report Title"/>
    <w:basedOn w:val="Heading1"/>
    <w:semiHidden/>
    <w:rsid w:val="00691BE5"/>
    <w:pPr>
      <w:keepNext w:val="0"/>
      <w:keepLines w:val="0"/>
      <w:spacing w:before="2600" w:after="5600"/>
      <w:outlineLvl w:val="9"/>
    </w:pPr>
    <w:rPr>
      <w:rFonts w:eastAsia="Times New Roman" w:cs="Times New Roman"/>
      <w:bCs w:val="0"/>
      <w:snapToGrid w:val="0"/>
      <w:kern w:val="28"/>
      <w:sz w:val="48"/>
      <w:szCs w:val="20"/>
    </w:rPr>
  </w:style>
  <w:style w:type="paragraph" w:customStyle="1" w:styleId="TableContentsCentered">
    <w:name w:val="Table Contents Centered"/>
    <w:basedOn w:val="TableContentsLeft"/>
    <w:semiHidden/>
    <w:rsid w:val="00691BE5"/>
    <w:pPr>
      <w:jc w:val="center"/>
    </w:pPr>
  </w:style>
  <w:style w:type="paragraph" w:customStyle="1" w:styleId="DepartmentAddress">
    <w:name w:val="Department Address"/>
    <w:semiHidden/>
    <w:rsid w:val="00691BE5"/>
    <w:pPr>
      <w:widowControl w:val="0"/>
      <w:tabs>
        <w:tab w:val="left" w:pos="425"/>
        <w:tab w:val="left" w:pos="1495"/>
        <w:tab w:val="right" w:pos="17987"/>
      </w:tabs>
      <w:suppressAutoHyphens/>
      <w:autoSpaceDE w:val="0"/>
      <w:autoSpaceDN w:val="0"/>
      <w:adjustRightInd w:val="0"/>
      <w:spacing w:after="0" w:line="240" w:lineRule="exact"/>
      <w:textAlignment w:val="baseline"/>
    </w:pPr>
    <w:rPr>
      <w:rFonts w:ascii="Gill Sans MT" w:eastAsia="Times New Roman" w:hAnsi="Gill Sans MT" w:cs="Times New Roman"/>
      <w:color w:val="000000"/>
      <w:sz w:val="18"/>
      <w:szCs w:val="20"/>
      <w:lang w:val="en-GB"/>
    </w:rPr>
  </w:style>
  <w:style w:type="paragraph" w:customStyle="1" w:styleId="DepartmentTitle">
    <w:name w:val="Department Title"/>
    <w:semiHidden/>
    <w:rsid w:val="00691BE5"/>
    <w:pPr>
      <w:tabs>
        <w:tab w:val="left" w:pos="720"/>
      </w:tabs>
      <w:spacing w:after="0" w:line="240" w:lineRule="auto"/>
    </w:pPr>
    <w:rPr>
      <w:rFonts w:ascii="Gill Sans MT" w:eastAsia="Times New Roman" w:hAnsi="Gill Sans MT" w:cs="Times New Roman"/>
      <w:sz w:val="28"/>
      <w:szCs w:val="24"/>
    </w:rPr>
  </w:style>
  <w:style w:type="paragraph" w:customStyle="1" w:styleId="Sub-branch">
    <w:name w:val="Sub-branch"/>
    <w:basedOn w:val="Normal"/>
    <w:semiHidden/>
    <w:rsid w:val="00691BE5"/>
    <w:pPr>
      <w:spacing w:before="80" w:after="240" w:line="24" w:lineRule="atLeast"/>
    </w:pPr>
    <w:rPr>
      <w:caps/>
      <w:w w:val="95"/>
      <w:sz w:val="18"/>
      <w:szCs w:val="20"/>
    </w:rPr>
  </w:style>
  <w:style w:type="paragraph" w:customStyle="1" w:styleId="Attention">
    <w:name w:val="Attention"/>
    <w:basedOn w:val="Normal"/>
    <w:semiHidden/>
    <w:rsid w:val="00691BE5"/>
    <w:pPr>
      <w:keepNext/>
      <w:spacing w:after="240"/>
    </w:pPr>
  </w:style>
  <w:style w:type="paragraph" w:customStyle="1" w:styleId="BoldTitle">
    <w:name w:val="BoldTitle"/>
    <w:semiHidden/>
    <w:rsid w:val="00691BE5"/>
    <w:pPr>
      <w:spacing w:after="0" w:line="240" w:lineRule="auto"/>
    </w:pPr>
    <w:rPr>
      <w:rFonts w:ascii="Gill Sans MT" w:eastAsia="Times New Roman" w:hAnsi="Gill Sans MT" w:cs="Times New Roman"/>
      <w:b/>
      <w:caps/>
      <w:szCs w:val="24"/>
    </w:rPr>
  </w:style>
  <w:style w:type="paragraph" w:styleId="Subtitle">
    <w:name w:val="Subtitle"/>
    <w:basedOn w:val="Normal"/>
    <w:link w:val="SubtitleChar"/>
    <w:uiPriority w:val="11"/>
    <w:qFormat/>
    <w:rsid w:val="00691BE5"/>
    <w:pPr>
      <w:spacing w:after="60"/>
      <w:jc w:val="center"/>
      <w:outlineLvl w:val="1"/>
    </w:pPr>
    <w:rPr>
      <w:sz w:val="24"/>
    </w:rPr>
  </w:style>
  <w:style w:type="character" w:customStyle="1" w:styleId="SubtitleChar">
    <w:name w:val="Subtitle Char"/>
    <w:basedOn w:val="DefaultParagraphFont"/>
    <w:link w:val="Subtitle"/>
    <w:uiPriority w:val="11"/>
    <w:rsid w:val="00691BE5"/>
    <w:rPr>
      <w:rFonts w:ascii="Gill Sans MT" w:eastAsia="Times New Roman" w:hAnsi="Gill Sans MT" w:cs="Times New Roman"/>
      <w:sz w:val="24"/>
    </w:rPr>
  </w:style>
  <w:style w:type="paragraph" w:customStyle="1" w:styleId="FirstPageFooter">
    <w:name w:val="FirstPageFooter"/>
    <w:basedOn w:val="Footer"/>
    <w:semiHidden/>
    <w:rsid w:val="00691BE5"/>
    <w:pPr>
      <w:jc w:val="center"/>
    </w:pPr>
  </w:style>
  <w:style w:type="paragraph" w:customStyle="1" w:styleId="Indented">
    <w:name w:val="Indented"/>
    <w:semiHidden/>
    <w:rsid w:val="00691BE5"/>
    <w:pPr>
      <w:spacing w:after="0" w:line="240" w:lineRule="auto"/>
      <w:ind w:left="1418"/>
    </w:pPr>
    <w:rPr>
      <w:rFonts w:ascii="Gill Sans MT" w:eastAsia="Times New Roman" w:hAnsi="Gill Sans MT" w:cs="Times New Roman"/>
    </w:rPr>
  </w:style>
  <w:style w:type="paragraph" w:customStyle="1" w:styleId="IndentedItalic">
    <w:name w:val="Indented Italic"/>
    <w:semiHidden/>
    <w:rsid w:val="00691BE5"/>
    <w:pPr>
      <w:spacing w:after="120" w:line="240" w:lineRule="auto"/>
      <w:ind w:left="567"/>
    </w:pPr>
    <w:rPr>
      <w:rFonts w:ascii="Gill Sans MT" w:eastAsia="Times New Roman" w:hAnsi="Gill Sans MT" w:cs="Times New Roman"/>
      <w:i/>
      <w:szCs w:val="24"/>
    </w:rPr>
  </w:style>
  <w:style w:type="paragraph" w:customStyle="1" w:styleId="Lettered">
    <w:name w:val="Lettered"/>
    <w:semiHidden/>
    <w:rsid w:val="00691BE5"/>
    <w:pPr>
      <w:numPr>
        <w:numId w:val="13"/>
      </w:numPr>
      <w:spacing w:after="0" w:line="300" w:lineRule="atLeast"/>
    </w:pPr>
    <w:rPr>
      <w:rFonts w:ascii="Gill Sans MT" w:eastAsia="Times New Roman" w:hAnsi="Gill Sans MT" w:cs="Times New Roman"/>
      <w:szCs w:val="24"/>
    </w:rPr>
  </w:style>
  <w:style w:type="paragraph" w:customStyle="1" w:styleId="ReferenceBlock">
    <w:name w:val="Reference Block"/>
    <w:semiHidden/>
    <w:rsid w:val="00691BE5"/>
    <w:pPr>
      <w:tabs>
        <w:tab w:val="left" w:pos="425"/>
      </w:tabs>
      <w:spacing w:after="0" w:line="240" w:lineRule="auto"/>
    </w:pPr>
    <w:rPr>
      <w:rFonts w:ascii="Gill Sans MT" w:eastAsia="Times New Roman" w:hAnsi="Gill Sans MT" w:cs="Arial"/>
      <w:sz w:val="20"/>
      <w:szCs w:val="20"/>
    </w:rPr>
  </w:style>
  <w:style w:type="paragraph" w:customStyle="1" w:styleId="RomanNumerals">
    <w:name w:val="Roman Numerals"/>
    <w:semiHidden/>
    <w:rsid w:val="00691BE5"/>
    <w:pPr>
      <w:numPr>
        <w:numId w:val="14"/>
      </w:numPr>
      <w:spacing w:after="120" w:line="240" w:lineRule="auto"/>
    </w:pPr>
    <w:rPr>
      <w:rFonts w:ascii="Gill Sans MT" w:eastAsia="Times New Roman" w:hAnsi="Gill Sans MT" w:cs="Times New Roman"/>
      <w:szCs w:val="24"/>
    </w:rPr>
  </w:style>
  <w:style w:type="paragraph" w:customStyle="1" w:styleId="Subject">
    <w:name w:val="Subject"/>
    <w:semiHidden/>
    <w:rsid w:val="00691BE5"/>
    <w:pPr>
      <w:spacing w:before="60" w:after="60" w:line="240" w:lineRule="auto"/>
    </w:pPr>
    <w:rPr>
      <w:rFonts w:ascii="Gill Sans MT" w:eastAsia="Times New Roman" w:hAnsi="Gill Sans MT" w:cs="Times New Roman"/>
      <w:b/>
      <w:sz w:val="24"/>
      <w:szCs w:val="28"/>
    </w:rPr>
  </w:style>
  <w:style w:type="paragraph" w:customStyle="1" w:styleId="Heading1notinTOC">
    <w:name w:val="Heading 1 not in TOC"/>
    <w:basedOn w:val="Heading1"/>
    <w:semiHidden/>
    <w:rsid w:val="00691BE5"/>
    <w:pPr>
      <w:keepLines w:val="0"/>
      <w:pageBreakBefore/>
      <w:spacing w:before="240" w:after="140"/>
    </w:pPr>
    <w:rPr>
      <w:rFonts w:eastAsia="Times New Roman" w:cs="Times New Roman"/>
      <w:bCs w:val="0"/>
      <w:snapToGrid w:val="0"/>
      <w:kern w:val="28"/>
      <w:szCs w:val="20"/>
    </w:rPr>
  </w:style>
  <w:style w:type="paragraph" w:customStyle="1" w:styleId="NumberedList">
    <w:name w:val="Numbered List"/>
    <w:semiHidden/>
    <w:rsid w:val="00691BE5"/>
    <w:pPr>
      <w:numPr>
        <w:numId w:val="24"/>
      </w:numPr>
      <w:spacing w:after="140" w:line="300" w:lineRule="atLeast"/>
    </w:pPr>
    <w:rPr>
      <w:rFonts w:ascii="Gill Sans MT" w:eastAsia="Times New Roman" w:hAnsi="Gill Sans MT" w:cs="Times New Roman"/>
      <w:szCs w:val="20"/>
    </w:rPr>
  </w:style>
  <w:style w:type="paragraph" w:styleId="BlockText">
    <w:name w:val="Block Text"/>
    <w:basedOn w:val="Normal"/>
    <w:semiHidden/>
    <w:rsid w:val="00691BE5"/>
    <w:pPr>
      <w:spacing w:line="300" w:lineRule="exact"/>
      <w:ind w:left="1440" w:right="1440"/>
    </w:pPr>
    <w:rPr>
      <w:rFonts w:ascii="Arial" w:hAnsi="Arial"/>
    </w:rPr>
  </w:style>
  <w:style w:type="paragraph" w:styleId="BodyText2">
    <w:name w:val="Body Text 2"/>
    <w:basedOn w:val="Normal"/>
    <w:link w:val="BodyText2Char"/>
    <w:rsid w:val="00691BE5"/>
    <w:pPr>
      <w:spacing w:line="480" w:lineRule="auto"/>
    </w:pPr>
    <w:rPr>
      <w:rFonts w:ascii="Arial" w:hAnsi="Arial"/>
    </w:rPr>
  </w:style>
  <w:style w:type="character" w:customStyle="1" w:styleId="BodyText2Char">
    <w:name w:val="Body Text 2 Char"/>
    <w:basedOn w:val="DefaultParagraphFont"/>
    <w:link w:val="BodyText2"/>
    <w:rsid w:val="00691BE5"/>
    <w:rPr>
      <w:rFonts w:ascii="Arial" w:eastAsia="Times New Roman" w:hAnsi="Arial" w:cs="Times New Roman"/>
    </w:rPr>
  </w:style>
  <w:style w:type="paragraph" w:styleId="BodyText3">
    <w:name w:val="Body Text 3"/>
    <w:basedOn w:val="Normal"/>
    <w:link w:val="BodyText3Char"/>
    <w:rsid w:val="00691BE5"/>
    <w:pPr>
      <w:spacing w:line="300" w:lineRule="exact"/>
    </w:pPr>
    <w:rPr>
      <w:rFonts w:ascii="Arial" w:hAnsi="Arial"/>
      <w:sz w:val="16"/>
      <w:szCs w:val="16"/>
    </w:rPr>
  </w:style>
  <w:style w:type="character" w:customStyle="1" w:styleId="BodyText3Char">
    <w:name w:val="Body Text 3 Char"/>
    <w:basedOn w:val="DefaultParagraphFont"/>
    <w:link w:val="BodyText3"/>
    <w:rsid w:val="00691BE5"/>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691BE5"/>
    <w:pPr>
      <w:ind w:firstLine="210"/>
    </w:pPr>
  </w:style>
  <w:style w:type="character" w:customStyle="1" w:styleId="BodyTextFirstIndentChar">
    <w:name w:val="Body Text First Indent Char"/>
    <w:basedOn w:val="BodyTextChar"/>
    <w:link w:val="BodyTextFirstIndent"/>
    <w:semiHidden/>
    <w:rsid w:val="00691BE5"/>
    <w:rPr>
      <w:rFonts w:ascii="Gill Sans MT" w:eastAsia="Times New Roman" w:hAnsi="Gill Sans MT" w:cs="Times New Roman"/>
    </w:rPr>
  </w:style>
  <w:style w:type="paragraph" w:styleId="BodyTextIndent">
    <w:name w:val="Body Text Indent"/>
    <w:basedOn w:val="BodyText"/>
    <w:link w:val="BodyTextIndentChar"/>
    <w:rsid w:val="00691BE5"/>
    <w:pPr>
      <w:ind w:left="567"/>
    </w:pPr>
  </w:style>
  <w:style w:type="character" w:customStyle="1" w:styleId="BodyTextIndentChar">
    <w:name w:val="Body Text Indent Char"/>
    <w:basedOn w:val="DefaultParagraphFont"/>
    <w:link w:val="BodyTextIndent"/>
    <w:rsid w:val="00691BE5"/>
    <w:rPr>
      <w:rFonts w:ascii="Gill Sans MT" w:eastAsia="Times New Roman" w:hAnsi="Gill Sans MT" w:cs="Times New Roman"/>
    </w:rPr>
  </w:style>
  <w:style w:type="paragraph" w:styleId="BodyTextFirstIndent2">
    <w:name w:val="Body Text First Indent 2"/>
    <w:basedOn w:val="BodyTextIndent"/>
    <w:link w:val="BodyTextFirstIndent2Char"/>
    <w:semiHidden/>
    <w:rsid w:val="00691BE5"/>
    <w:pPr>
      <w:spacing w:line="300" w:lineRule="exact"/>
      <w:ind w:firstLine="210"/>
    </w:pPr>
    <w:rPr>
      <w:rFonts w:ascii="Arial" w:hAnsi="Arial"/>
    </w:rPr>
  </w:style>
  <w:style w:type="character" w:customStyle="1" w:styleId="BodyTextFirstIndent2Char">
    <w:name w:val="Body Text First Indent 2 Char"/>
    <w:basedOn w:val="BodyTextIndentChar"/>
    <w:link w:val="BodyTextFirstIndent2"/>
    <w:semiHidden/>
    <w:rsid w:val="00691BE5"/>
    <w:rPr>
      <w:rFonts w:ascii="Arial" w:eastAsia="Times New Roman" w:hAnsi="Arial" w:cs="Times New Roman"/>
    </w:rPr>
  </w:style>
  <w:style w:type="paragraph" w:styleId="BodyTextIndent2">
    <w:name w:val="Body Text Indent 2"/>
    <w:basedOn w:val="Normal"/>
    <w:link w:val="BodyTextIndent2Char"/>
    <w:semiHidden/>
    <w:rsid w:val="00691BE5"/>
    <w:pPr>
      <w:spacing w:line="480" w:lineRule="auto"/>
      <w:ind w:left="283"/>
    </w:pPr>
    <w:rPr>
      <w:rFonts w:ascii="Arial" w:hAnsi="Arial"/>
    </w:rPr>
  </w:style>
  <w:style w:type="character" w:customStyle="1" w:styleId="BodyTextIndent2Char">
    <w:name w:val="Body Text Indent 2 Char"/>
    <w:basedOn w:val="DefaultParagraphFont"/>
    <w:link w:val="BodyTextIndent2"/>
    <w:semiHidden/>
    <w:rsid w:val="00691BE5"/>
    <w:rPr>
      <w:rFonts w:ascii="Arial" w:eastAsia="Times New Roman" w:hAnsi="Arial" w:cs="Times New Roman"/>
    </w:rPr>
  </w:style>
  <w:style w:type="paragraph" w:styleId="BodyTextIndent3">
    <w:name w:val="Body Text Indent 3"/>
    <w:basedOn w:val="Normal"/>
    <w:link w:val="BodyTextIndent3Char"/>
    <w:semiHidden/>
    <w:rsid w:val="00691BE5"/>
    <w:pPr>
      <w:spacing w:line="300" w:lineRule="exact"/>
      <w:ind w:left="283"/>
    </w:pPr>
    <w:rPr>
      <w:rFonts w:ascii="Arial" w:hAnsi="Arial"/>
      <w:sz w:val="16"/>
      <w:szCs w:val="16"/>
    </w:rPr>
  </w:style>
  <w:style w:type="character" w:customStyle="1" w:styleId="BodyTextIndent3Char">
    <w:name w:val="Body Text Indent 3 Char"/>
    <w:basedOn w:val="DefaultParagraphFont"/>
    <w:link w:val="BodyTextIndent3"/>
    <w:semiHidden/>
    <w:rsid w:val="00691BE5"/>
    <w:rPr>
      <w:rFonts w:ascii="Arial" w:eastAsia="Times New Roman" w:hAnsi="Arial" w:cs="Times New Roman"/>
      <w:sz w:val="16"/>
      <w:szCs w:val="16"/>
    </w:rPr>
  </w:style>
  <w:style w:type="paragraph" w:styleId="Closing">
    <w:name w:val="Closing"/>
    <w:basedOn w:val="Normal"/>
    <w:link w:val="ClosingChar"/>
    <w:semiHidden/>
    <w:rsid w:val="00691BE5"/>
    <w:pPr>
      <w:spacing w:after="240" w:line="300" w:lineRule="exact"/>
      <w:ind w:left="4252"/>
    </w:pPr>
    <w:rPr>
      <w:rFonts w:ascii="Arial" w:hAnsi="Arial"/>
    </w:rPr>
  </w:style>
  <w:style w:type="character" w:customStyle="1" w:styleId="ClosingChar">
    <w:name w:val="Closing Char"/>
    <w:basedOn w:val="DefaultParagraphFont"/>
    <w:link w:val="Closing"/>
    <w:semiHidden/>
    <w:rsid w:val="00691BE5"/>
    <w:rPr>
      <w:rFonts w:ascii="Arial" w:eastAsia="Times New Roman" w:hAnsi="Arial" w:cs="Times New Roman"/>
    </w:rPr>
  </w:style>
  <w:style w:type="paragraph" w:styleId="E-mailSignature">
    <w:name w:val="E-mail Signature"/>
    <w:basedOn w:val="Normal"/>
    <w:link w:val="E-mailSignatureChar"/>
    <w:semiHidden/>
    <w:rsid w:val="00691BE5"/>
    <w:pPr>
      <w:spacing w:after="240" w:line="300" w:lineRule="exact"/>
    </w:pPr>
    <w:rPr>
      <w:rFonts w:ascii="Arial" w:hAnsi="Arial"/>
    </w:rPr>
  </w:style>
  <w:style w:type="character" w:customStyle="1" w:styleId="E-mailSignatureChar">
    <w:name w:val="E-mail Signature Char"/>
    <w:basedOn w:val="DefaultParagraphFont"/>
    <w:link w:val="E-mailSignature"/>
    <w:semiHidden/>
    <w:rsid w:val="00691BE5"/>
    <w:rPr>
      <w:rFonts w:ascii="Arial" w:eastAsia="Times New Roman" w:hAnsi="Arial" w:cs="Times New Roman"/>
    </w:rPr>
  </w:style>
  <w:style w:type="character" w:styleId="Emphasis">
    <w:name w:val="Emphasis"/>
    <w:uiPriority w:val="20"/>
    <w:qFormat/>
    <w:rsid w:val="00691BE5"/>
    <w:rPr>
      <w:i/>
      <w:iCs/>
    </w:rPr>
  </w:style>
  <w:style w:type="paragraph" w:customStyle="1" w:styleId="Heading1numbered">
    <w:name w:val="Heading 1 (numbered)"/>
    <w:basedOn w:val="Heading1"/>
    <w:next w:val="Normal"/>
    <w:semiHidden/>
    <w:rsid w:val="00691BE5"/>
    <w:pPr>
      <w:keepLines w:val="0"/>
      <w:pageBreakBefore/>
      <w:numPr>
        <w:numId w:val="23"/>
      </w:numPr>
      <w:tabs>
        <w:tab w:val="clear" w:pos="567"/>
      </w:tabs>
      <w:spacing w:before="240" w:after="120"/>
    </w:pPr>
    <w:rPr>
      <w:rFonts w:eastAsia="Times New Roman" w:cs="Times New Roman"/>
      <w:bCs w:val="0"/>
      <w:snapToGrid w:val="0"/>
      <w:kern w:val="28"/>
      <w:szCs w:val="20"/>
    </w:rPr>
  </w:style>
  <w:style w:type="character" w:styleId="LineNumber">
    <w:name w:val="line number"/>
    <w:basedOn w:val="DefaultParagraphFont"/>
    <w:semiHidden/>
    <w:rsid w:val="00691BE5"/>
  </w:style>
  <w:style w:type="paragraph" w:styleId="MessageHeader">
    <w:name w:val="Message Header"/>
    <w:basedOn w:val="Normal"/>
    <w:link w:val="MessageHeaderChar"/>
    <w:semiHidden/>
    <w:rsid w:val="00691BE5"/>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character" w:customStyle="1" w:styleId="MessageHeaderChar">
    <w:name w:val="Message Header Char"/>
    <w:basedOn w:val="DefaultParagraphFont"/>
    <w:link w:val="MessageHeader"/>
    <w:semiHidden/>
    <w:rsid w:val="00691BE5"/>
    <w:rPr>
      <w:rFonts w:ascii="Arial" w:eastAsia="Times New Roman" w:hAnsi="Arial" w:cs="Arial"/>
      <w:sz w:val="24"/>
      <w:shd w:val="pct20" w:color="auto" w:fill="auto"/>
    </w:rPr>
  </w:style>
  <w:style w:type="paragraph" w:styleId="NoteHeading">
    <w:name w:val="Note Heading"/>
    <w:basedOn w:val="Normal"/>
    <w:next w:val="Normal"/>
    <w:link w:val="NoteHeadingChar"/>
    <w:semiHidden/>
    <w:rsid w:val="00691BE5"/>
  </w:style>
  <w:style w:type="character" w:customStyle="1" w:styleId="NoteHeadingChar">
    <w:name w:val="Note Heading Char"/>
    <w:basedOn w:val="DefaultParagraphFont"/>
    <w:link w:val="NoteHeading"/>
    <w:semiHidden/>
    <w:rsid w:val="00691BE5"/>
    <w:rPr>
      <w:rFonts w:ascii="Gill Sans MT" w:eastAsia="Times New Roman" w:hAnsi="Gill Sans MT" w:cs="Times New Roman"/>
    </w:rPr>
  </w:style>
  <w:style w:type="paragraph" w:styleId="PlainText">
    <w:name w:val="Plain Text"/>
    <w:basedOn w:val="Normal"/>
    <w:link w:val="PlainTextChar"/>
    <w:semiHidden/>
    <w:rsid w:val="00691BE5"/>
    <w:rPr>
      <w:rFonts w:ascii="Courier New" w:hAnsi="Courier New" w:cs="Courier New"/>
      <w:sz w:val="20"/>
      <w:szCs w:val="20"/>
    </w:rPr>
  </w:style>
  <w:style w:type="character" w:customStyle="1" w:styleId="PlainTextChar">
    <w:name w:val="Plain Text Char"/>
    <w:basedOn w:val="DefaultParagraphFont"/>
    <w:link w:val="PlainText"/>
    <w:semiHidden/>
    <w:rsid w:val="00691BE5"/>
    <w:rPr>
      <w:rFonts w:ascii="Courier New" w:eastAsia="Times New Roman" w:hAnsi="Courier New" w:cs="Courier New"/>
      <w:sz w:val="20"/>
      <w:szCs w:val="20"/>
    </w:rPr>
  </w:style>
  <w:style w:type="paragraph" w:styleId="Salutation">
    <w:name w:val="Salutation"/>
    <w:basedOn w:val="Normal"/>
    <w:next w:val="Normal"/>
    <w:link w:val="SalutationChar"/>
    <w:semiHidden/>
    <w:rsid w:val="00691BE5"/>
  </w:style>
  <w:style w:type="character" w:customStyle="1" w:styleId="SalutationChar">
    <w:name w:val="Salutation Char"/>
    <w:basedOn w:val="DefaultParagraphFont"/>
    <w:link w:val="Salutation"/>
    <w:semiHidden/>
    <w:rsid w:val="00691BE5"/>
    <w:rPr>
      <w:rFonts w:ascii="Gill Sans MT" w:eastAsia="Times New Roman" w:hAnsi="Gill Sans MT" w:cs="Times New Roman"/>
    </w:rPr>
  </w:style>
  <w:style w:type="paragraph" w:styleId="Signature">
    <w:name w:val="Signature"/>
    <w:basedOn w:val="Normal"/>
    <w:link w:val="SignatureChar"/>
    <w:semiHidden/>
    <w:rsid w:val="00691BE5"/>
    <w:pPr>
      <w:spacing w:after="0" w:line="240" w:lineRule="auto"/>
    </w:pPr>
  </w:style>
  <w:style w:type="character" w:customStyle="1" w:styleId="SignatureChar">
    <w:name w:val="Signature Char"/>
    <w:basedOn w:val="DefaultParagraphFont"/>
    <w:link w:val="Signature"/>
    <w:semiHidden/>
    <w:rsid w:val="00691BE5"/>
    <w:rPr>
      <w:rFonts w:ascii="Gill Sans MT" w:eastAsia="Times New Roman" w:hAnsi="Gill Sans MT" w:cs="Times New Roman"/>
    </w:rPr>
  </w:style>
  <w:style w:type="paragraph" w:customStyle="1" w:styleId="Heading2numbered">
    <w:name w:val="Heading 2 (numbered)"/>
    <w:basedOn w:val="Heading2"/>
    <w:next w:val="Normal"/>
    <w:semiHidden/>
    <w:rsid w:val="00691BE5"/>
    <w:pPr>
      <w:keepLines w:val="0"/>
      <w:numPr>
        <w:ilvl w:val="1"/>
        <w:numId w:val="23"/>
      </w:numPr>
      <w:tabs>
        <w:tab w:val="clear" w:pos="567"/>
      </w:tabs>
      <w:spacing w:before="240" w:after="120"/>
    </w:pPr>
    <w:rPr>
      <w:rFonts w:eastAsia="Times New Roman" w:cs="Times New Roman"/>
      <w:szCs w:val="28"/>
    </w:rPr>
  </w:style>
  <w:style w:type="paragraph" w:styleId="Title">
    <w:name w:val="Title"/>
    <w:basedOn w:val="Normal"/>
    <w:link w:val="TitleChar"/>
    <w:uiPriority w:val="10"/>
    <w:qFormat/>
    <w:rsid w:val="00691BE5"/>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691BE5"/>
    <w:rPr>
      <w:rFonts w:ascii="Gill Sans MT" w:eastAsia="Times New Roman" w:hAnsi="Gill Sans MT" w:cs="Times New Roman"/>
      <w:b/>
      <w:bCs/>
      <w:kern w:val="28"/>
      <w:sz w:val="32"/>
      <w:szCs w:val="32"/>
    </w:rPr>
  </w:style>
  <w:style w:type="paragraph" w:customStyle="1" w:styleId="BulletedIndentedafterNumber">
    <w:name w:val="Bulleted Indented after Number"/>
    <w:semiHidden/>
    <w:rsid w:val="00691BE5"/>
    <w:pPr>
      <w:numPr>
        <w:numId w:val="20"/>
      </w:numPr>
      <w:spacing w:after="140" w:line="300" w:lineRule="atLeast"/>
    </w:pPr>
    <w:rPr>
      <w:rFonts w:ascii="Gill Sans MT" w:eastAsia="Times New Roman" w:hAnsi="Gill Sans MT" w:cs="Times New Roman"/>
      <w:szCs w:val="20"/>
    </w:rPr>
  </w:style>
  <w:style w:type="paragraph" w:customStyle="1" w:styleId="BulletedListLevel2">
    <w:name w:val="Bulleted List Level 2"/>
    <w:semiHidden/>
    <w:rsid w:val="00691BE5"/>
    <w:pPr>
      <w:numPr>
        <w:numId w:val="21"/>
      </w:numPr>
      <w:spacing w:after="140" w:line="300" w:lineRule="atLeast"/>
    </w:pPr>
    <w:rPr>
      <w:rFonts w:ascii="Gill Sans MT" w:eastAsia="Times New Roman" w:hAnsi="Gill Sans MT" w:cs="Arial"/>
      <w:snapToGrid w:val="0"/>
      <w:kern w:val="28"/>
      <w:szCs w:val="20"/>
    </w:rPr>
  </w:style>
  <w:style w:type="paragraph" w:customStyle="1" w:styleId="BulletedListLevel3">
    <w:name w:val="Bulleted List Level 3"/>
    <w:basedOn w:val="ListBullet2"/>
    <w:semiHidden/>
    <w:rsid w:val="00691BE5"/>
  </w:style>
  <w:style w:type="paragraph" w:customStyle="1" w:styleId="Clearance">
    <w:name w:val="Clearance"/>
    <w:semiHidden/>
    <w:rsid w:val="00691BE5"/>
    <w:pPr>
      <w:keepNext/>
      <w:spacing w:before="40" w:after="40" w:line="240" w:lineRule="auto"/>
    </w:pPr>
    <w:rPr>
      <w:rFonts w:ascii="Gill Sans MT" w:eastAsia="Times New Roman" w:hAnsi="Gill Sans MT" w:cs="Times New Roman"/>
      <w:sz w:val="20"/>
    </w:rPr>
  </w:style>
  <w:style w:type="paragraph" w:customStyle="1" w:styleId="Contact">
    <w:name w:val="Contact"/>
    <w:semiHidden/>
    <w:rsid w:val="00691BE5"/>
    <w:pPr>
      <w:spacing w:before="40" w:after="40" w:line="240" w:lineRule="auto"/>
    </w:pPr>
    <w:rPr>
      <w:rFonts w:ascii="Gill Sans MT" w:eastAsia="Times New Roman" w:hAnsi="Gill Sans MT" w:cs="Times New Roman"/>
      <w:sz w:val="20"/>
      <w:szCs w:val="24"/>
    </w:rPr>
  </w:style>
  <w:style w:type="paragraph" w:customStyle="1" w:styleId="Heading3numbered">
    <w:name w:val="Heading 3 (numbered)"/>
    <w:basedOn w:val="Heading3"/>
    <w:next w:val="Normal"/>
    <w:semiHidden/>
    <w:rsid w:val="00691BE5"/>
    <w:pPr>
      <w:keepLines w:val="0"/>
      <w:numPr>
        <w:ilvl w:val="2"/>
        <w:numId w:val="23"/>
      </w:numPr>
      <w:tabs>
        <w:tab w:val="clear" w:pos="567"/>
      </w:tabs>
      <w:spacing w:before="240" w:after="120"/>
    </w:pPr>
    <w:rPr>
      <w:rFonts w:eastAsia="Times New Roman" w:cs="Times New Roman"/>
      <w:iCs/>
      <w:szCs w:val="28"/>
    </w:rPr>
  </w:style>
  <w:style w:type="table" w:customStyle="1" w:styleId="DHHSTableStyle">
    <w:name w:val="DHHS Table Style"/>
    <w:basedOn w:val="TableNormal"/>
    <w:semiHidden/>
    <w:rsid w:val="00691BE5"/>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691BE5"/>
    <w:pPr>
      <w:spacing w:after="0" w:line="240" w:lineRule="auto"/>
    </w:pPr>
    <w:rPr>
      <w:rFonts w:ascii="Gill Sans MT" w:eastAsia="Times New Roman" w:hAnsi="Gill Sans MT" w:cs="Times New Roman"/>
      <w:sz w:val="18"/>
    </w:rPr>
  </w:style>
  <w:style w:type="paragraph" w:customStyle="1" w:styleId="FileorMTSNo">
    <w:name w:val="File or MTS No."/>
    <w:semiHidden/>
    <w:rsid w:val="00691BE5"/>
    <w:pPr>
      <w:spacing w:after="120" w:line="240" w:lineRule="auto"/>
    </w:pPr>
    <w:rPr>
      <w:rFonts w:ascii="Gill Sans MT" w:eastAsia="Times New Roman" w:hAnsi="Gill Sans MT" w:cs="Times New Roman"/>
      <w:color w:val="000000"/>
      <w:sz w:val="18"/>
      <w:szCs w:val="20"/>
    </w:rPr>
  </w:style>
  <w:style w:type="paragraph" w:customStyle="1" w:styleId="Heading-Main">
    <w:name w:val="Heading - Main"/>
    <w:next w:val="Normal"/>
    <w:semiHidden/>
    <w:rsid w:val="00691BE5"/>
    <w:pPr>
      <w:spacing w:before="240" w:after="240" w:line="300" w:lineRule="atLeast"/>
      <w:outlineLvl w:val="0"/>
    </w:pPr>
    <w:rPr>
      <w:rFonts w:ascii="Gill Sans MT" w:eastAsia="Times New Roman" w:hAnsi="Gill Sans MT" w:cs="Arial"/>
      <w:b/>
      <w:iCs/>
      <w:kern w:val="36"/>
      <w:sz w:val="28"/>
      <w:szCs w:val="28"/>
      <w:lang w:eastAsia="en-AU"/>
    </w:rPr>
  </w:style>
  <w:style w:type="paragraph" w:customStyle="1" w:styleId="InformationBlock">
    <w:name w:val="Information Block"/>
    <w:semiHidden/>
    <w:rsid w:val="00691BE5"/>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semiHidden/>
    <w:rsid w:val="00691BE5"/>
    <w:rPr>
      <w:b w:val="0"/>
    </w:rPr>
  </w:style>
  <w:style w:type="paragraph" w:customStyle="1" w:styleId="space">
    <w:name w:val="space"/>
    <w:semiHidden/>
    <w:rsid w:val="00691BE5"/>
    <w:pPr>
      <w:spacing w:after="0" w:line="240" w:lineRule="auto"/>
    </w:pPr>
    <w:rPr>
      <w:rFonts w:ascii="Arial" w:eastAsia="Times New Roman" w:hAnsi="Arial" w:cs="Arial"/>
      <w:caps/>
      <w:sz w:val="4"/>
      <w:szCs w:val="30"/>
    </w:rPr>
  </w:style>
  <w:style w:type="paragraph" w:customStyle="1" w:styleId="TableStyle">
    <w:name w:val="Table Style"/>
    <w:basedOn w:val="Normal"/>
    <w:semiHidden/>
    <w:rsid w:val="00691BE5"/>
    <w:pPr>
      <w:spacing w:before="20" w:after="20" w:line="240" w:lineRule="auto"/>
    </w:pPr>
    <w:rPr>
      <w:szCs w:val="20"/>
    </w:rPr>
  </w:style>
  <w:style w:type="paragraph" w:customStyle="1" w:styleId="Heading4numbered">
    <w:name w:val="Heading 4 (numbered)"/>
    <w:basedOn w:val="Heading4"/>
    <w:next w:val="Normal"/>
    <w:semiHidden/>
    <w:rsid w:val="00691BE5"/>
    <w:pPr>
      <w:numPr>
        <w:ilvl w:val="3"/>
        <w:numId w:val="23"/>
      </w:numPr>
      <w:tabs>
        <w:tab w:val="clear" w:pos="567"/>
      </w:tabs>
      <w:spacing w:after="120"/>
    </w:pPr>
  </w:style>
  <w:style w:type="paragraph" w:customStyle="1" w:styleId="Address">
    <w:name w:val="Address"/>
    <w:basedOn w:val="Normal"/>
    <w:semiHidden/>
    <w:rsid w:val="00691BE5"/>
    <w:pPr>
      <w:spacing w:after="0" w:line="240" w:lineRule="auto"/>
    </w:pPr>
  </w:style>
  <w:style w:type="paragraph" w:customStyle="1" w:styleId="AddressIndent">
    <w:name w:val="Address Indent"/>
    <w:semiHidden/>
    <w:rsid w:val="00691BE5"/>
    <w:pPr>
      <w:spacing w:after="0" w:line="240" w:lineRule="auto"/>
      <w:ind w:left="1080"/>
    </w:pPr>
    <w:rPr>
      <w:rFonts w:ascii="Gill Sans MT" w:eastAsia="Times New Roman" w:hAnsi="Gill Sans MT" w:cs="Times New Roman"/>
      <w:szCs w:val="24"/>
    </w:rPr>
  </w:style>
  <w:style w:type="paragraph" w:styleId="EnvelopeAddress">
    <w:name w:val="envelope address"/>
    <w:basedOn w:val="Normal"/>
    <w:semiHidden/>
    <w:rsid w:val="00691BE5"/>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691BE5"/>
    <w:rPr>
      <w:rFonts w:cs="Arial"/>
      <w:sz w:val="20"/>
      <w:szCs w:val="20"/>
    </w:rPr>
  </w:style>
  <w:style w:type="paragraph" w:customStyle="1" w:styleId="Instructions">
    <w:name w:val="Instructions"/>
    <w:next w:val="Normal"/>
    <w:semiHidden/>
    <w:rsid w:val="00691BE5"/>
    <w:pPr>
      <w:shd w:val="clear" w:color="auto" w:fill="FFFFCC"/>
      <w:spacing w:after="0" w:line="240" w:lineRule="atLeast"/>
    </w:pPr>
    <w:rPr>
      <w:rFonts w:ascii="Verdana" w:eastAsia="Times New Roman" w:hAnsi="Verdana" w:cs="Arial"/>
      <w:iCs/>
      <w:kern w:val="36"/>
      <w:sz w:val="17"/>
      <w:szCs w:val="17"/>
      <w:lang w:eastAsia="en-AU"/>
    </w:rPr>
  </w:style>
  <w:style w:type="paragraph" w:customStyle="1" w:styleId="RecommendationNumberedList">
    <w:name w:val="Recommendation Numbered List"/>
    <w:basedOn w:val="NumberedList"/>
    <w:semiHidden/>
    <w:rsid w:val="00691BE5"/>
    <w:pPr>
      <w:numPr>
        <w:numId w:val="25"/>
      </w:numPr>
      <w:spacing w:after="240"/>
    </w:pPr>
    <w:rPr>
      <w:b/>
    </w:rPr>
  </w:style>
  <w:style w:type="paragraph" w:customStyle="1" w:styleId="Tabledecimal">
    <w:name w:val="Table decimal"/>
    <w:basedOn w:val="Normal"/>
    <w:semiHidden/>
    <w:rsid w:val="00691BE5"/>
    <w:pPr>
      <w:tabs>
        <w:tab w:val="clear" w:pos="567"/>
        <w:tab w:val="decimal" w:pos="884"/>
      </w:tabs>
      <w:spacing w:before="40" w:after="40" w:line="260" w:lineRule="atLeast"/>
    </w:pPr>
    <w:rPr>
      <w:rFonts w:ascii="Arial" w:hAnsi="Arial" w:cs="Arial"/>
      <w:snapToGrid w:val="0"/>
      <w:sz w:val="20"/>
      <w:szCs w:val="20"/>
    </w:rPr>
  </w:style>
  <w:style w:type="paragraph" w:styleId="CommentSubject">
    <w:name w:val="annotation subject"/>
    <w:basedOn w:val="CommentText"/>
    <w:next w:val="CommentText"/>
    <w:link w:val="CommentSubjectChar"/>
    <w:rsid w:val="00691BE5"/>
    <w:pPr>
      <w:tabs>
        <w:tab w:val="left" w:pos="567"/>
      </w:tabs>
      <w:spacing w:after="140" w:line="300" w:lineRule="atLeast"/>
    </w:pPr>
    <w:rPr>
      <w:rFonts w:ascii="Gill Sans MT" w:hAnsi="Gill Sans MT"/>
      <w:b/>
      <w:bCs/>
      <w:lang w:eastAsia="en-US"/>
    </w:rPr>
  </w:style>
  <w:style w:type="character" w:customStyle="1" w:styleId="CommentSubjectChar">
    <w:name w:val="Comment Subject Char"/>
    <w:basedOn w:val="CommentTextChar"/>
    <w:link w:val="CommentSubject"/>
    <w:rsid w:val="00691BE5"/>
    <w:rPr>
      <w:rFonts w:ascii="Gill Sans MT" w:eastAsia="Times New Roman" w:hAnsi="Gill Sans MT" w:cs="Times New Roman"/>
      <w:b/>
      <w:bCs/>
      <w:sz w:val="20"/>
      <w:szCs w:val="20"/>
      <w:lang w:eastAsia="en-AU"/>
    </w:rPr>
  </w:style>
  <w:style w:type="character" w:styleId="EndnoteReference">
    <w:name w:val="endnote reference"/>
    <w:rsid w:val="00691BE5"/>
    <w:rPr>
      <w:vertAlign w:val="superscript"/>
    </w:rPr>
  </w:style>
  <w:style w:type="paragraph" w:styleId="EndnoteText">
    <w:name w:val="endnote text"/>
    <w:basedOn w:val="Normal"/>
    <w:link w:val="EndnoteTextChar"/>
    <w:rsid w:val="00691BE5"/>
    <w:rPr>
      <w:sz w:val="20"/>
      <w:szCs w:val="20"/>
    </w:rPr>
  </w:style>
  <w:style w:type="character" w:customStyle="1" w:styleId="EndnoteTextChar">
    <w:name w:val="Endnote Text Char"/>
    <w:basedOn w:val="DefaultParagraphFont"/>
    <w:link w:val="EndnoteText"/>
    <w:rsid w:val="00691BE5"/>
    <w:rPr>
      <w:rFonts w:ascii="Gill Sans MT" w:eastAsia="Times New Roman" w:hAnsi="Gill Sans MT" w:cs="Times New Roman"/>
      <w:sz w:val="20"/>
      <w:szCs w:val="20"/>
    </w:rPr>
  </w:style>
  <w:style w:type="paragraph" w:styleId="Index1">
    <w:name w:val="index 1"/>
    <w:basedOn w:val="Normal"/>
    <w:next w:val="Normal"/>
    <w:autoRedefine/>
    <w:semiHidden/>
    <w:rsid w:val="00691BE5"/>
    <w:pPr>
      <w:tabs>
        <w:tab w:val="clear" w:pos="567"/>
      </w:tabs>
      <w:ind w:left="220" w:hanging="220"/>
    </w:pPr>
  </w:style>
  <w:style w:type="paragraph" w:styleId="Index2">
    <w:name w:val="index 2"/>
    <w:basedOn w:val="Normal"/>
    <w:next w:val="Normal"/>
    <w:autoRedefine/>
    <w:semiHidden/>
    <w:rsid w:val="00691BE5"/>
    <w:pPr>
      <w:tabs>
        <w:tab w:val="clear" w:pos="567"/>
      </w:tabs>
      <w:ind w:left="440" w:hanging="220"/>
    </w:pPr>
  </w:style>
  <w:style w:type="paragraph" w:styleId="Index3">
    <w:name w:val="index 3"/>
    <w:basedOn w:val="Normal"/>
    <w:next w:val="Normal"/>
    <w:autoRedefine/>
    <w:semiHidden/>
    <w:rsid w:val="00691BE5"/>
    <w:pPr>
      <w:tabs>
        <w:tab w:val="clear" w:pos="567"/>
      </w:tabs>
      <w:ind w:left="660" w:hanging="220"/>
    </w:pPr>
  </w:style>
  <w:style w:type="paragraph" w:styleId="Index4">
    <w:name w:val="index 4"/>
    <w:basedOn w:val="Normal"/>
    <w:next w:val="Normal"/>
    <w:autoRedefine/>
    <w:semiHidden/>
    <w:rsid w:val="00691BE5"/>
    <w:pPr>
      <w:tabs>
        <w:tab w:val="clear" w:pos="567"/>
      </w:tabs>
      <w:ind w:left="880" w:hanging="220"/>
    </w:pPr>
  </w:style>
  <w:style w:type="paragraph" w:styleId="Index5">
    <w:name w:val="index 5"/>
    <w:basedOn w:val="Normal"/>
    <w:next w:val="Normal"/>
    <w:autoRedefine/>
    <w:semiHidden/>
    <w:rsid w:val="00691BE5"/>
    <w:pPr>
      <w:tabs>
        <w:tab w:val="clear" w:pos="567"/>
      </w:tabs>
      <w:ind w:left="1100" w:hanging="220"/>
    </w:pPr>
  </w:style>
  <w:style w:type="paragraph" w:styleId="Index6">
    <w:name w:val="index 6"/>
    <w:basedOn w:val="Normal"/>
    <w:next w:val="Normal"/>
    <w:autoRedefine/>
    <w:semiHidden/>
    <w:rsid w:val="00691BE5"/>
    <w:pPr>
      <w:tabs>
        <w:tab w:val="clear" w:pos="567"/>
      </w:tabs>
      <w:ind w:left="1320" w:hanging="220"/>
    </w:pPr>
  </w:style>
  <w:style w:type="paragraph" w:styleId="Index7">
    <w:name w:val="index 7"/>
    <w:basedOn w:val="Normal"/>
    <w:next w:val="Normal"/>
    <w:autoRedefine/>
    <w:semiHidden/>
    <w:rsid w:val="00691BE5"/>
    <w:pPr>
      <w:tabs>
        <w:tab w:val="clear" w:pos="567"/>
      </w:tabs>
      <w:ind w:left="1540" w:hanging="220"/>
    </w:pPr>
  </w:style>
  <w:style w:type="paragraph" w:styleId="Index8">
    <w:name w:val="index 8"/>
    <w:basedOn w:val="Normal"/>
    <w:next w:val="Normal"/>
    <w:autoRedefine/>
    <w:semiHidden/>
    <w:rsid w:val="00691BE5"/>
    <w:pPr>
      <w:tabs>
        <w:tab w:val="clear" w:pos="567"/>
      </w:tabs>
      <w:ind w:left="1760" w:hanging="220"/>
    </w:pPr>
  </w:style>
  <w:style w:type="paragraph" w:styleId="Index9">
    <w:name w:val="index 9"/>
    <w:basedOn w:val="Normal"/>
    <w:next w:val="Normal"/>
    <w:autoRedefine/>
    <w:semiHidden/>
    <w:rsid w:val="00691BE5"/>
    <w:pPr>
      <w:tabs>
        <w:tab w:val="clear" w:pos="567"/>
      </w:tabs>
      <w:ind w:left="1980" w:hanging="220"/>
    </w:pPr>
  </w:style>
  <w:style w:type="paragraph" w:styleId="IndexHeading">
    <w:name w:val="index heading"/>
    <w:basedOn w:val="Normal"/>
    <w:next w:val="Index1"/>
    <w:semiHidden/>
    <w:rsid w:val="00691BE5"/>
    <w:rPr>
      <w:rFonts w:ascii="Arial" w:hAnsi="Arial" w:cs="Arial"/>
      <w:b/>
      <w:bCs/>
    </w:rPr>
  </w:style>
  <w:style w:type="paragraph" w:styleId="MacroText">
    <w:name w:val="macro"/>
    <w:link w:val="MacroTextChar"/>
    <w:semiHidden/>
    <w:rsid w:val="00691BE5"/>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91BE5"/>
    <w:rPr>
      <w:rFonts w:ascii="Courier New" w:eastAsia="Times New Roman" w:hAnsi="Courier New" w:cs="Courier New"/>
      <w:sz w:val="20"/>
      <w:szCs w:val="20"/>
    </w:rPr>
  </w:style>
  <w:style w:type="paragraph" w:styleId="TableofAuthorities">
    <w:name w:val="table of authorities"/>
    <w:basedOn w:val="Normal"/>
    <w:next w:val="Normal"/>
    <w:semiHidden/>
    <w:rsid w:val="00691BE5"/>
    <w:pPr>
      <w:tabs>
        <w:tab w:val="clear" w:pos="567"/>
      </w:tabs>
      <w:ind w:left="220" w:hanging="220"/>
    </w:pPr>
  </w:style>
  <w:style w:type="paragraph" w:styleId="TableofFigures">
    <w:name w:val="table of figures"/>
    <w:basedOn w:val="Normal"/>
    <w:next w:val="Normal"/>
    <w:semiHidden/>
    <w:rsid w:val="00691BE5"/>
    <w:pPr>
      <w:tabs>
        <w:tab w:val="clear" w:pos="567"/>
      </w:tabs>
    </w:pPr>
  </w:style>
  <w:style w:type="paragraph" w:styleId="TOAHeading">
    <w:name w:val="toa heading"/>
    <w:basedOn w:val="Normal"/>
    <w:next w:val="Normal"/>
    <w:semiHidden/>
    <w:rsid w:val="00691BE5"/>
    <w:pPr>
      <w:spacing w:before="120"/>
    </w:pPr>
    <w:rPr>
      <w:rFonts w:ascii="Arial" w:hAnsi="Arial" w:cs="Arial"/>
      <w:b/>
      <w:bCs/>
      <w:sz w:val="24"/>
      <w:szCs w:val="24"/>
    </w:rPr>
  </w:style>
  <w:style w:type="paragraph" w:styleId="TOC3">
    <w:name w:val="toc 3"/>
    <w:basedOn w:val="Normal"/>
    <w:next w:val="Normal"/>
    <w:autoRedefine/>
    <w:uiPriority w:val="39"/>
    <w:semiHidden/>
    <w:qFormat/>
    <w:rsid w:val="00691BE5"/>
    <w:pPr>
      <w:tabs>
        <w:tab w:val="clear" w:pos="567"/>
      </w:tabs>
      <w:ind w:left="440"/>
    </w:pPr>
  </w:style>
  <w:style w:type="paragraph" w:styleId="TOC4">
    <w:name w:val="toc 4"/>
    <w:basedOn w:val="Normal"/>
    <w:next w:val="Normal"/>
    <w:autoRedefine/>
    <w:semiHidden/>
    <w:rsid w:val="00691BE5"/>
    <w:pPr>
      <w:tabs>
        <w:tab w:val="clear" w:pos="567"/>
      </w:tabs>
      <w:ind w:left="660"/>
    </w:pPr>
  </w:style>
  <w:style w:type="paragraph" w:styleId="TOC5">
    <w:name w:val="toc 5"/>
    <w:basedOn w:val="Normal"/>
    <w:next w:val="Normal"/>
    <w:autoRedefine/>
    <w:semiHidden/>
    <w:rsid w:val="00691BE5"/>
    <w:pPr>
      <w:tabs>
        <w:tab w:val="clear" w:pos="567"/>
      </w:tabs>
      <w:ind w:left="880"/>
    </w:pPr>
  </w:style>
  <w:style w:type="paragraph" w:styleId="TOC6">
    <w:name w:val="toc 6"/>
    <w:basedOn w:val="Normal"/>
    <w:next w:val="Normal"/>
    <w:autoRedefine/>
    <w:semiHidden/>
    <w:rsid w:val="00691BE5"/>
    <w:pPr>
      <w:tabs>
        <w:tab w:val="clear" w:pos="567"/>
      </w:tabs>
      <w:ind w:left="1100"/>
    </w:pPr>
  </w:style>
  <w:style w:type="paragraph" w:styleId="TOC7">
    <w:name w:val="toc 7"/>
    <w:basedOn w:val="Normal"/>
    <w:next w:val="Normal"/>
    <w:autoRedefine/>
    <w:semiHidden/>
    <w:rsid w:val="00691BE5"/>
    <w:pPr>
      <w:tabs>
        <w:tab w:val="clear" w:pos="567"/>
      </w:tabs>
      <w:ind w:left="1320"/>
    </w:pPr>
  </w:style>
  <w:style w:type="paragraph" w:styleId="TOC8">
    <w:name w:val="toc 8"/>
    <w:basedOn w:val="Normal"/>
    <w:next w:val="Normal"/>
    <w:autoRedefine/>
    <w:semiHidden/>
    <w:rsid w:val="00691BE5"/>
    <w:pPr>
      <w:tabs>
        <w:tab w:val="clear" w:pos="567"/>
      </w:tabs>
      <w:ind w:left="1540"/>
    </w:pPr>
  </w:style>
  <w:style w:type="paragraph" w:styleId="TOC9">
    <w:name w:val="toc 9"/>
    <w:basedOn w:val="Normal"/>
    <w:next w:val="Normal"/>
    <w:autoRedefine/>
    <w:semiHidden/>
    <w:rsid w:val="00691BE5"/>
    <w:pPr>
      <w:tabs>
        <w:tab w:val="clear" w:pos="567"/>
      </w:tabs>
      <w:ind w:left="1760"/>
    </w:pPr>
  </w:style>
  <w:style w:type="numbering" w:styleId="111111">
    <w:name w:val="Outline List 2"/>
    <w:basedOn w:val="NoList"/>
    <w:semiHidden/>
    <w:rsid w:val="00691BE5"/>
    <w:pPr>
      <w:numPr>
        <w:numId w:val="26"/>
      </w:numPr>
    </w:pPr>
  </w:style>
  <w:style w:type="numbering" w:styleId="1ai">
    <w:name w:val="Outline List 1"/>
    <w:basedOn w:val="NoList"/>
    <w:semiHidden/>
    <w:rsid w:val="00691BE5"/>
    <w:pPr>
      <w:numPr>
        <w:numId w:val="27"/>
      </w:numPr>
    </w:pPr>
  </w:style>
  <w:style w:type="numbering" w:styleId="ArticleSection">
    <w:name w:val="Outline List 3"/>
    <w:basedOn w:val="NoList"/>
    <w:semiHidden/>
    <w:rsid w:val="00691BE5"/>
    <w:pPr>
      <w:numPr>
        <w:numId w:val="28"/>
      </w:numPr>
    </w:pPr>
  </w:style>
  <w:style w:type="character" w:styleId="HTMLAcronym">
    <w:name w:val="HTML Acronym"/>
    <w:basedOn w:val="DefaultParagraphFont"/>
    <w:semiHidden/>
    <w:rsid w:val="00691BE5"/>
  </w:style>
  <w:style w:type="paragraph" w:styleId="HTMLAddress">
    <w:name w:val="HTML Address"/>
    <w:basedOn w:val="Normal"/>
    <w:link w:val="HTMLAddressChar"/>
    <w:semiHidden/>
    <w:rsid w:val="00691BE5"/>
    <w:rPr>
      <w:i/>
      <w:iCs/>
    </w:rPr>
  </w:style>
  <w:style w:type="character" w:customStyle="1" w:styleId="HTMLAddressChar">
    <w:name w:val="HTML Address Char"/>
    <w:basedOn w:val="DefaultParagraphFont"/>
    <w:link w:val="HTMLAddress"/>
    <w:semiHidden/>
    <w:rsid w:val="00691BE5"/>
    <w:rPr>
      <w:rFonts w:ascii="Gill Sans MT" w:eastAsia="Times New Roman" w:hAnsi="Gill Sans MT" w:cs="Times New Roman"/>
      <w:i/>
      <w:iCs/>
    </w:rPr>
  </w:style>
  <w:style w:type="character" w:styleId="HTMLCite">
    <w:name w:val="HTML Cite"/>
    <w:semiHidden/>
    <w:rsid w:val="00691BE5"/>
    <w:rPr>
      <w:i/>
      <w:iCs/>
    </w:rPr>
  </w:style>
  <w:style w:type="character" w:styleId="HTMLCode">
    <w:name w:val="HTML Code"/>
    <w:semiHidden/>
    <w:rsid w:val="00691BE5"/>
    <w:rPr>
      <w:rFonts w:ascii="Courier New" w:hAnsi="Courier New" w:cs="Courier New"/>
      <w:sz w:val="20"/>
      <w:szCs w:val="20"/>
    </w:rPr>
  </w:style>
  <w:style w:type="character" w:styleId="HTMLDefinition">
    <w:name w:val="HTML Definition"/>
    <w:semiHidden/>
    <w:rsid w:val="00691BE5"/>
    <w:rPr>
      <w:i/>
      <w:iCs/>
    </w:rPr>
  </w:style>
  <w:style w:type="character" w:styleId="HTMLKeyboard">
    <w:name w:val="HTML Keyboard"/>
    <w:semiHidden/>
    <w:rsid w:val="00691BE5"/>
    <w:rPr>
      <w:rFonts w:ascii="Courier New" w:hAnsi="Courier New" w:cs="Courier New"/>
      <w:sz w:val="20"/>
      <w:szCs w:val="20"/>
    </w:rPr>
  </w:style>
  <w:style w:type="paragraph" w:styleId="HTMLPreformatted">
    <w:name w:val="HTML Preformatted"/>
    <w:basedOn w:val="Normal"/>
    <w:link w:val="HTMLPreformattedChar"/>
    <w:semiHidden/>
    <w:rsid w:val="00691BE5"/>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691BE5"/>
    <w:rPr>
      <w:rFonts w:ascii="Courier New" w:eastAsia="Times New Roman" w:hAnsi="Courier New" w:cs="Courier New"/>
      <w:sz w:val="20"/>
      <w:szCs w:val="20"/>
    </w:rPr>
  </w:style>
  <w:style w:type="character" w:styleId="HTMLSample">
    <w:name w:val="HTML Sample"/>
    <w:semiHidden/>
    <w:rsid w:val="00691BE5"/>
    <w:rPr>
      <w:rFonts w:ascii="Courier New" w:hAnsi="Courier New" w:cs="Courier New"/>
    </w:rPr>
  </w:style>
  <w:style w:type="character" w:styleId="HTMLTypewriter">
    <w:name w:val="HTML Typewriter"/>
    <w:semiHidden/>
    <w:rsid w:val="00691BE5"/>
    <w:rPr>
      <w:rFonts w:ascii="Courier New" w:hAnsi="Courier New" w:cs="Courier New"/>
      <w:sz w:val="20"/>
      <w:szCs w:val="20"/>
    </w:rPr>
  </w:style>
  <w:style w:type="character" w:styleId="HTMLVariable">
    <w:name w:val="HTML Variable"/>
    <w:semiHidden/>
    <w:rsid w:val="00691BE5"/>
    <w:rPr>
      <w:i/>
      <w:iCs/>
    </w:rPr>
  </w:style>
  <w:style w:type="paragraph" w:styleId="List">
    <w:name w:val="List"/>
    <w:basedOn w:val="Normal"/>
    <w:rsid w:val="00691BE5"/>
    <w:pPr>
      <w:ind w:left="283" w:hanging="283"/>
    </w:pPr>
  </w:style>
  <w:style w:type="paragraph" w:styleId="List3">
    <w:name w:val="List 3"/>
    <w:aliases w:val="Bullet 3"/>
    <w:basedOn w:val="Normal"/>
    <w:rsid w:val="00691BE5"/>
    <w:pPr>
      <w:ind w:left="849" w:hanging="283"/>
    </w:pPr>
  </w:style>
  <w:style w:type="paragraph" w:styleId="List4">
    <w:name w:val="List 4"/>
    <w:basedOn w:val="Normal"/>
    <w:rsid w:val="00691BE5"/>
    <w:pPr>
      <w:ind w:left="1132" w:hanging="283"/>
    </w:pPr>
  </w:style>
  <w:style w:type="paragraph" w:styleId="List5">
    <w:name w:val="List 5"/>
    <w:basedOn w:val="Normal"/>
    <w:semiHidden/>
    <w:rsid w:val="00691BE5"/>
    <w:pPr>
      <w:ind w:left="1415" w:hanging="283"/>
    </w:pPr>
  </w:style>
  <w:style w:type="paragraph" w:styleId="ListBullet">
    <w:name w:val="List Bullet"/>
    <w:basedOn w:val="BulletedListLevel1"/>
    <w:rsid w:val="00691BE5"/>
    <w:pPr>
      <w:numPr>
        <w:numId w:val="0"/>
      </w:numPr>
      <w:tabs>
        <w:tab w:val="num" w:pos="720"/>
      </w:tabs>
      <w:ind w:left="720" w:hanging="360"/>
    </w:pPr>
    <w:rPr>
      <w:rFonts w:ascii="GillSans Light" w:hAnsi="GillSans Light"/>
    </w:rPr>
  </w:style>
  <w:style w:type="paragraph" w:styleId="ListBullet2">
    <w:name w:val="List Bullet 2"/>
    <w:basedOn w:val="BulletedListLevel2"/>
    <w:semiHidden/>
    <w:rsid w:val="00691BE5"/>
    <w:rPr>
      <w:rFonts w:ascii="GillSans Light" w:hAnsi="GillSans Light"/>
    </w:rPr>
  </w:style>
  <w:style w:type="paragraph" w:styleId="ListBullet3">
    <w:name w:val="List Bullet 3"/>
    <w:basedOn w:val="Normal"/>
    <w:semiHidden/>
    <w:rsid w:val="00691BE5"/>
    <w:pPr>
      <w:numPr>
        <w:numId w:val="22"/>
      </w:numPr>
      <w:tabs>
        <w:tab w:val="clear" w:pos="567"/>
      </w:tabs>
    </w:pPr>
  </w:style>
  <w:style w:type="paragraph" w:styleId="ListBullet4">
    <w:name w:val="List Bullet 4"/>
    <w:basedOn w:val="BulletedIndentedafterNumber"/>
    <w:semiHidden/>
    <w:rsid w:val="00691BE5"/>
    <w:rPr>
      <w:rFonts w:ascii="GillSans Light" w:hAnsi="GillSans Light"/>
    </w:rPr>
  </w:style>
  <w:style w:type="paragraph" w:styleId="ListBullet5">
    <w:name w:val="List Bullet 5"/>
    <w:basedOn w:val="Normal"/>
    <w:semiHidden/>
    <w:rsid w:val="00691BE5"/>
    <w:pPr>
      <w:numPr>
        <w:numId w:val="15"/>
      </w:numPr>
    </w:pPr>
  </w:style>
  <w:style w:type="paragraph" w:styleId="ListContinue">
    <w:name w:val="List Continue"/>
    <w:basedOn w:val="Normal"/>
    <w:semiHidden/>
    <w:rsid w:val="00691BE5"/>
    <w:pPr>
      <w:spacing w:after="120"/>
      <w:ind w:left="283"/>
    </w:pPr>
  </w:style>
  <w:style w:type="paragraph" w:styleId="ListContinue2">
    <w:name w:val="List Continue 2"/>
    <w:basedOn w:val="Normal"/>
    <w:semiHidden/>
    <w:rsid w:val="00691BE5"/>
    <w:pPr>
      <w:spacing w:after="120"/>
      <w:ind w:left="566"/>
    </w:pPr>
  </w:style>
  <w:style w:type="paragraph" w:styleId="ListContinue3">
    <w:name w:val="List Continue 3"/>
    <w:aliases w:val="Number Heading 3"/>
    <w:basedOn w:val="Normal"/>
    <w:rsid w:val="00691BE5"/>
    <w:pPr>
      <w:spacing w:after="120"/>
      <w:ind w:left="849"/>
    </w:pPr>
  </w:style>
  <w:style w:type="paragraph" w:styleId="ListContinue4">
    <w:name w:val="List Continue 4"/>
    <w:basedOn w:val="Normal"/>
    <w:semiHidden/>
    <w:rsid w:val="00691BE5"/>
    <w:pPr>
      <w:spacing w:after="120"/>
      <w:ind w:left="1132"/>
    </w:pPr>
  </w:style>
  <w:style w:type="paragraph" w:styleId="ListContinue5">
    <w:name w:val="List Continue 5"/>
    <w:basedOn w:val="Normal"/>
    <w:semiHidden/>
    <w:rsid w:val="00691BE5"/>
    <w:pPr>
      <w:spacing w:after="120"/>
      <w:ind w:left="1415"/>
    </w:pPr>
  </w:style>
  <w:style w:type="paragraph" w:styleId="ListNumber">
    <w:name w:val="List Number"/>
    <w:basedOn w:val="Normal"/>
    <w:rsid w:val="00691BE5"/>
    <w:pPr>
      <w:numPr>
        <w:numId w:val="16"/>
      </w:numPr>
    </w:pPr>
  </w:style>
  <w:style w:type="paragraph" w:styleId="ListNumber3">
    <w:name w:val="List Number 3"/>
    <w:aliases w:val="Numbered Heading 2"/>
    <w:basedOn w:val="Normal"/>
    <w:rsid w:val="00691BE5"/>
    <w:pPr>
      <w:numPr>
        <w:numId w:val="17"/>
      </w:numPr>
    </w:pPr>
  </w:style>
  <w:style w:type="paragraph" w:styleId="ListNumber4">
    <w:name w:val="List Number 4"/>
    <w:aliases w:val="Numbered Heading 3"/>
    <w:basedOn w:val="Normal"/>
    <w:rsid w:val="00691BE5"/>
    <w:pPr>
      <w:numPr>
        <w:numId w:val="18"/>
      </w:numPr>
    </w:pPr>
  </w:style>
  <w:style w:type="paragraph" w:styleId="ListNumber5">
    <w:name w:val="List Number 5"/>
    <w:aliases w:val="Numbered Heading 4"/>
    <w:basedOn w:val="Normal"/>
    <w:rsid w:val="00691BE5"/>
    <w:pPr>
      <w:numPr>
        <w:numId w:val="19"/>
      </w:numPr>
    </w:pPr>
  </w:style>
  <w:style w:type="character" w:styleId="Strong">
    <w:name w:val="Strong"/>
    <w:uiPriority w:val="22"/>
    <w:qFormat/>
    <w:rsid w:val="00691BE5"/>
    <w:rPr>
      <w:b/>
      <w:bCs/>
    </w:rPr>
  </w:style>
  <w:style w:type="table" w:styleId="Table3Deffects1">
    <w:name w:val="Table 3D effects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91BE5"/>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91BE5"/>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91BE5"/>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91BE5"/>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Heading1"/>
    <w:rsid w:val="00691BE5"/>
    <w:pPr>
      <w:widowControl w:val="0"/>
      <w:tabs>
        <w:tab w:val="clear" w:pos="567"/>
      </w:tabs>
      <w:spacing w:before="0" w:after="140"/>
    </w:pPr>
    <w:rPr>
      <w:rFonts w:eastAsia="Times New Roman" w:cs="Times New Roman"/>
      <w:kern w:val="32"/>
      <w:sz w:val="48"/>
      <w:szCs w:val="32"/>
      <w:lang w:bidi="en-US"/>
    </w:rPr>
  </w:style>
  <w:style w:type="paragraph" w:customStyle="1" w:styleId="Style2">
    <w:name w:val="Style2"/>
    <w:basedOn w:val="Normal"/>
    <w:rsid w:val="00691BE5"/>
    <w:pPr>
      <w:keepLines/>
      <w:widowControl w:val="0"/>
      <w:tabs>
        <w:tab w:val="clear" w:pos="567"/>
      </w:tabs>
    </w:pPr>
    <w:rPr>
      <w:szCs w:val="24"/>
      <w:lang w:bidi="en-US"/>
    </w:rPr>
  </w:style>
  <w:style w:type="paragraph" w:styleId="NoSpacing">
    <w:name w:val="No Spacing"/>
    <w:basedOn w:val="Normal"/>
    <w:uiPriority w:val="1"/>
    <w:qFormat/>
    <w:rsid w:val="00691BE5"/>
    <w:pPr>
      <w:keepLines/>
      <w:widowControl w:val="0"/>
      <w:tabs>
        <w:tab w:val="clear" w:pos="567"/>
      </w:tabs>
    </w:pPr>
    <w:rPr>
      <w:szCs w:val="32"/>
      <w:lang w:bidi="en-US"/>
    </w:rPr>
  </w:style>
  <w:style w:type="paragraph" w:styleId="ListParagraph">
    <w:name w:val="List Paragraph"/>
    <w:basedOn w:val="Normal"/>
    <w:uiPriority w:val="34"/>
    <w:qFormat/>
    <w:rsid w:val="00691BE5"/>
    <w:pPr>
      <w:keepLines/>
      <w:widowControl w:val="0"/>
      <w:tabs>
        <w:tab w:val="clear" w:pos="567"/>
      </w:tabs>
      <w:ind w:left="720"/>
      <w:contextualSpacing/>
    </w:pPr>
    <w:rPr>
      <w:szCs w:val="24"/>
      <w:lang w:bidi="en-US"/>
    </w:rPr>
  </w:style>
  <w:style w:type="paragraph" w:styleId="Quote">
    <w:name w:val="Quote"/>
    <w:basedOn w:val="Normal"/>
    <w:next w:val="Normal"/>
    <w:link w:val="QuoteChar"/>
    <w:uiPriority w:val="29"/>
    <w:qFormat/>
    <w:rsid w:val="00691BE5"/>
    <w:pPr>
      <w:keepLines/>
      <w:widowControl w:val="0"/>
      <w:tabs>
        <w:tab w:val="clear" w:pos="567"/>
      </w:tabs>
    </w:pPr>
    <w:rPr>
      <w:i/>
      <w:szCs w:val="24"/>
      <w:lang w:bidi="en-US"/>
    </w:rPr>
  </w:style>
  <w:style w:type="character" w:customStyle="1" w:styleId="QuoteChar">
    <w:name w:val="Quote Char"/>
    <w:basedOn w:val="DefaultParagraphFont"/>
    <w:link w:val="Quote"/>
    <w:uiPriority w:val="29"/>
    <w:rsid w:val="00691BE5"/>
    <w:rPr>
      <w:rFonts w:ascii="Gill Sans MT" w:eastAsia="Times New Roman" w:hAnsi="Gill Sans MT" w:cs="Times New Roman"/>
      <w:i/>
      <w:szCs w:val="24"/>
      <w:lang w:bidi="en-US"/>
    </w:rPr>
  </w:style>
  <w:style w:type="paragraph" w:styleId="IntenseQuote">
    <w:name w:val="Intense Quote"/>
    <w:basedOn w:val="Normal"/>
    <w:next w:val="Normal"/>
    <w:link w:val="IntenseQuoteChar"/>
    <w:uiPriority w:val="30"/>
    <w:qFormat/>
    <w:rsid w:val="00691BE5"/>
    <w:pPr>
      <w:keepLines/>
      <w:widowControl w:val="0"/>
      <w:tabs>
        <w:tab w:val="clear" w:pos="567"/>
      </w:tabs>
      <w:ind w:left="720" w:right="720"/>
    </w:pPr>
    <w:rPr>
      <w:b/>
      <w:i/>
      <w:lang w:bidi="en-US"/>
    </w:rPr>
  </w:style>
  <w:style w:type="character" w:customStyle="1" w:styleId="IntenseQuoteChar">
    <w:name w:val="Intense Quote Char"/>
    <w:basedOn w:val="DefaultParagraphFont"/>
    <w:link w:val="IntenseQuote"/>
    <w:uiPriority w:val="30"/>
    <w:rsid w:val="00691BE5"/>
    <w:rPr>
      <w:rFonts w:ascii="Gill Sans MT" w:eastAsia="Times New Roman" w:hAnsi="Gill Sans MT" w:cs="Times New Roman"/>
      <w:b/>
      <w:i/>
      <w:lang w:bidi="en-US"/>
    </w:rPr>
  </w:style>
  <w:style w:type="character" w:styleId="SubtleEmphasis">
    <w:name w:val="Subtle Emphasis"/>
    <w:uiPriority w:val="19"/>
    <w:qFormat/>
    <w:rsid w:val="00691BE5"/>
    <w:rPr>
      <w:i/>
      <w:color w:val="5A5A5A"/>
    </w:rPr>
  </w:style>
  <w:style w:type="character" w:styleId="IntenseEmphasis">
    <w:name w:val="Intense Emphasis"/>
    <w:uiPriority w:val="21"/>
    <w:qFormat/>
    <w:rsid w:val="00691BE5"/>
    <w:rPr>
      <w:b/>
      <w:i/>
      <w:sz w:val="24"/>
      <w:szCs w:val="24"/>
      <w:u w:val="single"/>
    </w:rPr>
  </w:style>
  <w:style w:type="character" w:styleId="SubtleReference">
    <w:name w:val="Subtle Reference"/>
    <w:uiPriority w:val="31"/>
    <w:qFormat/>
    <w:rsid w:val="00691BE5"/>
    <w:rPr>
      <w:sz w:val="24"/>
      <w:szCs w:val="24"/>
      <w:u w:val="single"/>
    </w:rPr>
  </w:style>
  <w:style w:type="character" w:styleId="IntenseReference">
    <w:name w:val="Intense Reference"/>
    <w:uiPriority w:val="32"/>
    <w:qFormat/>
    <w:rsid w:val="00691BE5"/>
    <w:rPr>
      <w:b/>
      <w:sz w:val="24"/>
      <w:u w:val="single"/>
    </w:rPr>
  </w:style>
  <w:style w:type="character" w:styleId="BookTitle">
    <w:name w:val="Book Title"/>
    <w:uiPriority w:val="33"/>
    <w:qFormat/>
    <w:rsid w:val="00691BE5"/>
    <w:rPr>
      <w:rFonts w:ascii="Cambria" w:eastAsia="Times New Roman" w:hAnsi="Cambria"/>
      <w:b/>
      <w:i/>
      <w:sz w:val="24"/>
      <w:szCs w:val="24"/>
    </w:rPr>
  </w:style>
  <w:style w:type="paragraph" w:styleId="TOCHeading">
    <w:name w:val="TOC Heading"/>
    <w:basedOn w:val="Heading1"/>
    <w:next w:val="Normal"/>
    <w:uiPriority w:val="39"/>
    <w:qFormat/>
    <w:rsid w:val="00691BE5"/>
    <w:pPr>
      <w:widowControl w:val="0"/>
      <w:tabs>
        <w:tab w:val="clear" w:pos="567"/>
      </w:tabs>
      <w:spacing w:before="0" w:after="140"/>
      <w:outlineLvl w:val="9"/>
    </w:pPr>
    <w:rPr>
      <w:rFonts w:eastAsia="Times New Roman" w:cs="Times New Roman"/>
      <w:kern w:val="32"/>
      <w:szCs w:val="32"/>
      <w:lang w:bidi="en-US"/>
    </w:rPr>
  </w:style>
  <w:style w:type="character" w:customStyle="1" w:styleId="List2Char">
    <w:name w:val="List 2 Char"/>
    <w:aliases w:val="Bullet 2 Char"/>
    <w:link w:val="List2"/>
    <w:rsid w:val="00691BE5"/>
    <w:rPr>
      <w:rFonts w:ascii="Gill Sans MT" w:eastAsia="Times New Roman" w:hAnsi="Gill Sans MT" w:cs="Times New Roman"/>
    </w:rPr>
  </w:style>
  <w:style w:type="paragraph" w:customStyle="1" w:styleId="Bullet1">
    <w:name w:val="Bullet 1"/>
    <w:basedOn w:val="List2"/>
    <w:link w:val="Bullet1Char"/>
    <w:autoRedefine/>
    <w:qFormat/>
    <w:rsid w:val="00CB41D0"/>
    <w:pPr>
      <w:keepLines/>
      <w:widowControl w:val="0"/>
      <w:numPr>
        <w:numId w:val="42"/>
      </w:numPr>
      <w:tabs>
        <w:tab w:val="left" w:pos="1134"/>
      </w:tabs>
      <w:contextualSpacing w:val="0"/>
    </w:pPr>
    <w:rPr>
      <w:szCs w:val="52"/>
      <w:lang w:bidi="en-US"/>
    </w:rPr>
  </w:style>
  <w:style w:type="character" w:customStyle="1" w:styleId="Bullet1Char">
    <w:name w:val="Bullet 1 Char"/>
    <w:link w:val="Bullet1"/>
    <w:rsid w:val="00CB41D0"/>
    <w:rPr>
      <w:rFonts w:ascii="GillSans Light" w:eastAsia="Times New Roman" w:hAnsi="GillSans Light" w:cs="Times New Roman"/>
      <w:szCs w:val="52"/>
      <w:lang w:bidi="en-US"/>
    </w:rPr>
  </w:style>
  <w:style w:type="paragraph" w:customStyle="1" w:styleId="xl84">
    <w:name w:val="xl84"/>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5">
    <w:name w:val="xl85"/>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86">
    <w:name w:val="xl86"/>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7">
    <w:name w:val="xl87"/>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88">
    <w:name w:val="xl88"/>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89">
    <w:name w:val="xl89"/>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0">
    <w:name w:val="xl90"/>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1">
    <w:name w:val="xl91"/>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2">
    <w:name w:val="xl92"/>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3">
    <w:name w:val="xl93"/>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4">
    <w:name w:val="xl94"/>
    <w:basedOn w:val="Normal"/>
    <w:rsid w:val="00691BE5"/>
    <w:pPr>
      <w:tabs>
        <w:tab w:val="clear" w:pos="567"/>
      </w:tabs>
      <w:spacing w:before="100" w:beforeAutospacing="1" w:after="100" w:afterAutospacing="1" w:line="240" w:lineRule="auto"/>
    </w:pPr>
    <w:rPr>
      <w:sz w:val="24"/>
      <w:szCs w:val="24"/>
      <w:lang w:eastAsia="en-AU"/>
    </w:rPr>
  </w:style>
  <w:style w:type="paragraph" w:customStyle="1" w:styleId="xl95">
    <w:name w:val="xl95"/>
    <w:basedOn w:val="Normal"/>
    <w:rsid w:val="00691BE5"/>
    <w:pPr>
      <w:tabs>
        <w:tab w:val="clear" w:pos="567"/>
      </w:tabs>
      <w:spacing w:before="100" w:beforeAutospacing="1" w:after="100" w:afterAutospacing="1" w:line="240" w:lineRule="auto"/>
    </w:pPr>
    <w:rPr>
      <w:b/>
      <w:bCs/>
      <w:sz w:val="24"/>
      <w:szCs w:val="24"/>
      <w:lang w:eastAsia="en-AU"/>
    </w:rPr>
  </w:style>
  <w:style w:type="paragraph" w:customStyle="1" w:styleId="xl96">
    <w:name w:val="xl96"/>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7">
    <w:name w:val="xl97"/>
    <w:basedOn w:val="Normal"/>
    <w:rsid w:val="00691BE5"/>
    <w:pPr>
      <w:shd w:val="clear" w:color="000000" w:fill="FFFFFF"/>
      <w:tabs>
        <w:tab w:val="clear" w:pos="567"/>
      </w:tabs>
      <w:spacing w:before="100" w:beforeAutospacing="1" w:after="100" w:afterAutospacing="1" w:line="240" w:lineRule="auto"/>
    </w:pPr>
    <w:rPr>
      <w:sz w:val="24"/>
      <w:szCs w:val="24"/>
      <w:lang w:eastAsia="en-AU"/>
    </w:rPr>
  </w:style>
  <w:style w:type="paragraph" w:customStyle="1" w:styleId="xl98">
    <w:name w:val="xl98"/>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99">
    <w:name w:val="xl99"/>
    <w:basedOn w:val="Normal"/>
    <w:rsid w:val="00691BE5"/>
    <w:pPr>
      <w:shd w:val="clear" w:color="000000" w:fill="FFFFFF"/>
      <w:tabs>
        <w:tab w:val="clear" w:pos="567"/>
      </w:tabs>
      <w:spacing w:before="100" w:beforeAutospacing="1" w:after="100" w:afterAutospacing="1" w:line="240" w:lineRule="auto"/>
    </w:pPr>
    <w:rPr>
      <w:b/>
      <w:bCs/>
      <w:sz w:val="24"/>
      <w:szCs w:val="24"/>
      <w:lang w:eastAsia="en-AU"/>
    </w:rPr>
  </w:style>
  <w:style w:type="paragraph" w:customStyle="1" w:styleId="xl100">
    <w:name w:val="xl100"/>
    <w:basedOn w:val="Normal"/>
    <w:rsid w:val="00691BE5"/>
    <w:pPr>
      <w:tabs>
        <w:tab w:val="clear" w:pos="567"/>
      </w:tabs>
      <w:spacing w:before="100" w:beforeAutospacing="1" w:after="100" w:afterAutospacing="1" w:line="240" w:lineRule="auto"/>
      <w:jc w:val="center"/>
    </w:pPr>
    <w:rPr>
      <w:b/>
      <w:bCs/>
      <w:sz w:val="24"/>
      <w:szCs w:val="24"/>
      <w:lang w:eastAsia="en-AU"/>
    </w:rPr>
  </w:style>
  <w:style w:type="character" w:customStyle="1" w:styleId="jrnl">
    <w:name w:val="jrnl"/>
    <w:rsid w:val="00691BE5"/>
  </w:style>
  <w:style w:type="character" w:customStyle="1" w:styleId="A1">
    <w:name w:val="A1"/>
    <w:uiPriority w:val="99"/>
    <w:rsid w:val="00691BE5"/>
    <w:rPr>
      <w:color w:val="221E1F"/>
      <w:sz w:val="16"/>
      <w:szCs w:val="16"/>
    </w:rPr>
  </w:style>
  <w:style w:type="character" w:customStyle="1" w:styleId="A6">
    <w:name w:val="A6"/>
    <w:uiPriority w:val="99"/>
    <w:rsid w:val="00691BE5"/>
    <w:rPr>
      <w:color w:val="221E1F"/>
      <w:sz w:val="14"/>
      <w:szCs w:val="14"/>
    </w:rPr>
  </w:style>
  <w:style w:type="character" w:customStyle="1" w:styleId="A5">
    <w:name w:val="A5"/>
    <w:uiPriority w:val="99"/>
    <w:rsid w:val="00691BE5"/>
    <w:rPr>
      <w:color w:val="221E1F"/>
      <w:sz w:val="14"/>
      <w:szCs w:val="14"/>
    </w:rPr>
  </w:style>
  <w:style w:type="character" w:customStyle="1" w:styleId="citation-abbreviation">
    <w:name w:val="citation-abbreviation"/>
    <w:rsid w:val="00691BE5"/>
  </w:style>
  <w:style w:type="character" w:customStyle="1" w:styleId="citation-publication-date">
    <w:name w:val="citation-publication-date"/>
    <w:rsid w:val="00691BE5"/>
  </w:style>
  <w:style w:type="character" w:customStyle="1" w:styleId="citation-volume">
    <w:name w:val="citation-volume"/>
    <w:rsid w:val="00691BE5"/>
  </w:style>
  <w:style w:type="character" w:customStyle="1" w:styleId="citation-flpages">
    <w:name w:val="citation-flpages"/>
    <w:rsid w:val="00691BE5"/>
  </w:style>
  <w:style w:type="character" w:customStyle="1" w:styleId="st1">
    <w:name w:val="st1"/>
    <w:rsid w:val="00691BE5"/>
  </w:style>
  <w:style w:type="paragraph" w:customStyle="1" w:styleId="xl80">
    <w:name w:val="xl80"/>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paragraph" w:customStyle="1" w:styleId="xl81">
    <w:name w:val="xl81"/>
    <w:basedOn w:val="Normal"/>
    <w:rsid w:val="00691BE5"/>
    <w:pPr>
      <w:shd w:val="clear" w:color="000000" w:fill="FFFFFF"/>
      <w:tabs>
        <w:tab w:val="clear" w:pos="567"/>
      </w:tabs>
      <w:spacing w:before="100" w:beforeAutospacing="1" w:after="100" w:afterAutospacing="1" w:line="240" w:lineRule="auto"/>
      <w:textAlignment w:val="center"/>
    </w:pPr>
    <w:rPr>
      <w:b/>
      <w:bCs/>
      <w:color w:val="000000"/>
      <w:sz w:val="18"/>
      <w:szCs w:val="18"/>
      <w:lang w:eastAsia="en-AU"/>
    </w:rPr>
  </w:style>
  <w:style w:type="paragraph" w:customStyle="1" w:styleId="xl82">
    <w:name w:val="xl82"/>
    <w:basedOn w:val="Normal"/>
    <w:rsid w:val="00691BE5"/>
    <w:pPr>
      <w:shd w:val="clear" w:color="000000" w:fill="FFFFFF"/>
      <w:tabs>
        <w:tab w:val="clear" w:pos="567"/>
      </w:tabs>
      <w:spacing w:before="100" w:beforeAutospacing="1" w:after="100" w:afterAutospacing="1" w:line="240" w:lineRule="auto"/>
      <w:jc w:val="right"/>
      <w:textAlignment w:val="center"/>
    </w:pPr>
    <w:rPr>
      <w:b/>
      <w:bCs/>
      <w:color w:val="000000"/>
      <w:sz w:val="18"/>
      <w:szCs w:val="18"/>
      <w:lang w:eastAsia="en-AU"/>
    </w:rPr>
  </w:style>
  <w:style w:type="paragraph" w:customStyle="1" w:styleId="xl83">
    <w:name w:val="xl83"/>
    <w:basedOn w:val="Normal"/>
    <w:rsid w:val="00691BE5"/>
    <w:pPr>
      <w:tabs>
        <w:tab w:val="clear" w:pos="567"/>
      </w:tabs>
      <w:spacing w:before="100" w:beforeAutospacing="1" w:after="100" w:afterAutospacing="1" w:line="240" w:lineRule="auto"/>
      <w:textAlignment w:val="bottom"/>
    </w:pPr>
    <w:rPr>
      <w:color w:val="000000"/>
      <w:sz w:val="18"/>
      <w:szCs w:val="18"/>
      <w:lang w:eastAsia="en-AU"/>
    </w:rPr>
  </w:style>
  <w:style w:type="numbering" w:customStyle="1" w:styleId="NoList1">
    <w:name w:val="No List1"/>
    <w:next w:val="NoList"/>
    <w:uiPriority w:val="99"/>
    <w:semiHidden/>
    <w:unhideWhenUsed/>
    <w:rsid w:val="00691BE5"/>
  </w:style>
  <w:style w:type="paragraph" w:customStyle="1" w:styleId="Default">
    <w:name w:val="Default"/>
    <w:rsid w:val="00691BE5"/>
    <w:pPr>
      <w:autoSpaceDE w:val="0"/>
      <w:autoSpaceDN w:val="0"/>
      <w:adjustRightInd w:val="0"/>
      <w:spacing w:after="0" w:line="240" w:lineRule="auto"/>
    </w:pPr>
    <w:rPr>
      <w:rFonts w:ascii="Gill Sans MT" w:eastAsia="Times New Roman" w:hAnsi="Gill Sans MT" w:cs="Gill Sans MT"/>
      <w:color w:val="000000"/>
      <w:sz w:val="24"/>
      <w:szCs w:val="24"/>
      <w:lang w:eastAsia="en-AU"/>
    </w:rPr>
  </w:style>
  <w:style w:type="paragraph" w:customStyle="1" w:styleId="Table-AnnualReport">
    <w:name w:val="Table - Annual Report"/>
    <w:basedOn w:val="Normal"/>
    <w:link w:val="Table-AnnualReportChar"/>
    <w:qFormat/>
    <w:rsid w:val="00C92920"/>
    <w:pPr>
      <w:spacing w:after="60"/>
      <w:ind w:right="-46"/>
    </w:pPr>
    <w:rPr>
      <w:sz w:val="18"/>
      <w:szCs w:val="17"/>
      <w:lang w:eastAsia="en-AU"/>
    </w:rPr>
  </w:style>
  <w:style w:type="character" w:customStyle="1" w:styleId="Table-AnnualReportChar">
    <w:name w:val="Table - Annual Report Char"/>
    <w:basedOn w:val="DefaultParagraphFont"/>
    <w:link w:val="Table-AnnualReport"/>
    <w:rsid w:val="00C92920"/>
    <w:rPr>
      <w:rFonts w:ascii="Gill Sans MT" w:eastAsia="Times New Roman" w:hAnsi="Gill Sans MT" w:cs="Times New Roman"/>
      <w:sz w:val="18"/>
      <w:szCs w:val="17"/>
      <w:lang w:eastAsia="en-AU"/>
    </w:rPr>
  </w:style>
  <w:style w:type="paragraph" w:customStyle="1" w:styleId="SDText">
    <w:name w:val="SD Text"/>
    <w:uiPriority w:val="99"/>
    <w:rsid w:val="0074113B"/>
    <w:pPr>
      <w:widowControl w:val="0"/>
      <w:autoSpaceDE w:val="0"/>
      <w:autoSpaceDN w:val="0"/>
      <w:adjustRightInd w:val="0"/>
      <w:spacing w:before="289" w:after="0" w:line="240" w:lineRule="auto"/>
      <w:jc w:val="both"/>
    </w:pPr>
    <w:rPr>
      <w:rFonts w:ascii="Arial" w:eastAsiaTheme="minorEastAsia" w:hAnsi="Arial" w:cs="Arial"/>
      <w:color w:val="000000"/>
      <w:sz w:val="20"/>
      <w:szCs w:val="20"/>
      <w:lang w:eastAsia="en-AU"/>
    </w:rPr>
  </w:style>
  <w:style w:type="paragraph" w:customStyle="1" w:styleId="SDTextInd">
    <w:name w:val="SD Text Ind"/>
    <w:uiPriority w:val="99"/>
    <w:rsid w:val="0074113B"/>
    <w:pPr>
      <w:widowControl w:val="0"/>
      <w:tabs>
        <w:tab w:val="left" w:pos="396"/>
      </w:tabs>
      <w:autoSpaceDE w:val="0"/>
      <w:autoSpaceDN w:val="0"/>
      <w:adjustRightInd w:val="0"/>
      <w:spacing w:after="0" w:line="240" w:lineRule="auto"/>
      <w:ind w:left="396" w:hanging="396"/>
    </w:pPr>
    <w:rPr>
      <w:rFonts w:ascii="Arial" w:eastAsiaTheme="minorEastAsia" w:hAnsi="Arial" w:cs="Arial"/>
      <w:color w:val="000000"/>
      <w:sz w:val="20"/>
      <w:szCs w:val="20"/>
      <w:lang w:eastAsia="en-AU"/>
    </w:rPr>
  </w:style>
  <w:style w:type="paragraph" w:customStyle="1" w:styleId="ISCPAYCHd">
    <w:name w:val="IS C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CPPYCHd">
    <w:name w:val="IS C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ISDesc">
    <w:name w:val="IS Desc"/>
    <w:uiPriority w:val="99"/>
    <w:rsid w:val="0074113B"/>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ISDescS">
    <w:name w:val="IS Desc S"/>
    <w:uiPriority w:val="99"/>
    <w:rsid w:val="0074113B"/>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ISDescTi">
    <w:name w:val="IS Desc Ti"/>
    <w:uiPriority w:val="99"/>
    <w:rsid w:val="0074113B"/>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ISNoteNo">
    <w:name w:val="IS NoteNo"/>
    <w:uiPriority w:val="99"/>
    <w:rsid w:val="0074113B"/>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ISPAY">
    <w:name w:val="IS P# A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AYCHd">
    <w:name w:val="IS P# A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AYS">
    <w:name w:val="IS P# A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ISPPY">
    <w:name w:val="IS P# PY"/>
    <w:uiPriority w:val="99"/>
    <w:rsid w:val="0074113B"/>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ISPPYCHd">
    <w:name w:val="IS P# PY CHd"/>
    <w:uiPriority w:val="99"/>
    <w:rsid w:val="0074113B"/>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ISPPYS">
    <w:name w:val="IS P# PY S"/>
    <w:uiPriority w:val="99"/>
    <w:rsid w:val="0074113B"/>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CPAYCHd">
    <w:name w:val="BS CP AY CHd"/>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CPPYCHd">
    <w:name w:val="BS C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BSDesc">
    <w:name w:val="BS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BSDescS">
    <w:name w:val="BS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
    <w:name w:val="BS Desc T"/>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BSDescTi">
    <w:name w:val="BS Desc Ti"/>
    <w:uiPriority w:val="99"/>
    <w:rsid w:val="00967C1E"/>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BSNoteNo">
    <w:name w:val="BS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BSNoteNoCHd">
    <w:name w:val="BS NoteNo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
    <w:name w:val="BS P#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AYCHd">
    <w:name w:val="BS P#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AYS">
    <w:name w:val="BS P#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AYT">
    <w:name w:val="BS P# A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
    <w:name w:val="BS P#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BSPPYCHd">
    <w:name w:val="BS P#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BSPPYS">
    <w:name w:val="BS P#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BSPPYT">
    <w:name w:val="BS P# PY T"/>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SEQCPCl04AYCHd">
    <w:name w:val="SEQ C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AYCHd">
    <w:name w:val="SEQ C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Desc">
    <w:name w:val="SEQ Desc"/>
    <w:uiPriority w:val="99"/>
    <w:rsid w:val="00967C1E"/>
    <w:pPr>
      <w:widowControl w:val="0"/>
      <w:autoSpaceDE w:val="0"/>
      <w:autoSpaceDN w:val="0"/>
      <w:adjustRightInd w:val="0"/>
      <w:spacing w:before="28" w:after="28" w:line="240" w:lineRule="auto"/>
      <w:ind w:left="141" w:hanging="141"/>
    </w:pPr>
    <w:rPr>
      <w:rFonts w:ascii="Arial" w:eastAsiaTheme="minorEastAsia" w:hAnsi="Arial" w:cs="Arial"/>
      <w:color w:val="000000"/>
      <w:sz w:val="18"/>
      <w:szCs w:val="18"/>
      <w:lang w:eastAsia="en-AU"/>
    </w:rPr>
  </w:style>
  <w:style w:type="paragraph" w:customStyle="1" w:styleId="SEQDescCHd2">
    <w:name w:val="SEQ Desc CHd2"/>
    <w:uiPriority w:val="99"/>
    <w:rsid w:val="00967C1E"/>
    <w:pPr>
      <w:widowControl w:val="0"/>
      <w:autoSpaceDE w:val="0"/>
      <w:autoSpaceDN w:val="0"/>
      <w:adjustRightInd w:val="0"/>
      <w:spacing w:before="34" w:after="34" w:line="239" w:lineRule="exact"/>
    </w:pPr>
    <w:rPr>
      <w:rFonts w:ascii="Arial" w:eastAsiaTheme="minorEastAsia" w:hAnsi="Arial" w:cs="Arial"/>
      <w:b/>
      <w:bCs/>
      <w:color w:val="000080"/>
      <w:sz w:val="18"/>
      <w:szCs w:val="18"/>
      <w:lang w:eastAsia="en-AU"/>
    </w:rPr>
  </w:style>
  <w:style w:type="paragraph" w:customStyle="1" w:styleId="SEQDescColHead">
    <w:name w:val="SEQ Desc ColHead"/>
    <w:uiPriority w:val="99"/>
    <w:rsid w:val="00967C1E"/>
    <w:pPr>
      <w:widowControl w:val="0"/>
      <w:autoSpaceDE w:val="0"/>
      <w:autoSpaceDN w:val="0"/>
      <w:adjustRightInd w:val="0"/>
      <w:spacing w:before="34" w:after="34" w:line="240" w:lineRule="auto"/>
    </w:pPr>
    <w:rPr>
      <w:rFonts w:ascii="Arial" w:eastAsiaTheme="minorEastAsia" w:hAnsi="Arial" w:cs="Arial"/>
      <w:b/>
      <w:bCs/>
      <w:color w:val="000000"/>
      <w:sz w:val="18"/>
      <w:szCs w:val="18"/>
      <w:lang w:eastAsia="en-AU"/>
    </w:rPr>
  </w:style>
  <w:style w:type="paragraph" w:customStyle="1" w:styleId="SEQDescS">
    <w:name w:val="SEQ Desc S"/>
    <w:uiPriority w:val="99"/>
    <w:rsid w:val="00967C1E"/>
    <w:pPr>
      <w:widowControl w:val="0"/>
      <w:autoSpaceDE w:val="0"/>
      <w:autoSpaceDN w:val="0"/>
      <w:adjustRightInd w:val="0"/>
      <w:spacing w:before="113" w:after="0" w:line="240" w:lineRule="auto"/>
      <w:ind w:left="141" w:hanging="141"/>
    </w:pPr>
    <w:rPr>
      <w:rFonts w:ascii="Arial" w:eastAsiaTheme="minorEastAsia" w:hAnsi="Arial" w:cs="Arial"/>
      <w:b/>
      <w:bCs/>
      <w:color w:val="000080"/>
      <w:sz w:val="18"/>
      <w:szCs w:val="18"/>
      <w:lang w:eastAsia="en-AU"/>
    </w:rPr>
  </w:style>
  <w:style w:type="paragraph" w:customStyle="1" w:styleId="SEQNoteNo">
    <w:name w:val="SEQ NoteNo"/>
    <w:uiPriority w:val="99"/>
    <w:rsid w:val="00967C1E"/>
    <w:pPr>
      <w:widowControl w:val="0"/>
      <w:autoSpaceDE w:val="0"/>
      <w:autoSpaceDN w:val="0"/>
      <w:adjustRightInd w:val="0"/>
      <w:spacing w:before="28" w:after="28" w:line="240" w:lineRule="auto"/>
      <w:jc w:val="center"/>
    </w:pPr>
    <w:rPr>
      <w:rFonts w:ascii="Arial" w:eastAsiaTheme="minorEastAsia" w:hAnsi="Arial" w:cs="Arial"/>
      <w:color w:val="000000"/>
      <w:sz w:val="18"/>
      <w:szCs w:val="18"/>
      <w:lang w:eastAsia="en-AU"/>
    </w:rPr>
  </w:style>
  <w:style w:type="paragraph" w:customStyle="1" w:styleId="SEQPCl04AY">
    <w:name w:val="SEQ P# Cl04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AYCHd">
    <w:name w:val="SEQ P# Cl04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AYS">
    <w:name w:val="SEQ P# Cl04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AY">
    <w:name w:val="SEQ P# Cl15 A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AYCHd">
    <w:name w:val="SEQ P# Cl15 A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AYS">
    <w:name w:val="SEQ P# Cl15 A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CPCl04PYCHd">
    <w:name w:val="SEQ C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CPCl15PYCHd">
    <w:name w:val="SEQ C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6"/>
      <w:szCs w:val="16"/>
      <w:lang w:eastAsia="en-AU"/>
    </w:rPr>
  </w:style>
  <w:style w:type="paragraph" w:customStyle="1" w:styleId="SEQPCl04PY">
    <w:name w:val="SEQ P# Cl04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04PYCHd">
    <w:name w:val="SEQ P# Cl04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04PYS">
    <w:name w:val="SEQ P# Cl04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SEQPCl15PY">
    <w:name w:val="SEQ P# Cl15 PY"/>
    <w:uiPriority w:val="99"/>
    <w:rsid w:val="00967C1E"/>
    <w:pPr>
      <w:widowControl w:val="0"/>
      <w:autoSpaceDE w:val="0"/>
      <w:autoSpaceDN w:val="0"/>
      <w:adjustRightInd w:val="0"/>
      <w:spacing w:before="28" w:after="28" w:line="240" w:lineRule="auto"/>
      <w:jc w:val="right"/>
    </w:pPr>
    <w:rPr>
      <w:rFonts w:ascii="Arial" w:eastAsiaTheme="minorEastAsia" w:hAnsi="Arial" w:cs="Arial"/>
      <w:color w:val="000000"/>
      <w:sz w:val="18"/>
      <w:szCs w:val="18"/>
      <w:lang w:eastAsia="en-AU"/>
    </w:rPr>
  </w:style>
  <w:style w:type="paragraph" w:customStyle="1" w:styleId="SEQPCl15PYCHd">
    <w:name w:val="SEQ P# Cl15 PY CHd"/>
    <w:uiPriority w:val="99"/>
    <w:rsid w:val="00967C1E"/>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SEQPCl15PYS">
    <w:name w:val="SEQ P# Cl15 PY S"/>
    <w:uiPriority w:val="99"/>
    <w:rsid w:val="00967C1E"/>
    <w:pPr>
      <w:widowControl w:val="0"/>
      <w:autoSpaceDE w:val="0"/>
      <w:autoSpaceDN w:val="0"/>
      <w:adjustRightInd w:val="0"/>
      <w:spacing w:before="113" w:after="0" w:line="240" w:lineRule="auto"/>
      <w:jc w:val="right"/>
    </w:pPr>
    <w:rPr>
      <w:rFonts w:ascii="Arial" w:eastAsiaTheme="minorEastAsia" w:hAnsi="Arial" w:cs="Arial"/>
      <w:color w:val="000000"/>
      <w:sz w:val="18"/>
      <w:szCs w:val="18"/>
      <w:lang w:eastAsia="en-AU"/>
    </w:rPr>
  </w:style>
  <w:style w:type="paragraph" w:customStyle="1" w:styleId="CFCPAYCHd">
    <w:name w:val="CF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CPPYCHd">
    <w:name w:val="CF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18"/>
      <w:szCs w:val="18"/>
      <w:lang w:eastAsia="en-AU"/>
    </w:rPr>
  </w:style>
  <w:style w:type="paragraph" w:customStyle="1" w:styleId="CFDesc">
    <w:name w:val="CF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CFDescTi">
    <w:name w:val="CF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CFNoteNo">
    <w:name w:val="CF NoteNo"/>
    <w:uiPriority w:val="99"/>
    <w:rsid w:val="005B2186"/>
    <w:pPr>
      <w:widowControl w:val="0"/>
      <w:autoSpaceDE w:val="0"/>
      <w:autoSpaceDN w:val="0"/>
      <w:adjustRightInd w:val="0"/>
      <w:spacing w:before="28" w:after="28" w:line="240" w:lineRule="auto"/>
      <w:jc w:val="center"/>
    </w:pPr>
    <w:rPr>
      <w:rFonts w:ascii="Arial" w:eastAsiaTheme="minorEastAsia" w:hAnsi="Arial" w:cs="Arial"/>
      <w:color w:val="000000"/>
      <w:sz w:val="20"/>
      <w:szCs w:val="20"/>
      <w:lang w:eastAsia="en-AU"/>
    </w:rPr>
  </w:style>
  <w:style w:type="paragraph" w:customStyle="1" w:styleId="CFNoteNoCHd">
    <w:name w:val="CF NoteNo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
    <w:name w:val="CF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AYCHd">
    <w:name w:val="CF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AYS">
    <w:name w:val="CF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
    <w:name w:val="CF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CFPPYCHd">
    <w:name w:val="CF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80"/>
      <w:sz w:val="20"/>
      <w:szCs w:val="20"/>
      <w:lang w:eastAsia="en-AU"/>
    </w:rPr>
  </w:style>
  <w:style w:type="paragraph" w:customStyle="1" w:styleId="CFPPYS">
    <w:name w:val="CF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AYT">
    <w:name w:val="CF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CFPPYT">
    <w:name w:val="CF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FSFooter1">
    <w:name w:val="FS Footer1"/>
    <w:uiPriority w:val="99"/>
    <w:rsid w:val="005B2186"/>
    <w:pPr>
      <w:widowControl w:val="0"/>
      <w:autoSpaceDE w:val="0"/>
      <w:autoSpaceDN w:val="0"/>
      <w:adjustRightInd w:val="0"/>
      <w:spacing w:after="0" w:line="240" w:lineRule="auto"/>
      <w:jc w:val="right"/>
    </w:pPr>
    <w:rPr>
      <w:rFonts w:ascii="Arial" w:eastAsiaTheme="minorEastAsia" w:hAnsi="Arial" w:cs="Arial"/>
      <w:color w:val="000000"/>
      <w:sz w:val="20"/>
      <w:szCs w:val="20"/>
      <w:lang w:eastAsia="en-AU"/>
    </w:rPr>
  </w:style>
  <w:style w:type="paragraph" w:customStyle="1" w:styleId="FSHeading1">
    <w:name w:val="FS Heading 1"/>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40"/>
      <w:szCs w:val="40"/>
      <w:lang w:eastAsia="en-AU"/>
    </w:rPr>
  </w:style>
  <w:style w:type="paragraph" w:customStyle="1" w:styleId="FSHeading3">
    <w:name w:val="FS Heading 3"/>
    <w:uiPriority w:val="99"/>
    <w:rsid w:val="005B2186"/>
    <w:pPr>
      <w:widowControl w:val="0"/>
      <w:autoSpaceDE w:val="0"/>
      <w:autoSpaceDN w:val="0"/>
      <w:adjustRightInd w:val="0"/>
      <w:spacing w:before="170" w:after="0" w:line="240" w:lineRule="auto"/>
    </w:pPr>
    <w:rPr>
      <w:rFonts w:ascii="Arial" w:eastAsiaTheme="minorEastAsia" w:hAnsi="Arial" w:cs="Arial"/>
      <w:b/>
      <w:bCs/>
      <w:color w:val="000080"/>
      <w:sz w:val="20"/>
      <w:szCs w:val="20"/>
      <w:lang w:eastAsia="en-AU"/>
    </w:rPr>
  </w:style>
  <w:style w:type="paragraph" w:customStyle="1" w:styleId="FSName">
    <w:name w:val="FS Name"/>
    <w:uiPriority w:val="99"/>
    <w:rsid w:val="005B2186"/>
    <w:pPr>
      <w:widowControl w:val="0"/>
      <w:autoSpaceDE w:val="0"/>
      <w:autoSpaceDN w:val="0"/>
      <w:adjustRightInd w:val="0"/>
      <w:spacing w:after="0" w:line="240" w:lineRule="auto"/>
    </w:pPr>
    <w:rPr>
      <w:rFonts w:ascii="Arial" w:eastAsiaTheme="minorEastAsia" w:hAnsi="Arial" w:cs="Arial"/>
      <w:b/>
      <w:bCs/>
      <w:color w:val="000080"/>
      <w:sz w:val="24"/>
      <w:szCs w:val="24"/>
      <w:lang w:eastAsia="en-AU"/>
    </w:rPr>
  </w:style>
  <w:style w:type="paragraph" w:customStyle="1" w:styleId="FSSubHeading">
    <w:name w:val="FS SubHeading"/>
    <w:uiPriority w:val="99"/>
    <w:rsid w:val="005B2186"/>
    <w:pPr>
      <w:widowControl w:val="0"/>
      <w:autoSpaceDE w:val="0"/>
      <w:autoSpaceDN w:val="0"/>
      <w:adjustRightInd w:val="0"/>
      <w:spacing w:before="172" w:after="0" w:line="240" w:lineRule="auto"/>
    </w:pPr>
    <w:rPr>
      <w:rFonts w:ascii="Arial" w:eastAsiaTheme="minorEastAsia" w:hAnsi="Arial" w:cs="Arial"/>
      <w:b/>
      <w:bCs/>
      <w:color w:val="000080"/>
      <w:sz w:val="18"/>
      <w:szCs w:val="18"/>
      <w:lang w:eastAsia="en-AU"/>
    </w:rPr>
  </w:style>
  <w:style w:type="paragraph" w:customStyle="1" w:styleId="NtHeading1">
    <w:name w:val="Nt Heading 1"/>
    <w:uiPriority w:val="99"/>
    <w:rsid w:val="005B2186"/>
    <w:pPr>
      <w:keepNext/>
      <w:keepLines/>
      <w:widowControl w:val="0"/>
      <w:tabs>
        <w:tab w:val="left" w:pos="396"/>
      </w:tabs>
      <w:autoSpaceDE w:val="0"/>
      <w:autoSpaceDN w:val="0"/>
      <w:adjustRightInd w:val="0"/>
      <w:spacing w:before="288" w:after="0" w:line="240" w:lineRule="auto"/>
      <w:ind w:left="396" w:hanging="396"/>
    </w:pPr>
    <w:rPr>
      <w:rFonts w:ascii="Arial" w:eastAsiaTheme="minorEastAsia" w:hAnsi="Arial" w:cs="Arial"/>
      <w:b/>
      <w:bCs/>
      <w:color w:val="000080"/>
      <w:sz w:val="20"/>
      <w:szCs w:val="20"/>
      <w:lang w:eastAsia="en-AU"/>
    </w:rPr>
  </w:style>
  <w:style w:type="paragraph" w:customStyle="1" w:styleId="NtHeading3">
    <w:name w:val="Nt Heading 3"/>
    <w:uiPriority w:val="99"/>
    <w:rsid w:val="005B2186"/>
    <w:pPr>
      <w:keepNext/>
      <w:keepLines/>
      <w:widowControl w:val="0"/>
      <w:tabs>
        <w:tab w:val="left" w:pos="963"/>
      </w:tabs>
      <w:autoSpaceDE w:val="0"/>
      <w:autoSpaceDN w:val="0"/>
      <w:adjustRightInd w:val="0"/>
      <w:spacing w:before="288" w:after="0" w:line="240" w:lineRule="auto"/>
      <w:ind w:left="963" w:hanging="566"/>
    </w:pPr>
    <w:rPr>
      <w:rFonts w:ascii="Arial" w:eastAsiaTheme="minorEastAsia" w:hAnsi="Arial" w:cs="Arial"/>
      <w:b/>
      <w:bCs/>
      <w:color w:val="000080"/>
      <w:sz w:val="20"/>
      <w:szCs w:val="20"/>
      <w:lang w:eastAsia="en-AU"/>
    </w:rPr>
  </w:style>
  <w:style w:type="paragraph" w:customStyle="1" w:styleId="NtTextLevel1">
    <w:name w:val="Nt Text Level1"/>
    <w:uiPriority w:val="99"/>
    <w:rsid w:val="005B2186"/>
    <w:pPr>
      <w:widowControl w:val="0"/>
      <w:autoSpaceDE w:val="0"/>
      <w:autoSpaceDN w:val="0"/>
      <w:adjustRightInd w:val="0"/>
      <w:spacing w:before="289" w:after="0" w:line="240" w:lineRule="auto"/>
      <w:ind w:left="1530"/>
      <w:jc w:val="both"/>
    </w:pPr>
    <w:rPr>
      <w:rFonts w:ascii="Arial" w:eastAsiaTheme="minorEastAsia" w:hAnsi="Arial" w:cs="Arial"/>
      <w:color w:val="000000"/>
      <w:sz w:val="20"/>
      <w:szCs w:val="20"/>
      <w:lang w:eastAsia="en-AU"/>
    </w:rPr>
  </w:style>
  <w:style w:type="paragraph" w:customStyle="1" w:styleId="NtF2Desc">
    <w:name w:val="NtF2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F2DescCHd1">
    <w:name w:val="NtF2 Desc CHd1"/>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F2xCl01">
    <w:name w:val="NtF2 x Cl01"/>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DescTiNo">
    <w:name w:val="Nt Desc TiNo"/>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color w:val="000000"/>
      <w:sz w:val="20"/>
      <w:szCs w:val="20"/>
      <w:lang w:eastAsia="en-AU"/>
    </w:rPr>
  </w:style>
  <w:style w:type="paragraph" w:customStyle="1" w:styleId="NtACPAYCHd">
    <w:name w:val="NtA C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CPPYCHd">
    <w:name w:val="NtA C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18"/>
      <w:szCs w:val="18"/>
      <w:lang w:eastAsia="en-AU"/>
    </w:rPr>
  </w:style>
  <w:style w:type="paragraph" w:customStyle="1" w:styleId="NtA1Desc">
    <w:name w:val="NtA1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NtA1DescT">
    <w:name w:val="NtA1 Desc T"/>
    <w:uiPriority w:val="99"/>
    <w:rsid w:val="005B2186"/>
    <w:pPr>
      <w:widowControl w:val="0"/>
      <w:autoSpaceDE w:val="0"/>
      <w:autoSpaceDN w:val="0"/>
      <w:adjustRightInd w:val="0"/>
      <w:spacing w:before="113" w:after="0" w:line="240" w:lineRule="auto"/>
      <w:ind w:left="141" w:hanging="141"/>
    </w:pPr>
    <w:rPr>
      <w:rFonts w:ascii="Arial" w:eastAsiaTheme="minorEastAsia" w:hAnsi="Arial" w:cs="Arial"/>
      <w:b/>
      <w:bCs/>
      <w:color w:val="000080"/>
      <w:sz w:val="20"/>
      <w:szCs w:val="20"/>
      <w:lang w:eastAsia="en-AU"/>
    </w:rPr>
  </w:style>
  <w:style w:type="paragraph" w:customStyle="1" w:styleId="NtA1DescTi">
    <w:name w:val="NtA1 Desc Ti"/>
    <w:uiPriority w:val="99"/>
    <w:rsid w:val="005B2186"/>
    <w:pPr>
      <w:widowControl w:val="0"/>
      <w:autoSpaceDE w:val="0"/>
      <w:autoSpaceDN w:val="0"/>
      <w:adjustRightInd w:val="0"/>
      <w:spacing w:before="113" w:after="0" w:line="239" w:lineRule="exact"/>
      <w:ind w:left="141" w:hanging="141"/>
    </w:pPr>
    <w:rPr>
      <w:rFonts w:ascii="Arial" w:eastAsiaTheme="minorEastAsia" w:hAnsi="Arial" w:cs="Arial"/>
      <w:b/>
      <w:bCs/>
      <w:color w:val="000080"/>
      <w:sz w:val="20"/>
      <w:szCs w:val="20"/>
      <w:lang w:eastAsia="en-AU"/>
    </w:rPr>
  </w:style>
  <w:style w:type="paragraph" w:customStyle="1" w:styleId="NtA1PAY">
    <w:name w:val="NtA1 P# A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AYCHd">
    <w:name w:val="NtA1 P# A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AYS">
    <w:name w:val="NtA1 P# A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AYT">
    <w:name w:val="NtA1 P# A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
    <w:name w:val="NtA1 P# PY"/>
    <w:uiPriority w:val="99"/>
    <w:rsid w:val="005B2186"/>
    <w:pPr>
      <w:widowControl w:val="0"/>
      <w:autoSpaceDE w:val="0"/>
      <w:autoSpaceDN w:val="0"/>
      <w:adjustRightInd w:val="0"/>
      <w:spacing w:before="28" w:after="28" w:line="240" w:lineRule="auto"/>
      <w:jc w:val="right"/>
    </w:pPr>
    <w:rPr>
      <w:rFonts w:ascii="Arial" w:eastAsiaTheme="minorEastAsia" w:hAnsi="Arial" w:cs="Arial"/>
      <w:color w:val="000000"/>
      <w:sz w:val="20"/>
      <w:szCs w:val="20"/>
      <w:lang w:eastAsia="en-AU"/>
    </w:rPr>
  </w:style>
  <w:style w:type="paragraph" w:customStyle="1" w:styleId="NtA1PPYCHd">
    <w:name w:val="NtA1 P# PY CHd"/>
    <w:uiPriority w:val="99"/>
    <w:rsid w:val="005B2186"/>
    <w:pPr>
      <w:widowControl w:val="0"/>
      <w:autoSpaceDE w:val="0"/>
      <w:autoSpaceDN w:val="0"/>
      <w:adjustRightInd w:val="0"/>
      <w:spacing w:before="34" w:after="34" w:line="240" w:lineRule="auto"/>
      <w:jc w:val="center"/>
    </w:pPr>
    <w:rPr>
      <w:rFonts w:ascii="Arial" w:eastAsiaTheme="minorEastAsia" w:hAnsi="Arial" w:cs="Arial"/>
      <w:b/>
      <w:bCs/>
      <w:color w:val="000000"/>
      <w:sz w:val="20"/>
      <w:szCs w:val="20"/>
      <w:lang w:eastAsia="en-AU"/>
    </w:rPr>
  </w:style>
  <w:style w:type="paragraph" w:customStyle="1" w:styleId="NtA1PPYS">
    <w:name w:val="NtA1 P# PY S"/>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A1PPYT">
    <w:name w:val="NtA1 P# PY T"/>
    <w:uiPriority w:val="99"/>
    <w:rsid w:val="005B2186"/>
    <w:pPr>
      <w:widowControl w:val="0"/>
      <w:autoSpaceDE w:val="0"/>
      <w:autoSpaceDN w:val="0"/>
      <w:adjustRightInd w:val="0"/>
      <w:spacing w:before="113" w:after="0" w:line="240" w:lineRule="auto"/>
      <w:jc w:val="right"/>
    </w:pPr>
    <w:rPr>
      <w:rFonts w:ascii="Arial" w:eastAsiaTheme="minorEastAsia" w:hAnsi="Arial" w:cs="Arial"/>
      <w:color w:val="000000"/>
      <w:sz w:val="20"/>
      <w:szCs w:val="20"/>
      <w:lang w:eastAsia="en-AU"/>
    </w:rPr>
  </w:style>
  <w:style w:type="paragraph" w:customStyle="1" w:styleId="NtHeading4">
    <w:name w:val="Nt Heading 4"/>
    <w:uiPriority w:val="99"/>
    <w:rsid w:val="005B2186"/>
    <w:pPr>
      <w:keepNext/>
      <w:keepLines/>
      <w:widowControl w:val="0"/>
      <w:tabs>
        <w:tab w:val="left" w:pos="1530"/>
      </w:tabs>
      <w:autoSpaceDE w:val="0"/>
      <w:autoSpaceDN w:val="0"/>
      <w:adjustRightInd w:val="0"/>
      <w:spacing w:before="288" w:after="0" w:line="240" w:lineRule="auto"/>
      <w:ind w:left="1530" w:hanging="566"/>
    </w:pPr>
    <w:rPr>
      <w:rFonts w:ascii="Arial" w:eastAsiaTheme="minorEastAsia" w:hAnsi="Arial" w:cs="Arial"/>
      <w:b/>
      <w:bCs/>
      <w:color w:val="000080"/>
      <w:sz w:val="20"/>
      <w:szCs w:val="20"/>
      <w:lang w:eastAsia="en-AU"/>
    </w:rPr>
  </w:style>
  <w:style w:type="paragraph" w:customStyle="1" w:styleId="NtA1DescCHd2">
    <w:name w:val="NtA1 Desc CHd2"/>
    <w:uiPriority w:val="99"/>
    <w:rsid w:val="005B2186"/>
    <w:pPr>
      <w:widowControl w:val="0"/>
      <w:autoSpaceDE w:val="0"/>
      <w:autoSpaceDN w:val="0"/>
      <w:adjustRightInd w:val="0"/>
      <w:spacing w:before="34" w:after="34" w:line="240" w:lineRule="auto"/>
    </w:pPr>
    <w:rPr>
      <w:rFonts w:ascii="Arial" w:eastAsiaTheme="minorEastAsia" w:hAnsi="Arial" w:cs="Arial"/>
      <w:b/>
      <w:bCs/>
      <w:color w:val="000000"/>
      <w:sz w:val="20"/>
      <w:szCs w:val="20"/>
      <w:lang w:eastAsia="en-AU"/>
    </w:rPr>
  </w:style>
  <w:style w:type="paragraph" w:customStyle="1" w:styleId="NtA1DescLevel1">
    <w:name w:val="NtA1 Desc Level1"/>
    <w:uiPriority w:val="99"/>
    <w:rsid w:val="005B2186"/>
    <w:pPr>
      <w:widowControl w:val="0"/>
      <w:autoSpaceDE w:val="0"/>
      <w:autoSpaceDN w:val="0"/>
      <w:adjustRightInd w:val="0"/>
      <w:spacing w:before="28" w:after="28" w:line="240" w:lineRule="auto"/>
      <w:ind w:left="447" w:hanging="232"/>
    </w:pPr>
    <w:rPr>
      <w:rFonts w:ascii="Arial" w:eastAsiaTheme="minorEastAsia" w:hAnsi="Arial" w:cs="Arial"/>
      <w:color w:val="000000"/>
      <w:sz w:val="20"/>
      <w:szCs w:val="20"/>
      <w:lang w:eastAsia="en-AU"/>
    </w:rPr>
  </w:style>
  <w:style w:type="paragraph" w:customStyle="1" w:styleId="NtS3Desc">
    <w:name w:val="NtS3 Desc"/>
    <w:uiPriority w:val="99"/>
    <w:rsid w:val="005B2186"/>
    <w:pPr>
      <w:widowControl w:val="0"/>
      <w:autoSpaceDE w:val="0"/>
      <w:autoSpaceDN w:val="0"/>
      <w:adjustRightInd w:val="0"/>
      <w:spacing w:before="28" w:after="28" w:line="240" w:lineRule="auto"/>
      <w:ind w:left="141" w:hanging="141"/>
    </w:pPr>
    <w:rPr>
      <w:rFonts w:ascii="Arial" w:eastAsiaTheme="minorEastAsia" w:hAnsi="Arial" w:cs="Arial"/>
      <w:color w:val="000000"/>
      <w:sz w:val="20"/>
      <w:szCs w:val="20"/>
      <w:lang w:eastAsia="en-AU"/>
    </w:rPr>
  </w:style>
  <w:style w:type="paragraph" w:customStyle="1" w:styleId="zFreezeSpace">
    <w:name w:val="zFreezeSpace"/>
    <w:uiPriority w:val="99"/>
    <w:rsid w:val="005B2186"/>
    <w:pPr>
      <w:widowControl w:val="0"/>
      <w:autoSpaceDE w:val="0"/>
      <w:autoSpaceDN w:val="0"/>
      <w:adjustRightInd w:val="0"/>
      <w:spacing w:after="0" w:line="240" w:lineRule="auto"/>
    </w:pPr>
    <w:rPr>
      <w:rFonts w:ascii="Arial" w:eastAsiaTheme="minorEastAsia" w:hAnsi="Arial" w:cs="Arial"/>
      <w:color w:val="000000"/>
      <w:sz w:val="14"/>
      <w:szCs w:val="1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001">
      <w:bodyDiv w:val="1"/>
      <w:marLeft w:val="0"/>
      <w:marRight w:val="0"/>
      <w:marTop w:val="0"/>
      <w:marBottom w:val="0"/>
      <w:divBdr>
        <w:top w:val="none" w:sz="0" w:space="0" w:color="auto"/>
        <w:left w:val="none" w:sz="0" w:space="0" w:color="auto"/>
        <w:bottom w:val="none" w:sz="0" w:space="0" w:color="auto"/>
        <w:right w:val="none" w:sz="0" w:space="0" w:color="auto"/>
      </w:divBdr>
      <w:divsChild>
        <w:div w:id="1732998211">
          <w:marLeft w:val="0"/>
          <w:marRight w:val="0"/>
          <w:marTop w:val="0"/>
          <w:marBottom w:val="0"/>
          <w:divBdr>
            <w:top w:val="none" w:sz="0" w:space="0" w:color="auto"/>
            <w:left w:val="none" w:sz="0" w:space="0" w:color="auto"/>
            <w:bottom w:val="none" w:sz="0" w:space="0" w:color="auto"/>
            <w:right w:val="none" w:sz="0" w:space="0" w:color="auto"/>
          </w:divBdr>
        </w:div>
      </w:divsChild>
    </w:div>
    <w:div w:id="315495599">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
    <w:div w:id="522868874">
      <w:bodyDiv w:val="1"/>
      <w:marLeft w:val="0"/>
      <w:marRight w:val="0"/>
      <w:marTop w:val="0"/>
      <w:marBottom w:val="0"/>
      <w:divBdr>
        <w:top w:val="none" w:sz="0" w:space="0" w:color="auto"/>
        <w:left w:val="none" w:sz="0" w:space="0" w:color="auto"/>
        <w:bottom w:val="none" w:sz="0" w:space="0" w:color="auto"/>
        <w:right w:val="none" w:sz="0" w:space="0" w:color="auto"/>
      </w:divBdr>
    </w:div>
    <w:div w:id="926306058">
      <w:bodyDiv w:val="1"/>
      <w:marLeft w:val="0"/>
      <w:marRight w:val="0"/>
      <w:marTop w:val="0"/>
      <w:marBottom w:val="0"/>
      <w:divBdr>
        <w:top w:val="none" w:sz="0" w:space="0" w:color="auto"/>
        <w:left w:val="none" w:sz="0" w:space="0" w:color="auto"/>
        <w:bottom w:val="none" w:sz="0" w:space="0" w:color="auto"/>
        <w:right w:val="none" w:sz="0" w:space="0" w:color="auto"/>
      </w:divBdr>
    </w:div>
    <w:div w:id="947734690">
      <w:bodyDiv w:val="1"/>
      <w:marLeft w:val="0"/>
      <w:marRight w:val="0"/>
      <w:marTop w:val="0"/>
      <w:marBottom w:val="0"/>
      <w:divBdr>
        <w:top w:val="none" w:sz="0" w:space="0" w:color="auto"/>
        <w:left w:val="none" w:sz="0" w:space="0" w:color="auto"/>
        <w:bottom w:val="none" w:sz="0" w:space="0" w:color="auto"/>
        <w:right w:val="none" w:sz="0" w:space="0" w:color="auto"/>
      </w:divBdr>
    </w:div>
    <w:div w:id="1917588355">
      <w:bodyDiv w:val="1"/>
      <w:marLeft w:val="0"/>
      <w:marRight w:val="0"/>
      <w:marTop w:val="0"/>
      <w:marBottom w:val="0"/>
      <w:divBdr>
        <w:top w:val="none" w:sz="0" w:space="0" w:color="auto"/>
        <w:left w:val="none" w:sz="0" w:space="0" w:color="auto"/>
        <w:bottom w:val="none" w:sz="0" w:space="0" w:color="auto"/>
        <w:right w:val="none" w:sz="0" w:space="0" w:color="auto"/>
      </w:divBdr>
    </w:div>
    <w:div w:id="1925454650">
      <w:bodyDiv w:val="1"/>
      <w:marLeft w:val="0"/>
      <w:marRight w:val="0"/>
      <w:marTop w:val="0"/>
      <w:marBottom w:val="0"/>
      <w:divBdr>
        <w:top w:val="none" w:sz="0" w:space="0" w:color="auto"/>
        <w:left w:val="none" w:sz="0" w:space="0" w:color="auto"/>
        <w:bottom w:val="none" w:sz="0" w:space="0" w:color="auto"/>
        <w:right w:val="none" w:sz="0" w:space="0" w:color="auto"/>
      </w:divBdr>
    </w:div>
    <w:div w:id="21101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dhhs.tas.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omlaw.gov.au/Details/C2005C0040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dhhs.tas.gov.au/copm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thelaw.tas.gov.au/tocview/index.w3p;cond=;doc_id=98%2B%2B1935%2BGS1%40EN%2B20100706000000;histon=;prompt=;rec=;term=" TargetMode="External"/><Relationship Id="rId28"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thelaw.tas.gov.au" TargetMode="External"/><Relationship Id="rId27" Type="http://schemas.openxmlformats.org/officeDocument/2006/relationships/image" Target="media/image6.jp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4F498A1-A679-4F6A-8C87-D0E8B2A0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3502264F.dotm</Template>
  <TotalTime>76</TotalTime>
  <Pages>81</Pages>
  <Words>22544</Words>
  <Characters>128505</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150748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Leigh</dc:creator>
  <cp:lastModifiedBy>ejackson</cp:lastModifiedBy>
  <cp:revision>14</cp:revision>
  <cp:lastPrinted>2015-10-20T22:42:00Z</cp:lastPrinted>
  <dcterms:created xsi:type="dcterms:W3CDTF">2015-10-20T22:41:00Z</dcterms:created>
  <dcterms:modified xsi:type="dcterms:W3CDTF">2015-10-27T22:39:00Z</dcterms:modified>
</cp:coreProperties>
</file>