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71" w:rsidRPr="009146F9" w:rsidRDefault="00235D71" w:rsidP="00FC47DF">
      <w:pPr>
        <w:keepNext/>
        <w:spacing w:before="120" w:after="120" w:line="280" w:lineRule="atLeast"/>
        <w:rPr>
          <w:rFonts w:ascii="Gill Sans MT" w:hAnsi="Gill Sans MT"/>
          <w:color w:val="1F497D" w:themeColor="text2"/>
          <w:sz w:val="44"/>
        </w:rPr>
      </w:pPr>
      <w:r w:rsidRPr="009146F9">
        <w:rPr>
          <w:rStyle w:val="TitleChar"/>
        </w:rPr>
        <w:t xml:space="preserve">Rising </w:t>
      </w:r>
      <w:proofErr w:type="gramStart"/>
      <w:r w:rsidRPr="009146F9">
        <w:rPr>
          <w:rStyle w:val="TitleChar"/>
        </w:rPr>
        <w:t>Above</w:t>
      </w:r>
      <w:proofErr w:type="gramEnd"/>
      <w:r w:rsidRPr="009146F9">
        <w:rPr>
          <w:rStyle w:val="TitleChar"/>
        </w:rPr>
        <w:t xml:space="preserve"> the Influence</w:t>
      </w:r>
      <w:r w:rsidRPr="009146F9">
        <w:rPr>
          <w:rFonts w:ascii="Gill Sans MT" w:hAnsi="Gill Sans MT"/>
        </w:rPr>
        <w:br/>
      </w:r>
      <w:r w:rsidRPr="009146F9">
        <w:rPr>
          <w:rStyle w:val="SubtitleChar"/>
        </w:rPr>
        <w:t>Tasmanian Alcohol Action Framework</w:t>
      </w:r>
      <w:r w:rsidR="00C71EEF" w:rsidRPr="009146F9">
        <w:rPr>
          <w:rStyle w:val="SubtitleChar"/>
        </w:rPr>
        <w:t xml:space="preserve"> </w:t>
      </w:r>
      <w:r w:rsidRPr="009146F9">
        <w:rPr>
          <w:rStyle w:val="SubtitleChar"/>
        </w:rPr>
        <w:t>2010-2015</w:t>
      </w:r>
      <w:r w:rsidR="00400CDA" w:rsidRPr="009146F9">
        <w:rPr>
          <w:rStyle w:val="SubtitleChar"/>
        </w:rPr>
        <w:t xml:space="preserve"> (extended to 2016)</w:t>
      </w:r>
    </w:p>
    <w:p w:rsidR="0001635D" w:rsidRPr="009146F9" w:rsidRDefault="0001635D" w:rsidP="00FC47DF">
      <w:pPr>
        <w:keepNext/>
        <w:spacing w:before="120" w:after="120" w:line="280" w:lineRule="atLeast"/>
        <w:rPr>
          <w:rFonts w:ascii="Gill Sans MT" w:hAnsi="Gill Sans MT"/>
          <w:color w:val="262626" w:themeColor="text1" w:themeTint="D9"/>
          <w:sz w:val="56"/>
        </w:rPr>
      </w:pPr>
      <w:bookmarkStart w:id="0" w:name="_GoBack"/>
      <w:bookmarkEnd w:id="0"/>
    </w:p>
    <w:p w:rsidR="00A85BF3" w:rsidRPr="009146F9" w:rsidRDefault="00A85BF3" w:rsidP="00FC47DF">
      <w:pPr>
        <w:keepNext/>
        <w:spacing w:before="120" w:after="120" w:line="280" w:lineRule="atLeast"/>
        <w:rPr>
          <w:rFonts w:ascii="Gill Sans MT" w:hAnsi="Gill Sans MT"/>
          <w:color w:val="262626" w:themeColor="text1" w:themeTint="D9"/>
          <w:sz w:val="56"/>
        </w:rPr>
      </w:pPr>
    </w:p>
    <w:p w:rsidR="00AB3D8F" w:rsidRPr="009146F9" w:rsidRDefault="00DB0D7D" w:rsidP="00C569E6">
      <w:pPr>
        <w:pStyle w:val="Subtitle"/>
      </w:pPr>
      <w:r w:rsidRPr="009146F9">
        <w:rPr>
          <w:noProof/>
          <w:sz w:val="16"/>
          <w:lang w:eastAsia="en-AU"/>
        </w:rPr>
        <mc:AlternateContent>
          <mc:Choice Requires="wps">
            <w:drawing>
              <wp:anchor distT="0" distB="0" distL="114300" distR="114300" simplePos="0" relativeHeight="251662336" behindDoc="0" locked="0" layoutInCell="1" allowOverlap="1" wp14:anchorId="5609A2E3" wp14:editId="4ABAB010">
                <wp:simplePos x="0" y="0"/>
                <wp:positionH relativeFrom="column">
                  <wp:posOffset>-720989</wp:posOffset>
                </wp:positionH>
                <wp:positionV relativeFrom="paragraph">
                  <wp:posOffset>6489700</wp:posOffset>
                </wp:positionV>
                <wp:extent cx="5125720" cy="661898"/>
                <wp:effectExtent l="0" t="0" r="0" b="5080"/>
                <wp:wrapNone/>
                <wp:docPr id="5" name="Text Box 5" descr="Contains the words 'Interagency Working Group on Drugs' and 'Department of Health and Human Services'&#10;" title="text box"/>
                <wp:cNvGraphicFramePr/>
                <a:graphic xmlns:a="http://schemas.openxmlformats.org/drawingml/2006/main">
                  <a:graphicData uri="http://schemas.microsoft.com/office/word/2010/wordprocessingShape">
                    <wps:wsp>
                      <wps:cNvSpPr txBox="1"/>
                      <wps:spPr>
                        <a:xfrm>
                          <a:off x="0" y="0"/>
                          <a:ext cx="5125720" cy="661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69E6" w:rsidRPr="00CA4AA9" w:rsidRDefault="00C569E6" w:rsidP="00234992">
                            <w:pPr>
                              <w:rPr>
                                <w:rFonts w:ascii="Gill Sans MT" w:hAnsi="Gill Sans MT"/>
                                <w:sz w:val="24"/>
                              </w:rPr>
                            </w:pPr>
                            <w:r w:rsidRPr="00CA4AA9">
                              <w:rPr>
                                <w:rFonts w:ascii="Gill Sans MT" w:hAnsi="Gill Sans MT"/>
                                <w:sz w:val="24"/>
                              </w:rPr>
                              <w:t>Interagency Working Group on Drugs</w:t>
                            </w:r>
                            <w:r>
                              <w:rPr>
                                <w:rFonts w:ascii="Gill Sans MT" w:hAnsi="Gill Sans MT"/>
                                <w:sz w:val="24"/>
                              </w:rPr>
                              <w:br/>
                            </w:r>
                            <w:r w:rsidRPr="00CA4AA9">
                              <w:rPr>
                                <w:rFonts w:ascii="Gill Sans MT" w:hAnsi="Gill Sans MT"/>
                                <w:sz w:val="24"/>
                              </w:rPr>
                              <w:t>Department of Health and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Title: text box - Description: Contains the words 'Interagency Working Group on Drugs' and 'Department of Health and Human Services'&#10;" style="position:absolute;margin-left:-56.75pt;margin-top:511pt;width:403.6pt;height:5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" fillcolor="white [3201]" stroked="f" strokeweight=".5pt">
                <v:textbox>
                  <w:txbxContent>
                    <w:p w:rsidR="00C569E6" w:rsidRPr="00CA4AA9" w:rsidRDefault="00C569E6" w:rsidP="00234992">
                      <w:pPr>
                        <w:rPr>
                          <w:rFonts w:ascii="Gill Sans MT" w:hAnsi="Gill Sans MT"/>
                          <w:sz w:val="24"/>
                        </w:rPr>
                      </w:pPr>
                      <w:r w:rsidRPr="00CA4AA9">
                        <w:rPr>
                          <w:rFonts w:ascii="Gill Sans MT" w:hAnsi="Gill Sans MT"/>
                          <w:sz w:val="24"/>
                        </w:rPr>
                        <w:t>Interagency Working Group on Drugs</w:t>
                      </w:r>
                      <w:r>
                        <w:rPr>
                          <w:rFonts w:ascii="Gill Sans MT" w:hAnsi="Gill Sans MT"/>
                          <w:sz w:val="24"/>
                        </w:rPr>
                        <w:br/>
                      </w:r>
                      <w:r w:rsidRPr="00CA4AA9">
                        <w:rPr>
                          <w:rFonts w:ascii="Gill Sans MT" w:hAnsi="Gill Sans MT"/>
                          <w:sz w:val="24"/>
                        </w:rPr>
                        <w:t>Department of Health and Human Services</w:t>
                      </w:r>
                    </w:p>
                  </w:txbxContent>
                </v:textbox>
              </v:shape>
            </w:pict>
          </mc:Fallback>
        </mc:AlternateContent>
      </w:r>
      <w:r w:rsidRPr="009146F9">
        <w:rPr>
          <w:noProof/>
          <w:sz w:val="16"/>
          <w:lang w:eastAsia="en-AU"/>
        </w:rPr>
        <w:drawing>
          <wp:anchor distT="0" distB="0" distL="114300" distR="114300" simplePos="0" relativeHeight="251660288" behindDoc="0" locked="0" layoutInCell="1" allowOverlap="1" wp14:anchorId="7701283B" wp14:editId="02715826">
            <wp:simplePos x="0" y="0"/>
            <wp:positionH relativeFrom="column">
              <wp:posOffset>5305425</wp:posOffset>
            </wp:positionH>
            <wp:positionV relativeFrom="paragraph">
              <wp:posOffset>6131560</wp:posOffset>
            </wp:positionV>
            <wp:extent cx="981075" cy="914400"/>
            <wp:effectExtent l="0" t="0" r="9525" b="0"/>
            <wp:wrapNone/>
            <wp:docPr id="3" name="Picture 3" descr="Tasman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6F9">
        <w:rPr>
          <w:noProof/>
          <w:lang w:eastAsia="en-AU"/>
        </w:rPr>
        <w:drawing>
          <wp:anchor distT="0" distB="0" distL="114300" distR="114300" simplePos="0" relativeHeight="251659264" behindDoc="0" locked="0" layoutInCell="1" allowOverlap="1" wp14:anchorId="514F4EE5" wp14:editId="6A927DA9">
            <wp:simplePos x="0" y="0"/>
            <wp:positionH relativeFrom="column">
              <wp:posOffset>-999490</wp:posOffset>
            </wp:positionH>
            <wp:positionV relativeFrom="paragraph">
              <wp:posOffset>5731510</wp:posOffset>
            </wp:positionV>
            <wp:extent cx="7715250" cy="304800"/>
            <wp:effectExtent l="0" t="0" r="0" b="0"/>
            <wp:wrapNone/>
            <wp:docPr id="2" name="Picture 2" descr="Tasmania Goverment Logo " title="Picture wa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_base_wave.jpg"/>
                    <pic:cNvPicPr/>
                  </pic:nvPicPr>
                  <pic:blipFill>
                    <a:blip r:embed="rId10">
                      <a:extLst>
                        <a:ext uri="{28A0092B-C50C-407E-A947-70E740481C1C}">
                          <a14:useLocalDpi xmlns:a14="http://schemas.microsoft.com/office/drawing/2010/main" val="0"/>
                        </a:ext>
                      </a:extLst>
                    </a:blip>
                    <a:stretch>
                      <a:fillRect/>
                    </a:stretch>
                  </pic:blipFill>
                  <pic:spPr>
                    <a:xfrm>
                      <a:off x="0" y="0"/>
                      <a:ext cx="7715250" cy="304800"/>
                    </a:xfrm>
                    <a:prstGeom prst="rect">
                      <a:avLst/>
                    </a:prstGeom>
                  </pic:spPr>
                </pic:pic>
              </a:graphicData>
            </a:graphic>
            <wp14:sizeRelH relativeFrom="page">
              <wp14:pctWidth>0</wp14:pctWidth>
            </wp14:sizeRelH>
            <wp14:sizeRelV relativeFrom="page">
              <wp14:pctHeight>0</wp14:pctHeight>
            </wp14:sizeRelV>
          </wp:anchor>
        </w:drawing>
      </w:r>
      <w:r w:rsidRPr="009146F9">
        <w:rPr>
          <w:noProof/>
          <w:color w:val="31849B" w:themeColor="accent5" w:themeShade="BF"/>
          <w:lang w:eastAsia="en-AU"/>
        </w:rPr>
        <w:drawing>
          <wp:anchor distT="0" distB="0" distL="114300" distR="114300" simplePos="0" relativeHeight="251658240" behindDoc="0" locked="0" layoutInCell="1" allowOverlap="1" wp14:anchorId="10EB9E67" wp14:editId="3A289F5F">
            <wp:simplePos x="0" y="0"/>
            <wp:positionH relativeFrom="column">
              <wp:posOffset>-952500</wp:posOffset>
            </wp:positionH>
            <wp:positionV relativeFrom="paragraph">
              <wp:posOffset>1556385</wp:posOffset>
            </wp:positionV>
            <wp:extent cx="7667625" cy="4297045"/>
            <wp:effectExtent l="0" t="0" r="9525" b="8255"/>
            <wp:wrapNone/>
            <wp:docPr id="1" name="Picture 1" descr="Workd, magnifying glass and wave&#10;decorative only"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F Cover Graphic.PNG"/>
                    <pic:cNvPicPr/>
                  </pic:nvPicPr>
                  <pic:blipFill>
                    <a:blip r:embed="rId11">
                      <a:extLst>
                        <a:ext uri="{28A0092B-C50C-407E-A947-70E740481C1C}">
                          <a14:useLocalDpi xmlns:a14="http://schemas.microsoft.com/office/drawing/2010/main" val="0"/>
                        </a:ext>
                      </a:extLst>
                    </a:blip>
                    <a:stretch>
                      <a:fillRect/>
                    </a:stretch>
                  </pic:blipFill>
                  <pic:spPr>
                    <a:xfrm>
                      <a:off x="0" y="0"/>
                      <a:ext cx="7667625" cy="4297045"/>
                    </a:xfrm>
                    <a:prstGeom prst="rect">
                      <a:avLst/>
                    </a:prstGeom>
                  </pic:spPr>
                </pic:pic>
              </a:graphicData>
            </a:graphic>
            <wp14:sizeRelH relativeFrom="page">
              <wp14:pctWidth>0</wp14:pctWidth>
            </wp14:sizeRelH>
            <wp14:sizeRelV relativeFrom="page">
              <wp14:pctHeight>0</wp14:pctHeight>
            </wp14:sizeRelV>
          </wp:anchor>
        </w:drawing>
      </w:r>
      <w:r w:rsidR="00A85BF3" w:rsidRPr="009146F9">
        <w:t xml:space="preserve">Activities </w:t>
      </w:r>
      <w:r w:rsidR="006416EE" w:rsidRPr="009146F9">
        <w:t xml:space="preserve">Report </w:t>
      </w:r>
    </w:p>
    <w:p w:rsidR="00811433" w:rsidRPr="009146F9" w:rsidRDefault="00811433" w:rsidP="00FC47DF">
      <w:pPr>
        <w:keepNext/>
        <w:spacing w:after="0" w:line="240" w:lineRule="auto"/>
        <w:rPr>
          <w:rFonts w:ascii="Gill Sans MT" w:hAnsi="Gill Sans MT"/>
        </w:rPr>
      </w:pPr>
      <w:r w:rsidRPr="009146F9">
        <w:rPr>
          <w:rFonts w:ascii="Gill Sans MT" w:hAnsi="Gill Sans MT"/>
        </w:rPr>
        <w:br w:type="page"/>
      </w:r>
    </w:p>
    <w:p w:rsidR="00F30014" w:rsidRPr="009146F9" w:rsidRDefault="00F30014" w:rsidP="008B2887">
      <w:pPr>
        <w:keepNext/>
        <w:tabs>
          <w:tab w:val="left" w:pos="7051"/>
        </w:tabs>
        <w:spacing w:before="120" w:after="120" w:line="280" w:lineRule="atLeast"/>
        <w:rPr>
          <w:rFonts w:ascii="Gill Sans MT" w:hAnsi="Gill Sans MT" w:cstheme="minorHAnsi"/>
          <w:b/>
          <w:sz w:val="28"/>
        </w:rPr>
      </w:pPr>
      <w:r w:rsidRPr="009146F9">
        <w:rPr>
          <w:rFonts w:ascii="Gill Sans MT" w:hAnsi="Gill Sans MT"/>
          <w:noProof/>
          <w:lang w:eastAsia="en-AU"/>
        </w:rPr>
        <w:lastRenderedPageBreak/>
        <mc:AlternateContent>
          <mc:Choice Requires="wps">
            <w:drawing>
              <wp:anchor distT="0" distB="0" distL="114300" distR="114300" simplePos="0" relativeHeight="251664384" behindDoc="0" locked="0" layoutInCell="1" allowOverlap="1" wp14:anchorId="4376E411" wp14:editId="431830E0">
                <wp:simplePos x="0" y="0"/>
                <wp:positionH relativeFrom="column">
                  <wp:posOffset>426720</wp:posOffset>
                </wp:positionH>
                <wp:positionV relativeFrom="paragraph">
                  <wp:posOffset>157480</wp:posOffset>
                </wp:positionV>
                <wp:extent cx="3329940" cy="8505825"/>
                <wp:effectExtent l="0" t="0" r="381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9940" cy="8505825"/>
                        </a:xfrm>
                        <a:prstGeom prst="rect">
                          <a:avLst/>
                        </a:prstGeom>
                        <a:noFill/>
                        <a:ln>
                          <a:noFill/>
                        </a:ln>
                        <a:effectLst/>
                        <a:extLst>
                          <a:ext uri="{FAA26D3D-D897-4be2-8F04-BA451C77F1D7}"/>
                          <a:ext uri="{C572A759-6A51-4108-AA02-DFA0A04FC94B}"/>
                        </a:extLst>
                      </wps:spPr>
                      <wps:txbx>
                        <w:txbxContent>
                          <w:p w:rsidR="00C569E6" w:rsidRPr="00616406" w:rsidRDefault="00C569E6" w:rsidP="00E77464">
                            <w:pPr>
                              <w:pStyle w:val="Disclaimer"/>
                              <w:ind w:left="-567" w:hanging="142"/>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Default="00C569E6" w:rsidP="00F30014">
                            <w:pPr>
                              <w:pStyle w:val="Disclaimer"/>
                              <w:rPr>
                                <w:rFonts w:ascii="Gill Sans MT" w:hAnsi="Gill Sans MT"/>
                                <w:b/>
                                <w:i/>
                              </w:rPr>
                            </w:pPr>
                            <w:r>
                              <w:rPr>
                                <w:rFonts w:ascii="Gill Sans MT" w:hAnsi="Gill Sans MT"/>
                                <w:b/>
                                <w:i/>
                              </w:rPr>
                              <w:t xml:space="preserve">Rising Above the Influence – Tasmanian Alcohol Action Framework 2010 - 2015 </w:t>
                            </w:r>
                          </w:p>
                          <w:p w:rsidR="00C569E6" w:rsidRPr="00294707" w:rsidRDefault="00C569E6" w:rsidP="00F30014">
                            <w:pPr>
                              <w:pStyle w:val="Disclaimer"/>
                              <w:rPr>
                                <w:rFonts w:ascii="Gill Sans MT" w:hAnsi="Gill Sans MT"/>
                              </w:rPr>
                            </w:pPr>
                            <w:r>
                              <w:rPr>
                                <w:rFonts w:ascii="Gill Sans MT" w:hAnsi="Gill Sans MT"/>
                                <w:b/>
                                <w:i/>
                              </w:rPr>
                              <w:t>Activities Report 2016</w:t>
                            </w:r>
                          </w:p>
                          <w:p w:rsidR="00C569E6" w:rsidRPr="00294707" w:rsidRDefault="00C569E6" w:rsidP="00F30014">
                            <w:pPr>
                              <w:pStyle w:val="Disclaimer"/>
                              <w:rPr>
                                <w:rFonts w:ascii="Gill Sans MT" w:hAnsi="Gill Sans MT"/>
                                <w:lang w:val="en-AU"/>
                              </w:rPr>
                            </w:pPr>
                            <w:r>
                              <w:rPr>
                                <w:rFonts w:ascii="Gill Sans MT" w:hAnsi="Gill Sans MT"/>
                                <w:lang w:val="en-AU"/>
                              </w:rPr>
                              <w:t>© Government of Tasmania, 2017</w:t>
                            </w:r>
                          </w:p>
                          <w:p w:rsidR="00C569E6" w:rsidRPr="00294707" w:rsidRDefault="00C569E6" w:rsidP="00F30014">
                            <w:pPr>
                              <w:pStyle w:val="Disclaimer"/>
                              <w:rPr>
                                <w:rFonts w:ascii="Gill Sans MT" w:hAnsi="Gill Sans MT"/>
                                <w:lang w:val="en-AU"/>
                              </w:rPr>
                            </w:pPr>
                          </w:p>
                          <w:p w:rsidR="00C569E6" w:rsidRPr="00294707" w:rsidRDefault="00C569E6" w:rsidP="00F30014">
                            <w:pPr>
                              <w:pStyle w:val="Disclaimer"/>
                              <w:rPr>
                                <w:rFonts w:ascii="Gill Sans MT" w:hAnsi="Gill Sans MT"/>
                                <w:lang w:val="en-AU"/>
                              </w:rPr>
                            </w:pPr>
                            <w:r w:rsidRPr="00294707">
                              <w:rPr>
                                <w:rFonts w:ascii="Gill Sans MT" w:hAnsi="Gill Sans MT"/>
                                <w:lang w:val="en-AU"/>
                              </w:rPr>
                              <w:t xml:space="preserve">Excerpts from this publication may be reproduced, with appropriate acknowledgement, as permitted under the Copyright Act. </w:t>
                            </w:r>
                          </w:p>
                          <w:p w:rsidR="00C569E6" w:rsidRPr="00294707" w:rsidRDefault="00C569E6" w:rsidP="00F30014">
                            <w:pPr>
                              <w:pStyle w:val="Disclaimer"/>
                              <w:rPr>
                                <w:rFonts w:ascii="Gill Sans MT" w:hAnsi="Gill Sans MT"/>
                                <w:lang w:val="en-AU"/>
                              </w:rPr>
                            </w:pPr>
                            <w:r w:rsidRPr="00294707">
                              <w:rPr>
                                <w:rFonts w:ascii="Gill Sans MT" w:hAnsi="Gill Sans MT"/>
                                <w:lang w:val="en-AU"/>
                              </w:rPr>
                              <w:t xml:space="preserve">For further information please contact: </w:t>
                            </w:r>
                          </w:p>
                          <w:p w:rsidR="00C569E6" w:rsidRDefault="00C569E6" w:rsidP="00683D7A">
                            <w:pPr>
                              <w:pStyle w:val="Disclaimer"/>
                              <w:spacing w:before="0" w:after="0"/>
                              <w:ind w:left="284"/>
                              <w:rPr>
                                <w:rFonts w:ascii="Gill Sans MT" w:hAnsi="Gill Sans MT"/>
                                <w:lang w:val="en-AU"/>
                              </w:rPr>
                            </w:pPr>
                            <w:r w:rsidRPr="00294707">
                              <w:rPr>
                                <w:rFonts w:ascii="Gill Sans MT" w:hAnsi="Gill Sans MT"/>
                                <w:lang w:val="en-AU"/>
                              </w:rPr>
                              <w:t>Mental Health, Alcohol and Drug Directorate</w:t>
                            </w:r>
                            <w:r>
                              <w:rPr>
                                <w:rFonts w:ascii="Gill Sans MT" w:hAnsi="Gill Sans MT"/>
                                <w:lang w:val="en-AU"/>
                              </w:rPr>
                              <w:br/>
                            </w:r>
                            <w:r w:rsidRPr="00294707">
                              <w:rPr>
                                <w:rFonts w:ascii="Gill Sans MT" w:hAnsi="Gill Sans MT"/>
                                <w:lang w:val="en-AU"/>
                              </w:rPr>
                              <w:t xml:space="preserve">Department of Health and Human Services </w:t>
                            </w:r>
                            <w:r>
                              <w:rPr>
                                <w:rFonts w:ascii="Gill Sans MT" w:hAnsi="Gill Sans MT"/>
                                <w:lang w:val="en-AU"/>
                              </w:rPr>
                              <w:br/>
                            </w:r>
                            <w:r w:rsidRPr="00294707">
                              <w:rPr>
                                <w:rFonts w:ascii="Gill Sans MT" w:hAnsi="Gill Sans MT"/>
                                <w:lang w:val="en-AU"/>
                              </w:rPr>
                              <w:t>GPO Box 125</w:t>
                            </w:r>
                            <w:r>
                              <w:rPr>
                                <w:rFonts w:ascii="Gill Sans MT" w:hAnsi="Gill Sans MT"/>
                                <w:lang w:val="en-AU"/>
                              </w:rPr>
                              <w:br/>
                            </w:r>
                            <w:r w:rsidRPr="00294707">
                              <w:rPr>
                                <w:rFonts w:ascii="Gill Sans MT" w:hAnsi="Gill Sans MT"/>
                                <w:lang w:val="en-AU"/>
                              </w:rPr>
                              <w:t xml:space="preserve">Hobart Tasmania 7001 </w:t>
                            </w:r>
                            <w:r>
                              <w:rPr>
                                <w:rFonts w:ascii="Gill Sans MT" w:hAnsi="Gill Sans MT"/>
                                <w:lang w:val="en-AU"/>
                              </w:rPr>
                              <w:br/>
                            </w:r>
                            <w:r w:rsidRPr="00294707">
                              <w:rPr>
                                <w:rFonts w:ascii="Gill Sans MT" w:hAnsi="Gill Sans MT"/>
                                <w:lang w:val="en-AU"/>
                              </w:rPr>
                              <w:t>Telephone: + 61 3 6166 0781</w:t>
                            </w:r>
                          </w:p>
                          <w:p w:rsidR="00C569E6" w:rsidRPr="00294707" w:rsidRDefault="00D36EBA" w:rsidP="00683D7A">
                            <w:pPr>
                              <w:pStyle w:val="Disclaimer"/>
                              <w:spacing w:before="0"/>
                              <w:ind w:left="284"/>
                              <w:rPr>
                                <w:rFonts w:ascii="Gill Sans MT" w:hAnsi="Gill Sans MT"/>
                                <w:lang w:val="en-AU"/>
                              </w:rPr>
                            </w:pPr>
                            <w:hyperlink r:id="rId12" w:history="1">
                              <w:r w:rsidR="00C569E6" w:rsidRPr="00B37DE2">
                                <w:rPr>
                                  <w:rStyle w:val="Hyperlink"/>
                                  <w:rFonts w:ascii="Gill Sans MT" w:hAnsi="Gill Sans MT"/>
                                  <w:lang w:val="en-AU"/>
                                </w:rPr>
                                <w:t>director.mhadd@dhhs.tas.gov.au</w:t>
                              </w:r>
                            </w:hyperlink>
                            <w:r w:rsidR="00C569E6">
                              <w:rPr>
                                <w:rFonts w:ascii="Gill Sans MT" w:hAnsi="Gill Sans MT"/>
                                <w:lang w:val="en-AU"/>
                              </w:rPr>
                              <w:t xml:space="preserve"> </w:t>
                            </w:r>
                          </w:p>
                          <w:p w:rsidR="00C569E6" w:rsidRDefault="00C569E6" w:rsidP="00F30014">
                            <w:pPr>
                              <w:pStyle w:val="Disclaimer"/>
                              <w:ind w:left="283"/>
                              <w:rPr>
                                <w:rFonts w:ascii="Gill Sans MT" w:hAnsi="Gill Sans MT"/>
                                <w:lang w:val="en-AU"/>
                              </w:rPr>
                            </w:pPr>
                            <w:r w:rsidRPr="00294707">
                              <w:rPr>
                                <w:rFonts w:ascii="Gill Sans MT" w:hAnsi="Gill Sans MT"/>
                                <w:lang w:val="en-AU"/>
                              </w:rPr>
                              <w:t xml:space="preserve">Website: </w:t>
                            </w:r>
                            <w:hyperlink r:id="rId13" w:history="1">
                              <w:r w:rsidRPr="000652E9">
                                <w:rPr>
                                  <w:rStyle w:val="Hyperlink"/>
                                  <w:rFonts w:ascii="Gill Sans MT" w:hAnsi="Gill Sans MT"/>
                                  <w:lang w:val="en-AU"/>
                                </w:rPr>
                                <w:t>http://www.dhhs.tas.gov.au</w:t>
                              </w:r>
                            </w:hyperlink>
                            <w:r>
                              <w:rPr>
                                <w:rFonts w:ascii="Gill Sans MT" w:hAnsi="Gill Sans MT"/>
                                <w:lang w:val="en-AU"/>
                              </w:rPr>
                              <w:t xml:space="preserve"> </w:t>
                            </w:r>
                            <w:r w:rsidRPr="00294707">
                              <w:rPr>
                                <w:rFonts w:ascii="Gill Sans MT" w:hAnsi="Gill Sans MT"/>
                                <w:lang w:val="en-AU"/>
                              </w:rPr>
                              <w:t xml:space="preserve"> </w:t>
                            </w:r>
                          </w:p>
                          <w:p w:rsidR="00C569E6" w:rsidRPr="00294707" w:rsidRDefault="00C569E6" w:rsidP="00EC6B40">
                            <w:pPr>
                              <w:pStyle w:val="Disclaimer"/>
                              <w:ind w:left="283"/>
                              <w:rPr>
                                <w:rFonts w:ascii="Gill Sans MT" w:hAnsi="Gill Sans MT"/>
                                <w:lang w:val="en-AU"/>
                              </w:rPr>
                            </w:pPr>
                            <w:r>
                              <w:rPr>
                                <w:rFonts w:ascii="Gill Sans MT" w:hAnsi="Gill Sans MT"/>
                                <w:lang w:val="en-AU"/>
                              </w:rPr>
                              <w:t xml:space="preserve">Tasmanian Drug Strategy website: </w:t>
                            </w:r>
                            <w:hyperlink r:id="rId14" w:history="1">
                              <w:r w:rsidRPr="000652E9">
                                <w:rPr>
                                  <w:rStyle w:val="Hyperlink"/>
                                  <w:rFonts w:ascii="Gill Sans MT" w:hAnsi="Gill Sans MT"/>
                                  <w:lang w:val="en-AU"/>
                                </w:rPr>
                                <w:t>http://www.drugstrategy.dhhs.tas.gov.au</w:t>
                              </w:r>
                            </w:hyperlink>
                            <w:r>
                              <w:rPr>
                                <w:rFonts w:ascii="Gill Sans MT" w:hAnsi="Gill Sans MT"/>
                                <w:lang w:val="en-AU"/>
                              </w:rPr>
                              <w:t xml:space="preserve"> </w:t>
                            </w:r>
                          </w:p>
                          <w:p w:rsidR="00C569E6" w:rsidRPr="00294707" w:rsidRDefault="00C569E6" w:rsidP="00AF6D84">
                            <w:pPr>
                              <w:pStyle w:val="Disclaimer"/>
                              <w:rPr>
                                <w:rFonts w:ascii="Gill Sans MT" w:hAnsi="Gill Sans MT"/>
                                <w:lang w:val="en-AU"/>
                              </w:rPr>
                            </w:pPr>
                          </w:p>
                          <w:p w:rsidR="00C569E6" w:rsidRPr="00294707" w:rsidRDefault="00C569E6" w:rsidP="00AF6D84">
                            <w:pPr>
                              <w:spacing w:before="120" w:after="120" w:line="240" w:lineRule="auto"/>
                              <w:rPr>
                                <w:rFonts w:ascii="Gill Sans MT" w:hAnsi="Gill Sans MT" w:cs="GillSans-Light"/>
                                <w:color w:val="000000"/>
                                <w:sz w:val="20"/>
                                <w:szCs w:val="18"/>
                              </w:rPr>
                            </w:pPr>
                            <w:r w:rsidRPr="00294707">
                              <w:rPr>
                                <w:rFonts w:ascii="Gill Sans MT" w:hAnsi="Gill Sans MT" w:cs="GillSans-Light"/>
                                <w:color w:val="000000"/>
                                <w:sz w:val="20"/>
                                <w:szCs w:val="18"/>
                              </w:rPr>
                              <w:t>This docu</w:t>
                            </w:r>
                            <w:r>
                              <w:rPr>
                                <w:rFonts w:ascii="Gill Sans MT" w:hAnsi="Gill Sans MT" w:cs="GillSans-Light"/>
                                <w:color w:val="000000"/>
                                <w:sz w:val="20"/>
                                <w:szCs w:val="18"/>
                              </w:rPr>
                              <w:t>ment was produced by the Intera</w:t>
                            </w:r>
                            <w:r w:rsidRPr="00294707">
                              <w:rPr>
                                <w:rFonts w:ascii="Gill Sans MT" w:hAnsi="Gill Sans MT" w:cs="GillSans-Light"/>
                                <w:color w:val="000000"/>
                                <w:sz w:val="20"/>
                                <w:szCs w:val="18"/>
                              </w:rPr>
                              <w:t>gency Working Group on Drugs on behalf of the Tasmanian Government.</w:t>
                            </w:r>
                          </w:p>
                          <w:p w:rsidR="00C569E6" w:rsidRPr="00294707" w:rsidRDefault="00C569E6" w:rsidP="00AF6D84">
                            <w:pPr>
                              <w:spacing w:before="120" w:after="120" w:line="240" w:lineRule="auto"/>
                              <w:rPr>
                                <w:rFonts w:ascii="Gill Sans MT" w:hAnsi="Gill Sans MT" w:cs="GillSans-Light"/>
                                <w:color w:val="000000"/>
                                <w:sz w:val="20"/>
                                <w:szCs w:val="18"/>
                              </w:rPr>
                            </w:pPr>
                            <w:r w:rsidRPr="00294707">
                              <w:rPr>
                                <w:rFonts w:ascii="Gill Sans MT" w:hAnsi="Gill Sans MT" w:cs="GillSans-Light"/>
                                <w:color w:val="000000"/>
                                <w:sz w:val="20"/>
                                <w:szCs w:val="18"/>
                              </w:rPr>
                              <w:t xml:space="preserve">In developing this document, the Mental Health, Alcohol and Drug Directorate would like to acknowledge the contribution of other </w:t>
                            </w:r>
                            <w:r>
                              <w:rPr>
                                <w:rFonts w:ascii="Gill Sans MT" w:hAnsi="Gill Sans MT" w:cs="GillSans-Light"/>
                                <w:color w:val="000000"/>
                                <w:sz w:val="20"/>
                                <w:szCs w:val="18"/>
                              </w:rPr>
                              <w:t>Tasmanian Government Agencies and Non-Government Sector Organisations</w:t>
                            </w:r>
                            <w:r w:rsidRPr="00294707">
                              <w:rPr>
                                <w:rFonts w:ascii="Gill Sans MT" w:hAnsi="Gill Sans MT" w:cs="GillSans-Light"/>
                                <w:color w:val="000000"/>
                                <w:sz w:val="20"/>
                                <w:szCs w:val="18"/>
                              </w:rPr>
                              <w:t xml:space="preserve"> from which some of this m</w:t>
                            </w:r>
                            <w:r>
                              <w:rPr>
                                <w:rFonts w:ascii="Gill Sans MT" w:hAnsi="Gill Sans MT" w:cs="GillSans-Light"/>
                                <w:color w:val="000000"/>
                                <w:sz w:val="20"/>
                                <w:szCs w:val="18"/>
                              </w:rPr>
                              <w:t>aterial was drawn or adapted</w:t>
                            </w:r>
                            <w:r w:rsidRPr="00294707">
                              <w:rPr>
                                <w:rFonts w:ascii="Gill Sans MT" w:hAnsi="Gill Sans MT" w:cs="GillSans-Light"/>
                                <w:color w:val="000000"/>
                                <w:sz w:val="20"/>
                                <w:szCs w:val="18"/>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3.6pt;margin-top:12.4pt;width:262.2pt;height:6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" filled="f" stroked="f">
                <v:path arrowok="t"/>
                <v:textbox inset="0,0,0,0">
                  <w:txbxContent>
                    <w:p w:rsidR="00C569E6" w:rsidRPr="00616406" w:rsidRDefault="00C569E6" w:rsidP="00E77464">
                      <w:pPr>
                        <w:pStyle w:val="Disclaimer"/>
                        <w:ind w:left="-567" w:hanging="142"/>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Pr="00616406" w:rsidRDefault="00C569E6" w:rsidP="00F30014">
                      <w:pPr>
                        <w:pStyle w:val="Disclaimer"/>
                        <w:rPr>
                          <w:rFonts w:ascii="Gill Sans MT" w:hAnsi="Gill Sans MT"/>
                          <w:b/>
                          <w:i/>
                          <w:color w:val="auto"/>
                        </w:rPr>
                      </w:pPr>
                    </w:p>
                    <w:p w:rsidR="00C569E6" w:rsidRDefault="00C569E6" w:rsidP="00F30014">
                      <w:pPr>
                        <w:pStyle w:val="Disclaimer"/>
                        <w:rPr>
                          <w:rFonts w:ascii="Gill Sans MT" w:hAnsi="Gill Sans MT"/>
                          <w:b/>
                          <w:i/>
                        </w:rPr>
                      </w:pPr>
                      <w:r>
                        <w:rPr>
                          <w:rFonts w:ascii="Gill Sans MT" w:hAnsi="Gill Sans MT"/>
                          <w:b/>
                          <w:i/>
                        </w:rPr>
                        <w:t xml:space="preserve">Rising Above the Influence – Tasmanian Alcohol Action Framework 2010 - 2015 </w:t>
                      </w:r>
                    </w:p>
                    <w:p w:rsidR="00C569E6" w:rsidRPr="00294707" w:rsidRDefault="00C569E6" w:rsidP="00F30014">
                      <w:pPr>
                        <w:pStyle w:val="Disclaimer"/>
                        <w:rPr>
                          <w:rFonts w:ascii="Gill Sans MT" w:hAnsi="Gill Sans MT"/>
                        </w:rPr>
                      </w:pPr>
                      <w:r>
                        <w:rPr>
                          <w:rFonts w:ascii="Gill Sans MT" w:hAnsi="Gill Sans MT"/>
                          <w:b/>
                          <w:i/>
                        </w:rPr>
                        <w:t>Activities Report 2016</w:t>
                      </w:r>
                    </w:p>
                    <w:p w:rsidR="00C569E6" w:rsidRPr="00294707" w:rsidRDefault="00C569E6" w:rsidP="00F30014">
                      <w:pPr>
                        <w:pStyle w:val="Disclaimer"/>
                        <w:rPr>
                          <w:rFonts w:ascii="Gill Sans MT" w:hAnsi="Gill Sans MT"/>
                          <w:lang w:val="en-AU"/>
                        </w:rPr>
                      </w:pPr>
                      <w:r>
                        <w:rPr>
                          <w:rFonts w:ascii="Gill Sans MT" w:hAnsi="Gill Sans MT"/>
                          <w:lang w:val="en-AU"/>
                        </w:rPr>
                        <w:t>© Government of Tasmania, 2017</w:t>
                      </w:r>
                    </w:p>
                    <w:p w:rsidR="00C569E6" w:rsidRPr="00294707" w:rsidRDefault="00C569E6" w:rsidP="00F30014">
                      <w:pPr>
                        <w:pStyle w:val="Disclaimer"/>
                        <w:rPr>
                          <w:rFonts w:ascii="Gill Sans MT" w:hAnsi="Gill Sans MT"/>
                          <w:lang w:val="en-AU"/>
                        </w:rPr>
                      </w:pPr>
                    </w:p>
                    <w:p w:rsidR="00C569E6" w:rsidRPr="00294707" w:rsidRDefault="00C569E6" w:rsidP="00F30014">
                      <w:pPr>
                        <w:pStyle w:val="Disclaimer"/>
                        <w:rPr>
                          <w:rFonts w:ascii="Gill Sans MT" w:hAnsi="Gill Sans MT"/>
                          <w:lang w:val="en-AU"/>
                        </w:rPr>
                      </w:pPr>
                      <w:r w:rsidRPr="00294707">
                        <w:rPr>
                          <w:rFonts w:ascii="Gill Sans MT" w:hAnsi="Gill Sans MT"/>
                          <w:lang w:val="en-AU"/>
                        </w:rPr>
                        <w:t xml:space="preserve">Excerpts from this publication may be reproduced, with appropriate acknowledgement, as permitted under the Copyright Act. </w:t>
                      </w:r>
                    </w:p>
                    <w:p w:rsidR="00C569E6" w:rsidRPr="00294707" w:rsidRDefault="00C569E6" w:rsidP="00F30014">
                      <w:pPr>
                        <w:pStyle w:val="Disclaimer"/>
                        <w:rPr>
                          <w:rFonts w:ascii="Gill Sans MT" w:hAnsi="Gill Sans MT"/>
                          <w:lang w:val="en-AU"/>
                        </w:rPr>
                      </w:pPr>
                      <w:r w:rsidRPr="00294707">
                        <w:rPr>
                          <w:rFonts w:ascii="Gill Sans MT" w:hAnsi="Gill Sans MT"/>
                          <w:lang w:val="en-AU"/>
                        </w:rPr>
                        <w:t xml:space="preserve">For further information please contact: </w:t>
                      </w:r>
                    </w:p>
                    <w:p w:rsidR="00C569E6" w:rsidRDefault="00C569E6" w:rsidP="00683D7A">
                      <w:pPr>
                        <w:pStyle w:val="Disclaimer"/>
                        <w:spacing w:before="0" w:after="0"/>
                        <w:ind w:left="284"/>
                        <w:rPr>
                          <w:rFonts w:ascii="Gill Sans MT" w:hAnsi="Gill Sans MT"/>
                          <w:lang w:val="en-AU"/>
                        </w:rPr>
                      </w:pPr>
                      <w:r w:rsidRPr="00294707">
                        <w:rPr>
                          <w:rFonts w:ascii="Gill Sans MT" w:hAnsi="Gill Sans MT"/>
                          <w:lang w:val="en-AU"/>
                        </w:rPr>
                        <w:t>Mental Health, Alcohol and Drug Directorate</w:t>
                      </w:r>
                      <w:r>
                        <w:rPr>
                          <w:rFonts w:ascii="Gill Sans MT" w:hAnsi="Gill Sans MT"/>
                          <w:lang w:val="en-AU"/>
                        </w:rPr>
                        <w:br/>
                      </w:r>
                      <w:r w:rsidRPr="00294707">
                        <w:rPr>
                          <w:rFonts w:ascii="Gill Sans MT" w:hAnsi="Gill Sans MT"/>
                          <w:lang w:val="en-AU"/>
                        </w:rPr>
                        <w:t xml:space="preserve">Department of Health and Human Services </w:t>
                      </w:r>
                      <w:r>
                        <w:rPr>
                          <w:rFonts w:ascii="Gill Sans MT" w:hAnsi="Gill Sans MT"/>
                          <w:lang w:val="en-AU"/>
                        </w:rPr>
                        <w:br/>
                      </w:r>
                      <w:r w:rsidRPr="00294707">
                        <w:rPr>
                          <w:rFonts w:ascii="Gill Sans MT" w:hAnsi="Gill Sans MT"/>
                          <w:lang w:val="en-AU"/>
                        </w:rPr>
                        <w:t>GPO Box 125</w:t>
                      </w:r>
                      <w:r>
                        <w:rPr>
                          <w:rFonts w:ascii="Gill Sans MT" w:hAnsi="Gill Sans MT"/>
                          <w:lang w:val="en-AU"/>
                        </w:rPr>
                        <w:br/>
                      </w:r>
                      <w:r w:rsidRPr="00294707">
                        <w:rPr>
                          <w:rFonts w:ascii="Gill Sans MT" w:hAnsi="Gill Sans MT"/>
                          <w:lang w:val="en-AU"/>
                        </w:rPr>
                        <w:t xml:space="preserve">Hobart Tasmania 7001 </w:t>
                      </w:r>
                      <w:r>
                        <w:rPr>
                          <w:rFonts w:ascii="Gill Sans MT" w:hAnsi="Gill Sans MT"/>
                          <w:lang w:val="en-AU"/>
                        </w:rPr>
                        <w:br/>
                      </w:r>
                      <w:r w:rsidRPr="00294707">
                        <w:rPr>
                          <w:rFonts w:ascii="Gill Sans MT" w:hAnsi="Gill Sans MT"/>
                          <w:lang w:val="en-AU"/>
                        </w:rPr>
                        <w:t>Telephone: + 61 3 6166 0781</w:t>
                      </w:r>
                    </w:p>
                    <w:p w:rsidR="00C569E6" w:rsidRPr="00294707" w:rsidRDefault="006A10E3" w:rsidP="00683D7A">
                      <w:pPr>
                        <w:pStyle w:val="Disclaimer"/>
                        <w:spacing w:before="0"/>
                        <w:ind w:left="284"/>
                        <w:rPr>
                          <w:rFonts w:ascii="Gill Sans MT" w:hAnsi="Gill Sans MT"/>
                          <w:lang w:val="en-AU"/>
                        </w:rPr>
                      </w:pPr>
                      <w:hyperlink r:id="rId15" w:history="1">
                        <w:r w:rsidR="00C569E6" w:rsidRPr="00B37DE2">
                          <w:rPr>
                            <w:rStyle w:val="Hyperlink"/>
                            <w:rFonts w:ascii="Gill Sans MT" w:hAnsi="Gill Sans MT"/>
                            <w:lang w:val="en-AU"/>
                          </w:rPr>
                          <w:t>director.mhadd@dhhs.tas.gov.au</w:t>
                        </w:r>
                      </w:hyperlink>
                      <w:r w:rsidR="00C569E6">
                        <w:rPr>
                          <w:rFonts w:ascii="Gill Sans MT" w:hAnsi="Gill Sans MT"/>
                          <w:lang w:val="en-AU"/>
                        </w:rPr>
                        <w:t xml:space="preserve"> </w:t>
                      </w:r>
                    </w:p>
                    <w:p w:rsidR="00C569E6" w:rsidRDefault="00C569E6" w:rsidP="00F30014">
                      <w:pPr>
                        <w:pStyle w:val="Disclaimer"/>
                        <w:ind w:left="283"/>
                        <w:rPr>
                          <w:rFonts w:ascii="Gill Sans MT" w:hAnsi="Gill Sans MT"/>
                          <w:lang w:val="en-AU"/>
                        </w:rPr>
                      </w:pPr>
                      <w:r w:rsidRPr="00294707">
                        <w:rPr>
                          <w:rFonts w:ascii="Gill Sans MT" w:hAnsi="Gill Sans MT"/>
                          <w:lang w:val="en-AU"/>
                        </w:rPr>
                        <w:t xml:space="preserve">Website: </w:t>
                      </w:r>
                      <w:hyperlink r:id="rId16" w:history="1">
                        <w:r w:rsidRPr="000652E9">
                          <w:rPr>
                            <w:rStyle w:val="Hyperlink"/>
                            <w:rFonts w:ascii="Gill Sans MT" w:hAnsi="Gill Sans MT"/>
                            <w:lang w:val="en-AU"/>
                          </w:rPr>
                          <w:t>http://www.dhhs.tas.gov.au</w:t>
                        </w:r>
                      </w:hyperlink>
                      <w:r>
                        <w:rPr>
                          <w:rFonts w:ascii="Gill Sans MT" w:hAnsi="Gill Sans MT"/>
                          <w:lang w:val="en-AU"/>
                        </w:rPr>
                        <w:t xml:space="preserve"> </w:t>
                      </w:r>
                      <w:r w:rsidRPr="00294707">
                        <w:rPr>
                          <w:rFonts w:ascii="Gill Sans MT" w:hAnsi="Gill Sans MT"/>
                          <w:lang w:val="en-AU"/>
                        </w:rPr>
                        <w:t xml:space="preserve"> </w:t>
                      </w:r>
                    </w:p>
                    <w:p w:rsidR="00C569E6" w:rsidRPr="00294707" w:rsidRDefault="00C569E6" w:rsidP="00EC6B40">
                      <w:pPr>
                        <w:pStyle w:val="Disclaimer"/>
                        <w:ind w:left="283"/>
                        <w:rPr>
                          <w:rFonts w:ascii="Gill Sans MT" w:hAnsi="Gill Sans MT"/>
                          <w:lang w:val="en-AU"/>
                        </w:rPr>
                      </w:pPr>
                      <w:r>
                        <w:rPr>
                          <w:rFonts w:ascii="Gill Sans MT" w:hAnsi="Gill Sans MT"/>
                          <w:lang w:val="en-AU"/>
                        </w:rPr>
                        <w:t xml:space="preserve">Tasmanian Drug Strategy website: </w:t>
                      </w:r>
                      <w:hyperlink r:id="rId17" w:history="1">
                        <w:r w:rsidRPr="000652E9">
                          <w:rPr>
                            <w:rStyle w:val="Hyperlink"/>
                            <w:rFonts w:ascii="Gill Sans MT" w:hAnsi="Gill Sans MT"/>
                            <w:lang w:val="en-AU"/>
                          </w:rPr>
                          <w:t>http://www.drugstrategy.dhhs.tas.gov.au</w:t>
                        </w:r>
                      </w:hyperlink>
                      <w:r>
                        <w:rPr>
                          <w:rFonts w:ascii="Gill Sans MT" w:hAnsi="Gill Sans MT"/>
                          <w:lang w:val="en-AU"/>
                        </w:rPr>
                        <w:t xml:space="preserve"> </w:t>
                      </w:r>
                    </w:p>
                    <w:p w:rsidR="00C569E6" w:rsidRPr="00294707" w:rsidRDefault="00C569E6" w:rsidP="00AF6D84">
                      <w:pPr>
                        <w:pStyle w:val="Disclaimer"/>
                        <w:rPr>
                          <w:rFonts w:ascii="Gill Sans MT" w:hAnsi="Gill Sans MT"/>
                          <w:lang w:val="en-AU"/>
                        </w:rPr>
                      </w:pPr>
                    </w:p>
                    <w:p w:rsidR="00C569E6" w:rsidRPr="00294707" w:rsidRDefault="00C569E6" w:rsidP="00AF6D84">
                      <w:pPr>
                        <w:spacing w:before="120" w:after="120" w:line="240" w:lineRule="auto"/>
                        <w:rPr>
                          <w:rFonts w:ascii="Gill Sans MT" w:hAnsi="Gill Sans MT" w:cs="GillSans-Light"/>
                          <w:color w:val="000000"/>
                          <w:sz w:val="20"/>
                          <w:szCs w:val="18"/>
                        </w:rPr>
                      </w:pPr>
                      <w:r w:rsidRPr="00294707">
                        <w:rPr>
                          <w:rFonts w:ascii="Gill Sans MT" w:hAnsi="Gill Sans MT" w:cs="GillSans-Light"/>
                          <w:color w:val="000000"/>
                          <w:sz w:val="20"/>
                          <w:szCs w:val="18"/>
                        </w:rPr>
                        <w:t>This docu</w:t>
                      </w:r>
                      <w:r>
                        <w:rPr>
                          <w:rFonts w:ascii="Gill Sans MT" w:hAnsi="Gill Sans MT" w:cs="GillSans-Light"/>
                          <w:color w:val="000000"/>
                          <w:sz w:val="20"/>
                          <w:szCs w:val="18"/>
                        </w:rPr>
                        <w:t>ment was produced by the Intera</w:t>
                      </w:r>
                      <w:r w:rsidRPr="00294707">
                        <w:rPr>
                          <w:rFonts w:ascii="Gill Sans MT" w:hAnsi="Gill Sans MT" w:cs="GillSans-Light"/>
                          <w:color w:val="000000"/>
                          <w:sz w:val="20"/>
                          <w:szCs w:val="18"/>
                        </w:rPr>
                        <w:t>gency Working Group on Drugs on behalf of the Tasmanian Government.</w:t>
                      </w:r>
                    </w:p>
                    <w:p w:rsidR="00C569E6" w:rsidRPr="00294707" w:rsidRDefault="00C569E6" w:rsidP="00AF6D84">
                      <w:pPr>
                        <w:spacing w:before="120" w:after="120" w:line="240" w:lineRule="auto"/>
                        <w:rPr>
                          <w:rFonts w:ascii="Gill Sans MT" w:hAnsi="Gill Sans MT" w:cs="GillSans-Light"/>
                          <w:color w:val="000000"/>
                          <w:sz w:val="20"/>
                          <w:szCs w:val="18"/>
                        </w:rPr>
                      </w:pPr>
                      <w:r w:rsidRPr="00294707">
                        <w:rPr>
                          <w:rFonts w:ascii="Gill Sans MT" w:hAnsi="Gill Sans MT" w:cs="GillSans-Light"/>
                          <w:color w:val="000000"/>
                          <w:sz w:val="20"/>
                          <w:szCs w:val="18"/>
                        </w:rPr>
                        <w:t xml:space="preserve">In developing this document, the Mental Health, Alcohol and Drug Directorate would like to acknowledge the contribution of other </w:t>
                      </w:r>
                      <w:r>
                        <w:rPr>
                          <w:rFonts w:ascii="Gill Sans MT" w:hAnsi="Gill Sans MT" w:cs="GillSans-Light"/>
                          <w:color w:val="000000"/>
                          <w:sz w:val="20"/>
                          <w:szCs w:val="18"/>
                        </w:rPr>
                        <w:t>Tasmanian Government Agencies and Non-Government Sector Organisations</w:t>
                      </w:r>
                      <w:r w:rsidRPr="00294707">
                        <w:rPr>
                          <w:rFonts w:ascii="Gill Sans MT" w:hAnsi="Gill Sans MT" w:cs="GillSans-Light"/>
                          <w:color w:val="000000"/>
                          <w:sz w:val="20"/>
                          <w:szCs w:val="18"/>
                        </w:rPr>
                        <w:t xml:space="preserve"> from which some of this m</w:t>
                      </w:r>
                      <w:r>
                        <w:rPr>
                          <w:rFonts w:ascii="Gill Sans MT" w:hAnsi="Gill Sans MT" w:cs="GillSans-Light"/>
                          <w:color w:val="000000"/>
                          <w:sz w:val="20"/>
                          <w:szCs w:val="18"/>
                        </w:rPr>
                        <w:t>aterial was drawn or adapted</w:t>
                      </w:r>
                      <w:r w:rsidRPr="00294707">
                        <w:rPr>
                          <w:rFonts w:ascii="Gill Sans MT" w:hAnsi="Gill Sans MT" w:cs="GillSans-Light"/>
                          <w:color w:val="000000"/>
                          <w:sz w:val="20"/>
                          <w:szCs w:val="18"/>
                        </w:rPr>
                        <w:t>.</w:t>
                      </w:r>
                    </w:p>
                  </w:txbxContent>
                </v:textbox>
              </v:shape>
            </w:pict>
          </mc:Fallback>
        </mc:AlternateContent>
      </w:r>
      <w:r w:rsidR="008B2887" w:rsidRPr="009146F9">
        <w:rPr>
          <w:rFonts w:ascii="Gill Sans MT" w:hAnsi="Gill Sans MT" w:cstheme="minorHAnsi"/>
          <w:b/>
          <w:sz w:val="28"/>
        </w:rPr>
        <w:tab/>
      </w:r>
    </w:p>
    <w:p w:rsidR="00F30014" w:rsidRPr="009146F9" w:rsidRDefault="00F30014" w:rsidP="00FC47DF">
      <w:pPr>
        <w:keepNext/>
        <w:spacing w:before="120" w:after="120" w:line="280" w:lineRule="atLeast"/>
        <w:rPr>
          <w:rFonts w:ascii="Gill Sans MT" w:hAnsi="Gill Sans MT" w:cstheme="minorHAnsi"/>
          <w:b/>
          <w:sz w:val="28"/>
        </w:rPr>
      </w:pPr>
      <w:r w:rsidRPr="009146F9">
        <w:rPr>
          <w:rFonts w:ascii="Gill Sans MT" w:hAnsi="Gill Sans MT" w:cstheme="minorHAnsi"/>
          <w:b/>
          <w:sz w:val="28"/>
        </w:rPr>
        <w:br w:type="page"/>
      </w:r>
    </w:p>
    <w:p w:rsidR="00A12C97" w:rsidRPr="009146F9" w:rsidRDefault="00A12C97" w:rsidP="00FC47DF">
      <w:pPr>
        <w:keepNext/>
        <w:spacing w:before="120" w:after="120" w:line="280" w:lineRule="atLeast"/>
        <w:rPr>
          <w:rFonts w:ascii="Gill Sans MT" w:hAnsi="Gill Sans MT" w:cstheme="minorHAnsi"/>
          <w:b/>
          <w:color w:val="1F497D" w:themeColor="text2"/>
          <w:sz w:val="36"/>
        </w:rPr>
        <w:sectPr w:rsidR="00A12C97" w:rsidRPr="009146F9" w:rsidSect="00ED17BF">
          <w:headerReference w:type="even" r:id="rId18"/>
          <w:headerReference w:type="default" r:id="rId19"/>
          <w:footerReference w:type="default" r:id="rId20"/>
          <w:headerReference w:type="first" r:id="rId21"/>
          <w:footerReference w:type="first" r:id="rId22"/>
          <w:endnotePr>
            <w:numFmt w:val="decimal"/>
          </w:endnotePr>
          <w:pgSz w:w="11906" w:h="16838"/>
          <w:pgMar w:top="1440" w:right="1440" w:bottom="1440" w:left="1440" w:header="708" w:footer="708" w:gutter="0"/>
          <w:cols w:space="708"/>
          <w:titlePg/>
          <w:docGrid w:linePitch="360"/>
        </w:sectPr>
      </w:pPr>
    </w:p>
    <w:sdt>
      <w:sdtPr>
        <w:rPr>
          <w:rFonts w:asciiTheme="minorHAnsi" w:eastAsiaTheme="minorHAnsi" w:hAnsiTheme="minorHAnsi" w:cstheme="minorBidi"/>
          <w:b w:val="0"/>
          <w:bCs w:val="0"/>
          <w:color w:val="auto"/>
          <w:sz w:val="22"/>
          <w:szCs w:val="22"/>
          <w:lang w:val="en-AU" w:eastAsia="en-US"/>
        </w:rPr>
        <w:id w:val="-123160231"/>
        <w:docPartObj>
          <w:docPartGallery w:val="Table of Contents"/>
          <w:docPartUnique/>
        </w:docPartObj>
      </w:sdtPr>
      <w:sdtEndPr>
        <w:rPr>
          <w:noProof/>
        </w:rPr>
      </w:sdtEndPr>
      <w:sdtContent>
        <w:p w:rsidR="00A12C97" w:rsidRPr="009146F9" w:rsidRDefault="00A12C97" w:rsidP="009146F9">
          <w:pPr>
            <w:pStyle w:val="TOCHeading"/>
          </w:pPr>
          <w:r w:rsidRPr="009146F9">
            <w:t>Contents</w:t>
          </w:r>
        </w:p>
        <w:p w:rsidR="00D31BDA" w:rsidRPr="009146F9" w:rsidRDefault="00A12C97">
          <w:pPr>
            <w:pStyle w:val="TOC1"/>
            <w:tabs>
              <w:tab w:val="right" w:leader="dot" w:pos="9016"/>
            </w:tabs>
            <w:rPr>
              <w:rFonts w:ascii="Gill Sans MT" w:eastAsiaTheme="minorEastAsia" w:hAnsi="Gill Sans MT"/>
              <w:noProof/>
              <w:lang w:eastAsia="en-AU"/>
            </w:rPr>
          </w:pPr>
          <w:r w:rsidRPr="009146F9">
            <w:rPr>
              <w:rFonts w:ascii="Gill Sans MT" w:hAnsi="Gill Sans MT"/>
            </w:rPr>
            <w:fldChar w:fldCharType="begin"/>
          </w:r>
          <w:r w:rsidRPr="009146F9">
            <w:rPr>
              <w:rFonts w:ascii="Gill Sans MT" w:hAnsi="Gill Sans MT"/>
            </w:rPr>
            <w:instrText xml:space="preserve"> TOC \o "1-3" \h \z \u </w:instrText>
          </w:r>
          <w:r w:rsidRPr="009146F9">
            <w:rPr>
              <w:rFonts w:ascii="Gill Sans MT" w:hAnsi="Gill Sans MT"/>
            </w:rPr>
            <w:fldChar w:fldCharType="separate"/>
          </w:r>
          <w:hyperlink w:anchor="_Toc476322089" w:history="1">
            <w:r w:rsidR="00D31BDA" w:rsidRPr="009146F9">
              <w:rPr>
                <w:rStyle w:val="Hyperlink"/>
                <w:rFonts w:ascii="Gill Sans MT" w:hAnsi="Gill Sans MT"/>
                <w:noProof/>
              </w:rPr>
              <w:t>Foreword</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_Toc476322089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2</w:t>
            </w:r>
            <w:r w:rsidR="00D31BDA" w:rsidRPr="009146F9">
              <w:rPr>
                <w:rFonts w:ascii="Gill Sans MT" w:hAnsi="Gill Sans MT"/>
                <w:noProof/>
                <w:webHidden/>
              </w:rPr>
              <w:fldChar w:fldCharType="end"/>
            </w:r>
          </w:hyperlink>
        </w:p>
        <w:p w:rsidR="00D31BDA" w:rsidRPr="009146F9" w:rsidRDefault="00D36EBA">
          <w:pPr>
            <w:pStyle w:val="TOC1"/>
            <w:tabs>
              <w:tab w:val="left" w:pos="440"/>
              <w:tab w:val="right" w:leader="dot" w:pos="9016"/>
            </w:tabs>
            <w:rPr>
              <w:rFonts w:ascii="Gill Sans MT" w:eastAsiaTheme="minorEastAsia" w:hAnsi="Gill Sans MT"/>
              <w:noProof/>
              <w:lang w:eastAsia="en-AU"/>
            </w:rPr>
          </w:pPr>
          <w:hyperlink w:anchor="_Toc476322090" w:history="1">
            <w:r w:rsidR="00D31BDA" w:rsidRPr="009146F9">
              <w:rPr>
                <w:rStyle w:val="Hyperlink"/>
                <w:rFonts w:ascii="Gill Sans MT" w:hAnsi="Gill Sans MT"/>
                <w:noProof/>
              </w:rPr>
              <w:t>1.</w:t>
            </w:r>
            <w:r w:rsidR="00D31BDA" w:rsidRPr="009146F9">
              <w:rPr>
                <w:rFonts w:ascii="Gill Sans MT" w:eastAsiaTheme="minorEastAsia" w:hAnsi="Gill Sans MT"/>
                <w:noProof/>
                <w:lang w:eastAsia="en-AU"/>
              </w:rPr>
              <w:tab/>
            </w:r>
            <w:r w:rsidR="00D31BDA" w:rsidRPr="009146F9">
              <w:rPr>
                <w:rStyle w:val="Hyperlink"/>
                <w:rFonts w:ascii="Gill Sans MT" w:hAnsi="Gill Sans MT"/>
                <w:noProof/>
              </w:rPr>
              <w:t>Summary</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_Toc476322090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3</w:t>
            </w:r>
            <w:r w:rsidR="00D31BDA" w:rsidRPr="009146F9">
              <w:rPr>
                <w:rFonts w:ascii="Gill Sans MT" w:hAnsi="Gill Sans MT"/>
                <w:noProof/>
                <w:webHidden/>
              </w:rPr>
              <w:fldChar w:fldCharType="end"/>
            </w:r>
          </w:hyperlink>
        </w:p>
        <w:p w:rsidR="00D31BDA" w:rsidRPr="009146F9" w:rsidRDefault="00D36EBA">
          <w:pPr>
            <w:pStyle w:val="TOC2"/>
            <w:tabs>
              <w:tab w:val="right" w:leader="dot" w:pos="9016"/>
            </w:tabs>
            <w:rPr>
              <w:rFonts w:ascii="Gill Sans MT" w:eastAsiaTheme="minorEastAsia" w:hAnsi="Gill Sans MT"/>
              <w:noProof/>
              <w:lang w:eastAsia="en-AU"/>
            </w:rPr>
          </w:pPr>
          <w:hyperlink w:anchor="_Toc476322091" w:history="1">
            <w:r w:rsidR="00D31BDA" w:rsidRPr="009146F9">
              <w:rPr>
                <w:rStyle w:val="Hyperlink"/>
                <w:rFonts w:ascii="Gill Sans MT" w:hAnsi="Gill Sans MT"/>
                <w:noProof/>
              </w:rPr>
              <w:t>Background</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_Toc476322091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3</w:t>
            </w:r>
            <w:r w:rsidR="00D31BDA" w:rsidRPr="009146F9">
              <w:rPr>
                <w:rFonts w:ascii="Gill Sans MT" w:hAnsi="Gill Sans MT"/>
                <w:noProof/>
                <w:webHidden/>
              </w:rPr>
              <w:fldChar w:fldCharType="end"/>
            </w:r>
          </w:hyperlink>
        </w:p>
        <w:p w:rsidR="00D31BDA" w:rsidRPr="009146F9" w:rsidRDefault="00D36EBA">
          <w:pPr>
            <w:pStyle w:val="TOC3"/>
            <w:tabs>
              <w:tab w:val="right" w:leader="dot" w:pos="9016"/>
            </w:tabs>
            <w:rPr>
              <w:rFonts w:ascii="Gill Sans MT" w:eastAsiaTheme="minorEastAsia" w:hAnsi="Gill Sans MT"/>
              <w:noProof/>
              <w:lang w:eastAsia="en-AU"/>
            </w:rPr>
          </w:pPr>
          <w:hyperlink w:anchor="_Toc476322092" w:history="1">
            <w:r w:rsidR="00D31BDA" w:rsidRPr="009146F9">
              <w:rPr>
                <w:rStyle w:val="Hyperlink"/>
                <w:rFonts w:ascii="Gill Sans MT" w:hAnsi="Gill Sans MT"/>
                <w:noProof/>
              </w:rPr>
              <w:t>The Tasmanian Alcohol Action Framework</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_Toc476322092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3</w:t>
            </w:r>
            <w:r w:rsidR="00D31BDA" w:rsidRPr="009146F9">
              <w:rPr>
                <w:rFonts w:ascii="Gill Sans MT" w:hAnsi="Gill Sans MT"/>
                <w:noProof/>
                <w:webHidden/>
              </w:rPr>
              <w:fldChar w:fldCharType="end"/>
            </w:r>
          </w:hyperlink>
        </w:p>
        <w:p w:rsidR="00D31BDA" w:rsidRPr="009146F9" w:rsidRDefault="00D36EBA">
          <w:pPr>
            <w:pStyle w:val="TOC2"/>
            <w:tabs>
              <w:tab w:val="right" w:leader="dot" w:pos="9016"/>
            </w:tabs>
            <w:rPr>
              <w:rFonts w:ascii="Gill Sans MT" w:eastAsiaTheme="minorEastAsia" w:hAnsi="Gill Sans MT"/>
              <w:noProof/>
              <w:lang w:eastAsia="en-AU"/>
            </w:rPr>
          </w:pPr>
          <w:hyperlink w:anchor="_Toc476322093" w:history="1">
            <w:r w:rsidR="00D31BDA" w:rsidRPr="009146F9">
              <w:rPr>
                <w:rStyle w:val="Hyperlink"/>
                <w:rFonts w:ascii="Gill Sans MT" w:hAnsi="Gill Sans MT"/>
                <w:noProof/>
              </w:rPr>
              <w:t>Methods used</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_Toc476322093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4</w:t>
            </w:r>
            <w:r w:rsidR="00D31BDA" w:rsidRPr="009146F9">
              <w:rPr>
                <w:rFonts w:ascii="Gill Sans MT" w:hAnsi="Gill Sans MT"/>
                <w:noProof/>
                <w:webHidden/>
              </w:rPr>
              <w:fldChar w:fldCharType="end"/>
            </w:r>
          </w:hyperlink>
        </w:p>
        <w:p w:rsidR="00D31BDA" w:rsidRPr="009146F9" w:rsidRDefault="00D36EBA">
          <w:pPr>
            <w:pStyle w:val="TOC2"/>
            <w:tabs>
              <w:tab w:val="right" w:leader="dot" w:pos="9016"/>
            </w:tabs>
            <w:rPr>
              <w:rFonts w:ascii="Gill Sans MT" w:eastAsiaTheme="minorEastAsia" w:hAnsi="Gill Sans MT"/>
              <w:noProof/>
              <w:lang w:eastAsia="en-AU"/>
            </w:rPr>
          </w:pPr>
          <w:hyperlink w:anchor="_Toc476322094" w:history="1">
            <w:r w:rsidR="00D31BDA" w:rsidRPr="009146F9">
              <w:rPr>
                <w:rStyle w:val="Hyperlink"/>
                <w:rFonts w:ascii="Gill Sans MT" w:hAnsi="Gill Sans MT"/>
                <w:noProof/>
              </w:rPr>
              <w:t>Findings</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_Toc476322094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5</w:t>
            </w:r>
            <w:r w:rsidR="00D31BDA" w:rsidRPr="009146F9">
              <w:rPr>
                <w:rFonts w:ascii="Gill Sans MT" w:hAnsi="Gill Sans MT"/>
                <w:noProof/>
                <w:webHidden/>
              </w:rPr>
              <w:fldChar w:fldCharType="end"/>
            </w:r>
          </w:hyperlink>
        </w:p>
        <w:p w:rsidR="00D31BDA" w:rsidRPr="009146F9" w:rsidRDefault="00D36EBA">
          <w:pPr>
            <w:pStyle w:val="TOC2"/>
            <w:tabs>
              <w:tab w:val="right" w:leader="dot" w:pos="9016"/>
            </w:tabs>
            <w:rPr>
              <w:rFonts w:ascii="Gill Sans MT" w:eastAsiaTheme="minorEastAsia" w:hAnsi="Gill Sans MT"/>
              <w:noProof/>
              <w:lang w:eastAsia="en-AU"/>
            </w:rPr>
          </w:pPr>
          <w:hyperlink w:anchor="_Toc476322095" w:history="1">
            <w:r w:rsidR="00D31BDA" w:rsidRPr="009146F9">
              <w:rPr>
                <w:rStyle w:val="Hyperlink"/>
                <w:rFonts w:ascii="Gill Sans MT" w:hAnsi="Gill Sans MT"/>
                <w:noProof/>
              </w:rPr>
              <w:t>Conclusions and way forward</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_Toc476322095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5</w:t>
            </w:r>
            <w:r w:rsidR="00D31BDA" w:rsidRPr="009146F9">
              <w:rPr>
                <w:rFonts w:ascii="Gill Sans MT" w:hAnsi="Gill Sans MT"/>
                <w:noProof/>
                <w:webHidden/>
              </w:rPr>
              <w:fldChar w:fldCharType="end"/>
            </w:r>
          </w:hyperlink>
        </w:p>
        <w:p w:rsidR="00D31BDA" w:rsidRPr="009146F9" w:rsidRDefault="00D36EBA">
          <w:pPr>
            <w:pStyle w:val="TOC1"/>
            <w:tabs>
              <w:tab w:val="left" w:pos="440"/>
              <w:tab w:val="right" w:leader="dot" w:pos="9016"/>
            </w:tabs>
            <w:rPr>
              <w:rFonts w:ascii="Gill Sans MT" w:eastAsiaTheme="minorEastAsia" w:hAnsi="Gill Sans MT"/>
              <w:noProof/>
              <w:lang w:eastAsia="en-AU"/>
            </w:rPr>
          </w:pPr>
          <w:hyperlink w:anchor="_Toc476322096" w:history="1">
            <w:r w:rsidR="00D31BDA" w:rsidRPr="009146F9">
              <w:rPr>
                <w:rStyle w:val="Hyperlink"/>
                <w:rFonts w:ascii="Gill Sans MT" w:hAnsi="Gill Sans MT"/>
                <w:noProof/>
              </w:rPr>
              <w:t>2.</w:t>
            </w:r>
            <w:r w:rsidR="00D31BDA" w:rsidRPr="009146F9">
              <w:rPr>
                <w:rFonts w:ascii="Gill Sans MT" w:eastAsiaTheme="minorEastAsia" w:hAnsi="Gill Sans MT"/>
                <w:noProof/>
                <w:lang w:eastAsia="en-AU"/>
              </w:rPr>
              <w:tab/>
            </w:r>
            <w:r w:rsidR="00D31BDA" w:rsidRPr="009146F9">
              <w:rPr>
                <w:rStyle w:val="Hyperlink"/>
                <w:rFonts w:ascii="Gill Sans MT" w:hAnsi="Gill Sans MT"/>
                <w:noProof/>
              </w:rPr>
              <w:t>Activities under the 3 key strategies</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_Toc476322096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6</w:t>
            </w:r>
            <w:r w:rsidR="00D31BDA" w:rsidRPr="009146F9">
              <w:rPr>
                <w:rFonts w:ascii="Gill Sans MT" w:hAnsi="Gill Sans MT"/>
                <w:noProof/>
                <w:webHidden/>
              </w:rPr>
              <w:fldChar w:fldCharType="end"/>
            </w:r>
          </w:hyperlink>
        </w:p>
        <w:p w:rsidR="00D31BDA" w:rsidRPr="009146F9" w:rsidRDefault="00D36EBA">
          <w:pPr>
            <w:pStyle w:val="TOC2"/>
            <w:tabs>
              <w:tab w:val="right" w:leader="dot" w:pos="9016"/>
            </w:tabs>
            <w:rPr>
              <w:rFonts w:ascii="Gill Sans MT" w:eastAsiaTheme="minorEastAsia" w:hAnsi="Gill Sans MT"/>
              <w:noProof/>
              <w:lang w:eastAsia="en-AU"/>
            </w:rPr>
          </w:pPr>
          <w:hyperlink w:anchor="_Toc476322097" w:history="1">
            <w:r w:rsidR="00D31BDA" w:rsidRPr="009146F9">
              <w:rPr>
                <w:rStyle w:val="Hyperlink"/>
                <w:rFonts w:ascii="Gill Sans MT" w:hAnsi="Gill Sans MT"/>
                <w:noProof/>
              </w:rPr>
              <w:t>Key Strategy 1 - Changing the drinking culture in Tasmania</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_Toc476322097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6</w:t>
            </w:r>
            <w:r w:rsidR="00D31BDA" w:rsidRPr="009146F9">
              <w:rPr>
                <w:rFonts w:ascii="Gill Sans MT" w:hAnsi="Gill Sans MT"/>
                <w:noProof/>
                <w:webHidden/>
              </w:rPr>
              <w:fldChar w:fldCharType="end"/>
            </w:r>
          </w:hyperlink>
        </w:p>
        <w:p w:rsidR="00D31BDA" w:rsidRPr="009146F9" w:rsidRDefault="00D36EBA">
          <w:pPr>
            <w:pStyle w:val="TOC2"/>
            <w:tabs>
              <w:tab w:val="right" w:leader="dot" w:pos="9016"/>
            </w:tabs>
            <w:rPr>
              <w:rFonts w:ascii="Gill Sans MT" w:eastAsiaTheme="minorEastAsia" w:hAnsi="Gill Sans MT"/>
              <w:noProof/>
              <w:lang w:eastAsia="en-AU"/>
            </w:rPr>
          </w:pPr>
          <w:hyperlink w:anchor="_Toc476322098" w:history="1">
            <w:r w:rsidR="00D31BDA" w:rsidRPr="009146F9">
              <w:rPr>
                <w:rStyle w:val="Hyperlink"/>
                <w:rFonts w:ascii="Gill Sans MT" w:hAnsi="Gill Sans MT"/>
                <w:noProof/>
              </w:rPr>
              <w:t>Key Strategy 2 - An effective system for controlling the supply of alcohol in Tasmania</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_Toc476322098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9</w:t>
            </w:r>
            <w:r w:rsidR="00D31BDA" w:rsidRPr="009146F9">
              <w:rPr>
                <w:rFonts w:ascii="Gill Sans MT" w:hAnsi="Gill Sans MT"/>
                <w:noProof/>
                <w:webHidden/>
              </w:rPr>
              <w:fldChar w:fldCharType="end"/>
            </w:r>
          </w:hyperlink>
        </w:p>
        <w:p w:rsidR="00D31BDA" w:rsidRPr="009146F9" w:rsidRDefault="00D36EBA">
          <w:pPr>
            <w:pStyle w:val="TOC2"/>
            <w:tabs>
              <w:tab w:val="right" w:leader="dot" w:pos="9016"/>
            </w:tabs>
            <w:rPr>
              <w:rFonts w:ascii="Gill Sans MT" w:eastAsiaTheme="minorEastAsia" w:hAnsi="Gill Sans MT"/>
              <w:noProof/>
              <w:lang w:eastAsia="en-AU"/>
            </w:rPr>
          </w:pPr>
          <w:hyperlink w:anchor="_Toc476322099" w:history="1">
            <w:r w:rsidR="00D31BDA" w:rsidRPr="009146F9">
              <w:rPr>
                <w:rStyle w:val="Hyperlink"/>
                <w:rFonts w:ascii="Gill Sans MT" w:hAnsi="Gill Sans MT"/>
                <w:noProof/>
              </w:rPr>
              <w:t>Key Strategy 3 - Providing effective interventions to deal with and prevent alcohol-related harm</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_Toc476322099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10</w:t>
            </w:r>
            <w:r w:rsidR="00D31BDA" w:rsidRPr="009146F9">
              <w:rPr>
                <w:rFonts w:ascii="Gill Sans MT" w:hAnsi="Gill Sans MT"/>
                <w:noProof/>
                <w:webHidden/>
              </w:rPr>
              <w:fldChar w:fldCharType="end"/>
            </w:r>
          </w:hyperlink>
        </w:p>
        <w:p w:rsidR="00D31BDA" w:rsidRPr="009146F9" w:rsidRDefault="00D36EBA">
          <w:pPr>
            <w:pStyle w:val="TOC3"/>
            <w:tabs>
              <w:tab w:val="right" w:leader="dot" w:pos="9016"/>
            </w:tabs>
            <w:rPr>
              <w:rFonts w:ascii="Gill Sans MT" w:eastAsiaTheme="minorEastAsia" w:hAnsi="Gill Sans MT"/>
              <w:noProof/>
              <w:lang w:eastAsia="en-AU"/>
            </w:rPr>
          </w:pPr>
          <w:hyperlink w:anchor="_Toc476322100" w:history="1">
            <w:r w:rsidR="00D31BDA" w:rsidRPr="009146F9">
              <w:rPr>
                <w:rStyle w:val="Hyperlink"/>
                <w:rFonts w:ascii="Gill Sans MT" w:hAnsi="Gill Sans MT"/>
                <w:noProof/>
              </w:rPr>
              <w:t>Government-Funded AOD Treatment Services</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_Toc476322100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14</w:t>
            </w:r>
            <w:r w:rsidR="00D31BDA" w:rsidRPr="009146F9">
              <w:rPr>
                <w:rFonts w:ascii="Gill Sans MT" w:hAnsi="Gill Sans MT"/>
                <w:noProof/>
                <w:webHidden/>
              </w:rPr>
              <w:fldChar w:fldCharType="end"/>
            </w:r>
          </w:hyperlink>
        </w:p>
        <w:p w:rsidR="00D31BDA" w:rsidRPr="009146F9" w:rsidRDefault="00D36EBA">
          <w:pPr>
            <w:pStyle w:val="TOC3"/>
            <w:tabs>
              <w:tab w:val="right" w:leader="dot" w:pos="9016"/>
            </w:tabs>
            <w:rPr>
              <w:rFonts w:ascii="Gill Sans MT" w:eastAsiaTheme="minorEastAsia" w:hAnsi="Gill Sans MT"/>
              <w:noProof/>
              <w:lang w:eastAsia="en-AU"/>
            </w:rPr>
          </w:pPr>
          <w:hyperlink w:anchor="_Toc476322101" w:history="1">
            <w:r w:rsidR="00D31BDA" w:rsidRPr="009146F9">
              <w:rPr>
                <w:rStyle w:val="Hyperlink"/>
                <w:rFonts w:ascii="Gill Sans MT" w:hAnsi="Gill Sans MT"/>
                <w:noProof/>
              </w:rPr>
              <w:t>Local Government-specific</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_Toc476322101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17</w:t>
            </w:r>
            <w:r w:rsidR="00D31BDA" w:rsidRPr="009146F9">
              <w:rPr>
                <w:rFonts w:ascii="Gill Sans MT" w:hAnsi="Gill Sans MT"/>
                <w:noProof/>
                <w:webHidden/>
              </w:rPr>
              <w:fldChar w:fldCharType="end"/>
            </w:r>
          </w:hyperlink>
        </w:p>
        <w:p w:rsidR="00D31BDA" w:rsidRPr="009146F9" w:rsidRDefault="00D36EBA">
          <w:pPr>
            <w:pStyle w:val="TOC1"/>
            <w:tabs>
              <w:tab w:val="left" w:pos="440"/>
              <w:tab w:val="right" w:leader="dot" w:pos="9016"/>
            </w:tabs>
            <w:rPr>
              <w:rFonts w:ascii="Gill Sans MT" w:eastAsiaTheme="minorEastAsia" w:hAnsi="Gill Sans MT"/>
              <w:noProof/>
              <w:lang w:eastAsia="en-AU"/>
            </w:rPr>
          </w:pPr>
          <w:hyperlink w:anchor="_Toc476322102" w:history="1">
            <w:r w:rsidR="00D31BDA" w:rsidRPr="009146F9">
              <w:rPr>
                <w:rStyle w:val="Hyperlink"/>
                <w:rFonts w:ascii="Gill Sans MT" w:hAnsi="Gill Sans MT"/>
                <w:noProof/>
              </w:rPr>
              <w:t>3.</w:t>
            </w:r>
            <w:r w:rsidR="00D31BDA" w:rsidRPr="009146F9">
              <w:rPr>
                <w:rFonts w:ascii="Gill Sans MT" w:eastAsiaTheme="minorEastAsia" w:hAnsi="Gill Sans MT"/>
                <w:noProof/>
                <w:lang w:eastAsia="en-AU"/>
              </w:rPr>
              <w:tab/>
            </w:r>
            <w:r w:rsidR="00D31BDA" w:rsidRPr="009146F9">
              <w:rPr>
                <w:rStyle w:val="Hyperlink"/>
                <w:rFonts w:ascii="Gill Sans MT" w:hAnsi="Gill Sans MT"/>
                <w:noProof/>
              </w:rPr>
              <w:t>Changes in data or trends, and measuring effectiveness</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_Toc476322102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19</w:t>
            </w:r>
            <w:r w:rsidR="00D31BDA" w:rsidRPr="009146F9">
              <w:rPr>
                <w:rFonts w:ascii="Gill Sans MT" w:hAnsi="Gill Sans MT"/>
                <w:noProof/>
                <w:webHidden/>
              </w:rPr>
              <w:fldChar w:fldCharType="end"/>
            </w:r>
          </w:hyperlink>
        </w:p>
        <w:p w:rsidR="00D31BDA" w:rsidRPr="009146F9" w:rsidRDefault="00D36EBA">
          <w:pPr>
            <w:pStyle w:val="TOC1"/>
            <w:tabs>
              <w:tab w:val="right" w:leader="dot" w:pos="9016"/>
            </w:tabs>
            <w:rPr>
              <w:rFonts w:ascii="Gill Sans MT" w:eastAsiaTheme="minorEastAsia" w:hAnsi="Gill Sans MT"/>
              <w:noProof/>
              <w:lang w:eastAsia="en-AU"/>
            </w:rPr>
          </w:pPr>
          <w:hyperlink w:anchor="_Toc476322103" w:history="1">
            <w:r w:rsidR="00D31BDA" w:rsidRPr="009146F9">
              <w:rPr>
                <w:rStyle w:val="Hyperlink"/>
                <w:rFonts w:ascii="Gill Sans MT" w:hAnsi="Gill Sans MT"/>
                <w:noProof/>
              </w:rPr>
              <w:t>Appendix 1: Alcohol in Tasmania - Summary</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_Toc476322103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28</w:t>
            </w:r>
            <w:r w:rsidR="00D31BDA" w:rsidRPr="009146F9">
              <w:rPr>
                <w:rFonts w:ascii="Gill Sans MT" w:hAnsi="Gill Sans MT"/>
                <w:noProof/>
                <w:webHidden/>
              </w:rPr>
              <w:fldChar w:fldCharType="end"/>
            </w:r>
          </w:hyperlink>
        </w:p>
        <w:p w:rsidR="00D31BDA" w:rsidRPr="009146F9" w:rsidRDefault="00D36EBA">
          <w:pPr>
            <w:pStyle w:val="TOC1"/>
            <w:tabs>
              <w:tab w:val="right" w:leader="dot" w:pos="9016"/>
            </w:tabs>
            <w:rPr>
              <w:rFonts w:ascii="Gill Sans MT" w:eastAsiaTheme="minorEastAsia" w:hAnsi="Gill Sans MT"/>
              <w:noProof/>
              <w:lang w:eastAsia="en-AU"/>
            </w:rPr>
          </w:pPr>
          <w:hyperlink w:anchor="_Toc476322104" w:history="1">
            <w:r w:rsidR="00D31BDA" w:rsidRPr="009146F9">
              <w:rPr>
                <w:rStyle w:val="Hyperlink"/>
                <w:rFonts w:ascii="Gill Sans MT" w:hAnsi="Gill Sans MT"/>
                <w:noProof/>
              </w:rPr>
              <w:t>Appendix 2: Key Strategies and identified areas for action</w:t>
            </w:r>
            <w:r w:rsidR="00D31BDA" w:rsidRPr="009146F9">
              <w:rPr>
                <w:rFonts w:ascii="Gill Sans MT" w:hAnsi="Gill Sans MT"/>
                <w:noProof/>
                <w:webHidden/>
              </w:rPr>
              <w:tab/>
            </w:r>
            <w:r w:rsidR="00D31BDA" w:rsidRPr="009146F9">
              <w:rPr>
                <w:rFonts w:ascii="Gill Sans MT" w:hAnsi="Gill Sans MT"/>
                <w:noProof/>
                <w:webHidden/>
              </w:rPr>
              <w:fldChar w:fldCharType="begin"/>
            </w:r>
            <w:r w:rsidR="00D31BDA" w:rsidRPr="009146F9">
              <w:rPr>
                <w:rFonts w:ascii="Gill Sans MT" w:hAnsi="Gill Sans MT"/>
                <w:noProof/>
                <w:webHidden/>
              </w:rPr>
              <w:instrText xml:space="preserve"> PAGEREF _Toc476322104 \h </w:instrText>
            </w:r>
            <w:r w:rsidR="00D31BDA" w:rsidRPr="009146F9">
              <w:rPr>
                <w:rFonts w:ascii="Gill Sans MT" w:hAnsi="Gill Sans MT"/>
                <w:noProof/>
                <w:webHidden/>
              </w:rPr>
            </w:r>
            <w:r w:rsidR="00D31BDA" w:rsidRPr="009146F9">
              <w:rPr>
                <w:rFonts w:ascii="Gill Sans MT" w:hAnsi="Gill Sans MT"/>
                <w:noProof/>
                <w:webHidden/>
              </w:rPr>
              <w:fldChar w:fldCharType="separate"/>
            </w:r>
            <w:r w:rsidR="00D31BDA" w:rsidRPr="009146F9">
              <w:rPr>
                <w:rFonts w:ascii="Gill Sans MT" w:hAnsi="Gill Sans MT"/>
                <w:noProof/>
                <w:webHidden/>
              </w:rPr>
              <w:t>34</w:t>
            </w:r>
            <w:r w:rsidR="00D31BDA" w:rsidRPr="009146F9">
              <w:rPr>
                <w:rFonts w:ascii="Gill Sans MT" w:hAnsi="Gill Sans MT"/>
                <w:noProof/>
                <w:webHidden/>
              </w:rPr>
              <w:fldChar w:fldCharType="end"/>
            </w:r>
          </w:hyperlink>
        </w:p>
        <w:p w:rsidR="00A12C97" w:rsidRPr="009146F9" w:rsidRDefault="00A12C97" w:rsidP="00FC47DF">
          <w:pPr>
            <w:keepNext/>
            <w:spacing w:before="120" w:after="120" w:line="280" w:lineRule="atLeast"/>
            <w:rPr>
              <w:rFonts w:ascii="Gill Sans MT" w:hAnsi="Gill Sans MT"/>
            </w:rPr>
          </w:pPr>
          <w:r w:rsidRPr="009146F9">
            <w:rPr>
              <w:rFonts w:ascii="Gill Sans MT" w:hAnsi="Gill Sans MT"/>
              <w:b/>
              <w:bCs/>
              <w:noProof/>
            </w:rPr>
            <w:fldChar w:fldCharType="end"/>
          </w:r>
        </w:p>
      </w:sdtContent>
    </w:sdt>
    <w:p w:rsidR="00DB40DC" w:rsidRPr="009146F9" w:rsidRDefault="00DB40DC" w:rsidP="00FC47DF">
      <w:pPr>
        <w:keepNext/>
        <w:spacing w:before="120" w:after="120" w:line="280" w:lineRule="atLeast"/>
        <w:rPr>
          <w:rFonts w:ascii="Gill Sans MT" w:hAnsi="Gill Sans MT" w:cstheme="minorHAnsi"/>
          <w:b/>
          <w:color w:val="1F497D" w:themeColor="text2"/>
          <w:sz w:val="36"/>
        </w:rPr>
        <w:sectPr w:rsidR="00DB40DC" w:rsidRPr="009146F9" w:rsidSect="00ED17BF">
          <w:endnotePr>
            <w:numFmt w:val="decimal"/>
          </w:endnotePr>
          <w:pgSz w:w="11906" w:h="16838"/>
          <w:pgMar w:top="1440" w:right="1440" w:bottom="1440" w:left="1440" w:header="708" w:footer="708" w:gutter="0"/>
          <w:cols w:space="708"/>
          <w:titlePg/>
          <w:docGrid w:linePitch="360"/>
        </w:sectPr>
      </w:pPr>
    </w:p>
    <w:p w:rsidR="00DB40DC" w:rsidRPr="009146F9" w:rsidRDefault="00DB40DC" w:rsidP="009146F9">
      <w:pPr>
        <w:pStyle w:val="Heading1"/>
        <w:sectPr w:rsidR="00DB40DC" w:rsidRPr="009146F9" w:rsidSect="002D35CA">
          <w:headerReference w:type="even" r:id="rId23"/>
          <w:headerReference w:type="default" r:id="rId24"/>
          <w:footerReference w:type="even" r:id="rId25"/>
          <w:footerReference w:type="default" r:id="rId26"/>
          <w:headerReference w:type="first" r:id="rId27"/>
          <w:footerReference w:type="first" r:id="rId28"/>
          <w:footnotePr>
            <w:numFmt w:val="lowerRoman"/>
          </w:footnotePr>
          <w:endnotePr>
            <w:numFmt w:val="decimal"/>
          </w:endnotePr>
          <w:type w:val="continuous"/>
          <w:pgSz w:w="11906" w:h="16838"/>
          <w:pgMar w:top="1440" w:right="1440" w:bottom="1440" w:left="1440" w:header="708" w:footer="708" w:gutter="0"/>
          <w:pgNumType w:start="1"/>
          <w:cols w:space="708"/>
          <w:titlePg/>
          <w:docGrid w:linePitch="360"/>
        </w:sectPr>
      </w:pPr>
    </w:p>
    <w:p w:rsidR="008B22E8" w:rsidRPr="009146F9" w:rsidRDefault="006416EE" w:rsidP="009146F9">
      <w:pPr>
        <w:pStyle w:val="Heading1"/>
      </w:pPr>
      <w:bookmarkStart w:id="1" w:name="_Toc476322089"/>
      <w:r w:rsidRPr="009146F9">
        <w:t>Foreword</w:t>
      </w:r>
      <w:bookmarkEnd w:id="1"/>
    </w:p>
    <w:p w:rsidR="00C818CB" w:rsidRPr="009146F9" w:rsidRDefault="00C818CB" w:rsidP="00FC47DF">
      <w:pPr>
        <w:keepNext/>
        <w:spacing w:before="120" w:after="120" w:line="280" w:lineRule="atLeast"/>
        <w:rPr>
          <w:rFonts w:ascii="Gill Sans MT" w:hAnsi="Gill Sans MT" w:cstheme="minorHAnsi"/>
        </w:rPr>
      </w:pPr>
      <w:r w:rsidRPr="009146F9">
        <w:rPr>
          <w:rFonts w:ascii="Gill Sans MT" w:hAnsi="Gill Sans MT"/>
          <w:i/>
        </w:rPr>
        <w:t>Rising Above the Influence</w:t>
      </w:r>
      <w:r w:rsidRPr="009146F9">
        <w:rPr>
          <w:rFonts w:ascii="Gill Sans MT" w:hAnsi="Gill Sans MT"/>
        </w:rPr>
        <w:t xml:space="preserve"> the Tasmanian Alcohol Action Framework 2010 – 2015 (TAAF) has reached the end of its term, having been extended by the Minister for Health to the end of 2016.  The TAAF was developed by the Interagency Working Group on Drugs (IAWGD) on behalf of Government </w:t>
      </w:r>
      <w:r w:rsidRPr="009146F9">
        <w:rPr>
          <w:rFonts w:ascii="Gill Sans MT" w:hAnsi="Gill Sans MT" w:cstheme="minorHAnsi"/>
        </w:rPr>
        <w:t>as a response to alcohol-related harm in the Tasmanian community, and as the broad structure to guide government agencies, local council, community sector organisations and industry to develop and implement activities and actions to address problems associated with excessive alcohol consumption.  Its aims are to reduce the:</w:t>
      </w:r>
    </w:p>
    <w:p w:rsidR="00C818CB" w:rsidRPr="009146F9" w:rsidRDefault="00C818CB" w:rsidP="00FC47DF">
      <w:pPr>
        <w:pStyle w:val="ListParagraph"/>
        <w:keepNext/>
        <w:numPr>
          <w:ilvl w:val="0"/>
          <w:numId w:val="6"/>
        </w:numPr>
        <w:spacing w:before="120" w:after="120" w:line="280" w:lineRule="atLeast"/>
        <w:rPr>
          <w:rFonts w:ascii="Gill Sans MT" w:hAnsi="Gill Sans MT" w:cstheme="minorHAnsi"/>
        </w:rPr>
      </w:pPr>
      <w:r w:rsidRPr="009146F9">
        <w:rPr>
          <w:rFonts w:ascii="Gill Sans MT" w:hAnsi="Gill Sans MT" w:cstheme="minorHAnsi"/>
        </w:rPr>
        <w:t>Volume of per capita alcohol consumption in Tasmania</w:t>
      </w:r>
    </w:p>
    <w:p w:rsidR="00C818CB" w:rsidRPr="009146F9" w:rsidRDefault="00C818CB" w:rsidP="00FC47DF">
      <w:pPr>
        <w:pStyle w:val="ListParagraph"/>
        <w:keepNext/>
        <w:numPr>
          <w:ilvl w:val="0"/>
          <w:numId w:val="6"/>
        </w:numPr>
        <w:spacing w:before="120" w:after="120" w:line="280" w:lineRule="atLeast"/>
        <w:rPr>
          <w:rFonts w:ascii="Gill Sans MT" w:hAnsi="Gill Sans MT" w:cstheme="minorHAnsi"/>
        </w:rPr>
      </w:pPr>
      <w:r w:rsidRPr="009146F9">
        <w:rPr>
          <w:rFonts w:ascii="Gill Sans MT" w:hAnsi="Gill Sans MT" w:cstheme="minorHAnsi"/>
        </w:rPr>
        <w:t>Incidence of illness, accidents and deaths related to the misuse of alcohol</w:t>
      </w:r>
    </w:p>
    <w:p w:rsidR="00C818CB" w:rsidRPr="009146F9" w:rsidRDefault="00C818CB" w:rsidP="00FC47DF">
      <w:pPr>
        <w:pStyle w:val="ListParagraph"/>
        <w:keepNext/>
        <w:numPr>
          <w:ilvl w:val="0"/>
          <w:numId w:val="6"/>
        </w:numPr>
        <w:spacing w:before="120" w:after="120" w:line="280" w:lineRule="atLeast"/>
        <w:rPr>
          <w:rFonts w:ascii="Gill Sans MT" w:hAnsi="Gill Sans MT" w:cstheme="minorHAnsi"/>
        </w:rPr>
      </w:pPr>
      <w:r w:rsidRPr="009146F9">
        <w:rPr>
          <w:rFonts w:ascii="Gill Sans MT" w:hAnsi="Gill Sans MT" w:cstheme="minorHAnsi"/>
        </w:rPr>
        <w:t>Level of social, economic, health and legal costs related to the misuse of alcohol</w:t>
      </w:r>
    </w:p>
    <w:p w:rsidR="00C818CB" w:rsidRPr="009146F9" w:rsidRDefault="00C818CB" w:rsidP="00FC47DF">
      <w:pPr>
        <w:pStyle w:val="ListParagraph"/>
        <w:keepNext/>
        <w:numPr>
          <w:ilvl w:val="0"/>
          <w:numId w:val="6"/>
        </w:numPr>
        <w:spacing w:before="120" w:after="120" w:line="280" w:lineRule="atLeast"/>
        <w:rPr>
          <w:rFonts w:ascii="Gill Sans MT" w:hAnsi="Gill Sans MT" w:cstheme="minorHAnsi"/>
        </w:rPr>
      </w:pPr>
      <w:r w:rsidRPr="009146F9">
        <w:rPr>
          <w:rFonts w:ascii="Gill Sans MT" w:hAnsi="Gill Sans MT" w:cstheme="minorHAnsi"/>
        </w:rPr>
        <w:t>Prevalence of violence, including family violence, disruption, antisocial behaviour and crime related to the misuse of alcohol</w:t>
      </w:r>
    </w:p>
    <w:p w:rsidR="00C818CB" w:rsidRPr="009146F9" w:rsidRDefault="00C818CB" w:rsidP="00FC47DF">
      <w:pPr>
        <w:pStyle w:val="ListParagraph"/>
        <w:keepNext/>
        <w:numPr>
          <w:ilvl w:val="0"/>
          <w:numId w:val="6"/>
        </w:numPr>
        <w:spacing w:before="120" w:after="120" w:line="280" w:lineRule="atLeast"/>
        <w:rPr>
          <w:rFonts w:ascii="Gill Sans MT" w:hAnsi="Gill Sans MT" w:cstheme="minorHAnsi"/>
        </w:rPr>
      </w:pPr>
      <w:r w:rsidRPr="009146F9">
        <w:rPr>
          <w:rFonts w:ascii="Gill Sans MT" w:hAnsi="Gill Sans MT" w:cstheme="minorHAnsi"/>
        </w:rPr>
        <w:t>Incidence of harmful alcohol use in the Tasmanian community</w:t>
      </w:r>
    </w:p>
    <w:p w:rsidR="00C818CB" w:rsidRPr="009146F9" w:rsidRDefault="00C818CB" w:rsidP="00FC47DF">
      <w:pPr>
        <w:pStyle w:val="ListParagraph"/>
        <w:keepNext/>
        <w:numPr>
          <w:ilvl w:val="0"/>
          <w:numId w:val="6"/>
        </w:numPr>
        <w:spacing w:before="120" w:after="120" w:line="280" w:lineRule="atLeast"/>
        <w:rPr>
          <w:rFonts w:ascii="Gill Sans MT" w:hAnsi="Gill Sans MT" w:cstheme="minorHAnsi"/>
        </w:rPr>
      </w:pPr>
      <w:r w:rsidRPr="009146F9">
        <w:rPr>
          <w:rFonts w:ascii="Gill Sans MT" w:hAnsi="Gill Sans MT" w:cstheme="minorHAnsi"/>
        </w:rPr>
        <w:t>Focus on alcohol as a necessary component of social activity in Tasmania</w:t>
      </w:r>
    </w:p>
    <w:p w:rsidR="00C818CB" w:rsidRPr="009146F9" w:rsidRDefault="00C818CB" w:rsidP="00FC47DF">
      <w:pPr>
        <w:keepNext/>
        <w:spacing w:before="120" w:after="120" w:line="280" w:lineRule="atLeast"/>
        <w:rPr>
          <w:rFonts w:ascii="Gill Sans MT" w:hAnsi="Gill Sans MT" w:cstheme="minorHAnsi"/>
        </w:rPr>
      </w:pPr>
      <w:r w:rsidRPr="009146F9">
        <w:rPr>
          <w:rFonts w:ascii="Gill Sans MT" w:hAnsi="Gill Sans MT"/>
        </w:rPr>
        <w:t xml:space="preserve">Since 2010, </w:t>
      </w:r>
      <w:r w:rsidRPr="009146F9">
        <w:rPr>
          <w:rFonts w:ascii="Gill Sans MT" w:hAnsi="Gill Sans MT" w:cstheme="minorHAnsi"/>
        </w:rPr>
        <w:t xml:space="preserve">the IAWGD has also been responsible for coordinating its implementation.  An Alcohol Advisory Group (AAG) was established to provide support and advice to the IAWGD on alcohol-related matters, and to coordinate the development, implementation and monitoring of Annual Implementation Plans deriving from the TAAF and to report annually on achievements and progress.  </w:t>
      </w:r>
    </w:p>
    <w:p w:rsidR="00C818CB" w:rsidRPr="009146F9" w:rsidRDefault="00C818CB" w:rsidP="00FC47DF">
      <w:pPr>
        <w:keepNext/>
        <w:widowControl w:val="0"/>
        <w:spacing w:before="120" w:after="120" w:line="280" w:lineRule="atLeast"/>
        <w:rPr>
          <w:rFonts w:ascii="Gill Sans MT" w:hAnsi="Gill Sans MT"/>
        </w:rPr>
      </w:pPr>
      <w:r w:rsidRPr="009146F9">
        <w:rPr>
          <w:rFonts w:ascii="Gill Sans MT" w:hAnsi="Gill Sans MT"/>
        </w:rPr>
        <w:t xml:space="preserve">The TAAF and the annual implementation plans and reports are all available on the Tasmanian Drug Strategy website </w:t>
      </w:r>
      <w:hyperlink r:id="rId29" w:history="1">
        <w:r w:rsidRPr="009146F9">
          <w:rPr>
            <w:rStyle w:val="Hyperlink"/>
            <w:rFonts w:ascii="Gill Sans MT" w:hAnsi="Gill Sans MT"/>
          </w:rPr>
          <w:t>http://www.drugstrategy.dhhs.tas.gov.au/</w:t>
        </w:r>
      </w:hyperlink>
      <w:r w:rsidRPr="009146F9">
        <w:rPr>
          <w:rFonts w:ascii="Gill Sans MT" w:hAnsi="Gill Sans MT"/>
        </w:rPr>
        <w:t xml:space="preserve"> under the </w:t>
      </w:r>
      <w:r w:rsidR="000B51C6" w:rsidRPr="009146F9">
        <w:rPr>
          <w:rFonts w:ascii="Gill Sans MT" w:hAnsi="Gill Sans MT"/>
        </w:rPr>
        <w:t>a</w:t>
      </w:r>
      <w:r w:rsidRPr="009146F9">
        <w:rPr>
          <w:rFonts w:ascii="Gill Sans MT" w:hAnsi="Gill Sans MT"/>
        </w:rPr>
        <w:t xml:space="preserve">lcohol </w:t>
      </w:r>
      <w:r w:rsidR="009E34D8" w:rsidRPr="009146F9">
        <w:rPr>
          <w:rFonts w:ascii="Gill Sans MT" w:hAnsi="Gill Sans MT"/>
        </w:rPr>
        <w:t>page</w:t>
      </w:r>
      <w:r w:rsidRPr="009146F9">
        <w:rPr>
          <w:rFonts w:ascii="Gill Sans MT" w:hAnsi="Gill Sans MT"/>
        </w:rPr>
        <w:t>.</w:t>
      </w:r>
      <w:r w:rsidR="00695FB0" w:rsidRPr="009146F9">
        <w:rPr>
          <w:rFonts w:ascii="Gill Sans MT" w:hAnsi="Gill Sans MT"/>
        </w:rPr>
        <w:t xml:space="preserve">  Those annual reports include more activities than are captured in this report and stakeholders are encouraged to also visit the website.</w:t>
      </w:r>
    </w:p>
    <w:p w:rsidR="00137C73" w:rsidRPr="009146F9" w:rsidRDefault="00C818CB" w:rsidP="00FC47DF">
      <w:pPr>
        <w:keepNext/>
        <w:suppressAutoHyphens/>
        <w:spacing w:before="120" w:after="120" w:line="280" w:lineRule="atLeast"/>
        <w:rPr>
          <w:rFonts w:ascii="Gill Sans MT" w:hAnsi="Gill Sans MT"/>
        </w:rPr>
      </w:pPr>
      <w:r w:rsidRPr="009146F9">
        <w:rPr>
          <w:rFonts w:ascii="Gill Sans MT" w:hAnsi="Gill Sans MT"/>
        </w:rPr>
        <w:t xml:space="preserve">The IAWGD is tasked with reviewing the current TAAF and developing a new alcohol framework for Tasmania.   </w:t>
      </w:r>
      <w:r w:rsidR="00137C73" w:rsidRPr="009146F9">
        <w:rPr>
          <w:rFonts w:ascii="Gill Sans MT" w:hAnsi="Gill Sans MT"/>
        </w:rPr>
        <w:t xml:space="preserve">The IAWGD determined that a formal evaluation would not be undertaken, but commissioned the AAG to undertake a desk top review of </w:t>
      </w:r>
      <w:r w:rsidR="00137C73" w:rsidRPr="009146F9">
        <w:rPr>
          <w:rFonts w:ascii="Gill Sans MT" w:hAnsi="Gill Sans MT" w:cs="Arial"/>
        </w:rPr>
        <w:t xml:space="preserve">actions and activities over the life of the TAAF, </w:t>
      </w:r>
      <w:r w:rsidR="001E5175" w:rsidRPr="009146F9">
        <w:rPr>
          <w:rFonts w:ascii="Gill Sans MT" w:hAnsi="Gill Sans MT" w:cs="Arial"/>
        </w:rPr>
        <w:t xml:space="preserve">and source </w:t>
      </w:r>
      <w:r w:rsidR="001E5175" w:rsidRPr="009146F9">
        <w:rPr>
          <w:rFonts w:ascii="Gill Sans MT" w:hAnsi="Gill Sans MT"/>
        </w:rPr>
        <w:t>available data.</w:t>
      </w:r>
    </w:p>
    <w:p w:rsidR="003C390E" w:rsidRPr="009146F9" w:rsidRDefault="00C818CB" w:rsidP="00FC47DF">
      <w:pPr>
        <w:keepNext/>
        <w:suppressAutoHyphens/>
        <w:spacing w:before="120" w:after="120" w:line="280" w:lineRule="atLeast"/>
        <w:rPr>
          <w:rFonts w:ascii="Gill Sans MT" w:hAnsi="Gill Sans MT"/>
        </w:rPr>
      </w:pPr>
      <w:r w:rsidRPr="009146F9">
        <w:rPr>
          <w:rFonts w:ascii="Gill Sans MT" w:hAnsi="Gill Sans MT"/>
        </w:rPr>
        <w:t xml:space="preserve">The AAG has drafted this report on </w:t>
      </w:r>
      <w:r w:rsidR="009E34D8" w:rsidRPr="009146F9">
        <w:rPr>
          <w:rFonts w:ascii="Gill Sans MT" w:hAnsi="Gill Sans MT"/>
        </w:rPr>
        <w:t>activities</w:t>
      </w:r>
      <w:r w:rsidRPr="009146F9">
        <w:rPr>
          <w:rFonts w:ascii="Gill Sans MT" w:hAnsi="Gill Sans MT"/>
        </w:rPr>
        <w:t xml:space="preserve"> to assist </w:t>
      </w:r>
      <w:r w:rsidR="009D7ED6" w:rsidRPr="009146F9">
        <w:rPr>
          <w:rFonts w:ascii="Gill Sans MT" w:hAnsi="Gill Sans MT"/>
        </w:rPr>
        <w:t>to inform the development of a new alcohol framework for Tasmania in 2017</w:t>
      </w:r>
      <w:r w:rsidRPr="009146F9">
        <w:rPr>
          <w:rFonts w:ascii="Gill Sans MT" w:hAnsi="Gill Sans MT"/>
        </w:rPr>
        <w:t xml:space="preserve">.  </w:t>
      </w:r>
    </w:p>
    <w:p w:rsidR="00747A68" w:rsidRPr="009146F9" w:rsidRDefault="00747A68" w:rsidP="00FC47DF">
      <w:pPr>
        <w:keepNext/>
        <w:suppressAutoHyphens/>
        <w:spacing w:before="120" w:after="120" w:line="280" w:lineRule="atLeast"/>
        <w:rPr>
          <w:rFonts w:ascii="Gill Sans MT" w:hAnsi="Gill Sans MT" w:cs="Times New Roman"/>
          <w:b/>
          <w:sz w:val="24"/>
          <w:szCs w:val="24"/>
        </w:rPr>
      </w:pPr>
      <w:r w:rsidRPr="009146F9">
        <w:rPr>
          <w:rFonts w:ascii="Gill Sans MT" w:hAnsi="Gill Sans MT"/>
        </w:rPr>
        <w:t xml:space="preserve">To also inform the development of a new framework, </w:t>
      </w:r>
      <w:r w:rsidR="00FC47DF" w:rsidRPr="009146F9">
        <w:rPr>
          <w:rFonts w:ascii="Gill Sans MT" w:hAnsi="Gill Sans MT"/>
        </w:rPr>
        <w:t>t</w:t>
      </w:r>
      <w:r w:rsidRPr="009146F9">
        <w:rPr>
          <w:rFonts w:ascii="Gill Sans MT" w:hAnsi="Gill Sans MT"/>
        </w:rPr>
        <w:t>he Department of Health and Human Services (DHHS) through Public Health Services (PHS) has engaged in a collaborative project with The Australian Prevention Partnership Centre (TAPPC) Sax Institute to develop a simulation model of alcohol use in Tasmania, to forecast the effectiveness of a variety of approaches to reducing alcohol-related harm, and explore what combination of interventions is likely to produce maximum community-wide impact.</w:t>
      </w:r>
    </w:p>
    <w:p w:rsidR="000B51C6" w:rsidRPr="009146F9" w:rsidRDefault="00747A68" w:rsidP="00FC47DF">
      <w:pPr>
        <w:keepNext/>
        <w:suppressAutoHyphens/>
        <w:spacing w:before="120" w:after="120" w:line="280" w:lineRule="atLeast"/>
        <w:rPr>
          <w:rFonts w:ascii="Gill Sans MT" w:hAnsi="Gill Sans MT"/>
        </w:rPr>
      </w:pPr>
      <w:r w:rsidRPr="009146F9">
        <w:rPr>
          <w:rFonts w:ascii="Gill Sans MT" w:hAnsi="Gill Sans MT"/>
        </w:rPr>
        <w:t xml:space="preserve">PHS </w:t>
      </w:r>
      <w:r w:rsidR="000B51C6" w:rsidRPr="009146F9">
        <w:rPr>
          <w:rFonts w:ascii="Gill Sans MT" w:hAnsi="Gill Sans MT"/>
        </w:rPr>
        <w:t xml:space="preserve">has </w:t>
      </w:r>
      <w:r w:rsidR="00FC47DF" w:rsidRPr="009146F9">
        <w:rPr>
          <w:rFonts w:ascii="Gill Sans MT" w:hAnsi="Gill Sans MT"/>
        </w:rPr>
        <w:t xml:space="preserve">also </w:t>
      </w:r>
      <w:r w:rsidR="000B51C6" w:rsidRPr="009146F9">
        <w:rPr>
          <w:rFonts w:ascii="Gill Sans MT" w:hAnsi="Gill Sans MT"/>
        </w:rPr>
        <w:t>developed the Tasmanian Alcoho</w:t>
      </w:r>
      <w:r w:rsidR="00C57E22" w:rsidRPr="009146F9">
        <w:rPr>
          <w:rFonts w:ascii="Gill Sans MT" w:hAnsi="Gill Sans MT"/>
        </w:rPr>
        <w:t>l Data and Trends Report 2016</w:t>
      </w:r>
      <w:r w:rsidR="00DB40DC" w:rsidRPr="009146F9">
        <w:rPr>
          <w:rFonts w:ascii="Gill Sans MT" w:hAnsi="Gill Sans MT"/>
        </w:rPr>
        <w:t>,</w:t>
      </w:r>
      <w:r w:rsidR="00C57E22" w:rsidRPr="009146F9">
        <w:rPr>
          <w:rFonts w:ascii="Gill Sans MT" w:hAnsi="Gill Sans MT"/>
        </w:rPr>
        <w:t xml:space="preserve"> available from the abov</w:t>
      </w:r>
      <w:r w:rsidR="00867995" w:rsidRPr="009146F9">
        <w:rPr>
          <w:rFonts w:ascii="Gill Sans MT" w:hAnsi="Gill Sans MT"/>
        </w:rPr>
        <w:t xml:space="preserve">e alcohol page as well as from </w:t>
      </w:r>
      <w:hyperlink r:id="rId30" w:history="1">
        <w:r w:rsidR="00867995" w:rsidRPr="009146F9">
          <w:rPr>
            <w:rStyle w:val="Hyperlink"/>
            <w:rFonts w:ascii="Gill Sans MT" w:hAnsi="Gill Sans MT"/>
          </w:rPr>
          <w:t>http://www.dhhs.tas.gov.au/publichealth/about_us/publications/epidemiology_publications</w:t>
        </w:r>
      </w:hyperlink>
      <w:r w:rsidR="00867995" w:rsidRPr="009146F9">
        <w:rPr>
          <w:rFonts w:ascii="Gill Sans MT" w:hAnsi="Gill Sans MT"/>
        </w:rPr>
        <w:t xml:space="preserve">.  </w:t>
      </w:r>
      <w:r w:rsidR="00DB40DC" w:rsidRPr="009146F9">
        <w:rPr>
          <w:rFonts w:ascii="Gill Sans MT" w:hAnsi="Gill Sans MT"/>
        </w:rPr>
        <w:t>A summary is provided</w:t>
      </w:r>
      <w:r w:rsidR="00C57E22" w:rsidRPr="009146F9">
        <w:rPr>
          <w:rFonts w:ascii="Gill Sans MT" w:hAnsi="Gill Sans MT"/>
        </w:rPr>
        <w:t xml:space="preserve"> </w:t>
      </w:r>
      <w:r w:rsidR="009C24A1" w:rsidRPr="009146F9">
        <w:rPr>
          <w:rFonts w:ascii="Gill Sans MT" w:hAnsi="Gill Sans MT"/>
        </w:rPr>
        <w:t>in Appendix 1</w:t>
      </w:r>
      <w:r w:rsidR="00C57E22" w:rsidRPr="009146F9">
        <w:rPr>
          <w:rFonts w:ascii="Gill Sans MT" w:hAnsi="Gill Sans MT"/>
        </w:rPr>
        <w:t>.</w:t>
      </w:r>
      <w:r w:rsidR="000B51C6" w:rsidRPr="009146F9">
        <w:rPr>
          <w:rFonts w:ascii="Gill Sans MT" w:hAnsi="Gill Sans MT"/>
        </w:rPr>
        <w:t xml:space="preserve"> </w:t>
      </w:r>
    </w:p>
    <w:p w:rsidR="009364A5" w:rsidRPr="009146F9" w:rsidRDefault="009364A5" w:rsidP="00FC47DF">
      <w:pPr>
        <w:keepNext/>
        <w:spacing w:before="120" w:after="120" w:line="280" w:lineRule="atLeast"/>
        <w:rPr>
          <w:rFonts w:ascii="Gill Sans MT" w:hAnsi="Gill Sans MT" w:cstheme="minorHAnsi"/>
        </w:rPr>
      </w:pPr>
    </w:p>
    <w:p w:rsidR="00850956" w:rsidRPr="009146F9" w:rsidRDefault="006416EE" w:rsidP="00FC47DF">
      <w:pPr>
        <w:keepNext/>
        <w:spacing w:before="120" w:after="120" w:line="280" w:lineRule="atLeast"/>
        <w:rPr>
          <w:rFonts w:ascii="Gill Sans MT" w:hAnsi="Gill Sans MT" w:cstheme="minorHAnsi"/>
        </w:rPr>
      </w:pPr>
      <w:r w:rsidRPr="009146F9">
        <w:rPr>
          <w:rFonts w:ascii="Gill Sans MT" w:hAnsi="Gill Sans MT" w:cstheme="minorHAnsi"/>
        </w:rPr>
        <w:t>Michael Reynolds</w:t>
      </w:r>
    </w:p>
    <w:p w:rsidR="00A53398" w:rsidRPr="009146F9" w:rsidRDefault="00850956" w:rsidP="00FC47DF">
      <w:pPr>
        <w:keepNext/>
        <w:spacing w:before="120" w:after="120" w:line="280" w:lineRule="atLeast"/>
        <w:rPr>
          <w:rFonts w:ascii="Gill Sans MT" w:hAnsi="Gill Sans MT" w:cstheme="minorHAnsi"/>
          <w:b/>
          <w:sz w:val="28"/>
        </w:rPr>
      </w:pPr>
      <w:r w:rsidRPr="009146F9">
        <w:rPr>
          <w:rFonts w:ascii="Gill Sans MT" w:hAnsi="Gill Sans MT" w:cstheme="minorHAnsi"/>
        </w:rPr>
        <w:t>Chair</w:t>
      </w:r>
      <w:r w:rsidR="002A4736" w:rsidRPr="009146F9">
        <w:rPr>
          <w:rFonts w:ascii="Gill Sans MT" w:hAnsi="Gill Sans MT" w:cstheme="minorHAnsi"/>
        </w:rPr>
        <w:t xml:space="preserve"> - </w:t>
      </w:r>
      <w:r w:rsidR="00A016F1" w:rsidRPr="009146F9">
        <w:rPr>
          <w:rFonts w:ascii="Gill Sans MT" w:hAnsi="Gill Sans MT" w:cstheme="minorHAnsi"/>
        </w:rPr>
        <w:t>Intera</w:t>
      </w:r>
      <w:r w:rsidR="00A0490F" w:rsidRPr="009146F9">
        <w:rPr>
          <w:rFonts w:ascii="Gill Sans MT" w:hAnsi="Gill Sans MT" w:cstheme="minorHAnsi"/>
        </w:rPr>
        <w:t>gency Working Group on Drugs</w:t>
      </w:r>
      <w:r w:rsidR="00A53398" w:rsidRPr="009146F9">
        <w:rPr>
          <w:rFonts w:ascii="Gill Sans MT" w:hAnsi="Gill Sans MT" w:cstheme="minorHAnsi"/>
          <w:b/>
          <w:sz w:val="28"/>
        </w:rPr>
        <w:br w:type="page"/>
      </w:r>
    </w:p>
    <w:p w:rsidR="00882663" w:rsidRPr="009146F9" w:rsidRDefault="00882663" w:rsidP="009146F9">
      <w:pPr>
        <w:pStyle w:val="Heading1"/>
        <w:numPr>
          <w:ilvl w:val="0"/>
          <w:numId w:val="53"/>
        </w:numPr>
      </w:pPr>
      <w:bookmarkStart w:id="2" w:name="_Toc476322090"/>
      <w:r w:rsidRPr="009146F9">
        <w:t>Summary</w:t>
      </w:r>
      <w:bookmarkEnd w:id="2"/>
    </w:p>
    <w:p w:rsidR="00A53398" w:rsidRPr="009146F9" w:rsidRDefault="00A53398" w:rsidP="009146F9">
      <w:pPr>
        <w:pStyle w:val="Heading2"/>
      </w:pPr>
      <w:bookmarkStart w:id="3" w:name="_Toc476322091"/>
      <w:r w:rsidRPr="009146F9">
        <w:t>Background</w:t>
      </w:r>
      <w:bookmarkEnd w:id="3"/>
    </w:p>
    <w:p w:rsidR="003F0A4E" w:rsidRPr="009146F9" w:rsidRDefault="003F0A4E" w:rsidP="00FC47DF">
      <w:pPr>
        <w:keepNext/>
        <w:spacing w:before="120" w:after="120" w:line="280" w:lineRule="atLeast"/>
        <w:rPr>
          <w:rFonts w:ascii="Gill Sans MT" w:hAnsi="Gill Sans MT"/>
        </w:rPr>
      </w:pPr>
      <w:r w:rsidRPr="009146F9">
        <w:rPr>
          <w:rFonts w:ascii="Gill Sans MT" w:hAnsi="Gill Sans MT"/>
        </w:rPr>
        <w:t xml:space="preserve">In Tasmania, as elsewhere, a substantial proportion of people drink at levels that increase the risk of alcohol-related harm.  This includes a wide range of harms to an individual drinker, those around the individual drinker, and communities and society as a whole. </w:t>
      </w:r>
      <w:r w:rsidR="0083191D" w:rsidRPr="009146F9">
        <w:rPr>
          <w:rFonts w:ascii="Gill Sans MT" w:hAnsi="Gill Sans MT"/>
        </w:rPr>
        <w:t xml:space="preserve"> </w:t>
      </w:r>
      <w:r w:rsidRPr="009146F9">
        <w:rPr>
          <w:rFonts w:ascii="Gill Sans MT" w:hAnsi="Gill Sans MT"/>
        </w:rPr>
        <w:t>Alcohol is a causal factor in more than 200 disease and injury conditions, encompassing both short-term and long-term harm</w:t>
      </w:r>
      <w:r w:rsidRPr="009146F9">
        <w:rPr>
          <w:rStyle w:val="FootnoteReference"/>
          <w:rFonts w:ascii="Gill Sans MT" w:hAnsi="Gill Sans MT"/>
        </w:rPr>
        <w:footnoteReference w:id="1"/>
      </w:r>
      <w:r w:rsidRPr="009146F9">
        <w:rPr>
          <w:rFonts w:ascii="Gill Sans MT" w:hAnsi="Gill Sans MT"/>
        </w:rPr>
        <w:t>. Alcohol-attributable cancer, liver cirrhosis, and injury together constitute the majority of the burden of alcohol-attributable mortality</w:t>
      </w:r>
      <w:r w:rsidRPr="009146F9">
        <w:rPr>
          <w:rStyle w:val="FootnoteReference"/>
          <w:rFonts w:ascii="Gill Sans MT" w:hAnsi="Gill Sans MT"/>
        </w:rPr>
        <w:footnoteReference w:id="2"/>
      </w:r>
      <w:r w:rsidRPr="009146F9">
        <w:rPr>
          <w:rFonts w:ascii="Gill Sans MT" w:hAnsi="Gill Sans MT"/>
        </w:rPr>
        <w:t xml:space="preserve">. </w:t>
      </w:r>
    </w:p>
    <w:p w:rsidR="00AE4C0F" w:rsidRPr="009146F9" w:rsidRDefault="003F0A4E" w:rsidP="00FC47DF">
      <w:pPr>
        <w:keepNext/>
        <w:widowControl w:val="0"/>
        <w:spacing w:before="120" w:after="120" w:line="280" w:lineRule="atLeast"/>
        <w:jc w:val="both"/>
        <w:rPr>
          <w:rFonts w:ascii="Gill Sans MT" w:hAnsi="Gill Sans MT"/>
          <w:szCs w:val="23"/>
        </w:rPr>
      </w:pPr>
      <w:r w:rsidRPr="009146F9">
        <w:rPr>
          <w:rFonts w:ascii="Gill Sans MT" w:hAnsi="Gill Sans MT"/>
        </w:rPr>
        <w:t>In Australia, alcohol hospitalises an estimated 430 people each day (157,132 per year) and kills an estimated 15 people each day (5,554 per year)</w:t>
      </w:r>
      <w:r w:rsidRPr="009146F9">
        <w:rPr>
          <w:rStyle w:val="FootnoteReference"/>
          <w:rFonts w:ascii="Gill Sans MT" w:hAnsi="Gill Sans MT"/>
        </w:rPr>
        <w:footnoteReference w:id="3"/>
      </w:r>
      <w:r w:rsidRPr="009146F9">
        <w:rPr>
          <w:rFonts w:ascii="Gill Sans MT" w:hAnsi="Gill Sans MT"/>
        </w:rPr>
        <w:t xml:space="preserve">. </w:t>
      </w:r>
      <w:r w:rsidR="00AE4C0F" w:rsidRPr="009146F9">
        <w:rPr>
          <w:rFonts w:ascii="Gill Sans MT" w:hAnsi="Gill Sans MT"/>
        </w:rPr>
        <w:t xml:space="preserve">In Tasmania </w:t>
      </w:r>
      <w:r w:rsidR="00AE4C0F" w:rsidRPr="009146F9">
        <w:rPr>
          <w:rFonts w:ascii="Gill Sans MT" w:hAnsi="Gill Sans MT"/>
          <w:szCs w:val="23"/>
        </w:rPr>
        <w:t xml:space="preserve">alcohol-attributable hospitalisations were estimated </w:t>
      </w:r>
      <w:r w:rsidR="00A31C9C" w:rsidRPr="009146F9">
        <w:rPr>
          <w:rFonts w:ascii="Gill Sans MT" w:hAnsi="Gill Sans MT"/>
          <w:szCs w:val="23"/>
        </w:rPr>
        <w:t xml:space="preserve">in 2010 </w:t>
      </w:r>
      <w:r w:rsidR="006A6B23" w:rsidRPr="009146F9">
        <w:rPr>
          <w:rFonts w:ascii="Gill Sans MT" w:hAnsi="Gill Sans MT"/>
          <w:szCs w:val="23"/>
        </w:rPr>
        <w:t>to be 2,</w:t>
      </w:r>
      <w:r w:rsidR="00AE4C0F" w:rsidRPr="009146F9">
        <w:rPr>
          <w:rFonts w:ascii="Gill Sans MT" w:hAnsi="Gill Sans MT"/>
          <w:szCs w:val="23"/>
        </w:rPr>
        <w:t>636 (or more than 50 per week</w:t>
      </w:r>
      <w:r w:rsidR="00AE4BED" w:rsidRPr="009146F9">
        <w:rPr>
          <w:rFonts w:ascii="Gill Sans MT" w:hAnsi="Gill Sans MT"/>
          <w:szCs w:val="23"/>
        </w:rPr>
        <w:t>)</w:t>
      </w:r>
      <w:r w:rsidR="00AE4C0F" w:rsidRPr="009146F9">
        <w:rPr>
          <w:rFonts w:ascii="Gill Sans MT" w:hAnsi="Gill Sans MT"/>
        </w:rPr>
        <w:t xml:space="preserve"> and alcohol</w:t>
      </w:r>
      <w:r w:rsidR="00AE4C0F" w:rsidRPr="009146F9">
        <w:rPr>
          <w:rFonts w:ascii="Gill Sans MT" w:hAnsi="Gill Sans MT"/>
          <w:szCs w:val="23"/>
        </w:rPr>
        <w:t xml:space="preserve">-attributable deaths were estimated to be 155 (over 2 per week). </w:t>
      </w:r>
    </w:p>
    <w:p w:rsidR="00AA2D29" w:rsidRPr="009146F9" w:rsidRDefault="00AE4C0F" w:rsidP="00FC47DF">
      <w:pPr>
        <w:keepNext/>
        <w:spacing w:before="120" w:after="120" w:line="280" w:lineRule="atLeast"/>
        <w:rPr>
          <w:rFonts w:ascii="Gill Sans MT" w:hAnsi="Gill Sans MT"/>
        </w:rPr>
      </w:pPr>
      <w:r w:rsidRPr="009146F9">
        <w:rPr>
          <w:rFonts w:ascii="Gill Sans MT" w:hAnsi="Gill Sans MT"/>
        </w:rPr>
        <w:t>Alcohol</w:t>
      </w:r>
      <w:r w:rsidR="003F0A4E" w:rsidRPr="009146F9">
        <w:rPr>
          <w:rFonts w:ascii="Gill Sans MT" w:hAnsi="Gill Sans MT"/>
        </w:rPr>
        <w:t xml:space="preserve"> is also responsible for 5.1 per cent of the overall disease burden</w:t>
      </w:r>
      <w:r w:rsidR="003F0A4E" w:rsidRPr="009146F9">
        <w:rPr>
          <w:rStyle w:val="FootnoteReference"/>
          <w:rFonts w:ascii="Gill Sans MT" w:hAnsi="Gill Sans MT"/>
        </w:rPr>
        <w:footnoteReference w:id="4"/>
      </w:r>
      <w:r w:rsidR="003F0A4E" w:rsidRPr="009146F9">
        <w:rPr>
          <w:rFonts w:ascii="Gill Sans MT" w:hAnsi="Gill Sans MT"/>
        </w:rPr>
        <w:t xml:space="preserve"> and cost the Australian community an estimated $15.3 billion in 2004-05</w:t>
      </w:r>
      <w:r w:rsidR="003F0A4E" w:rsidRPr="009146F9">
        <w:rPr>
          <w:rStyle w:val="FootnoteReference"/>
          <w:rFonts w:ascii="Gill Sans MT" w:hAnsi="Gill Sans MT"/>
        </w:rPr>
        <w:footnoteReference w:id="5"/>
      </w:r>
      <w:r w:rsidR="003F0A4E" w:rsidRPr="009146F9">
        <w:rPr>
          <w:rFonts w:ascii="Gill Sans MT" w:hAnsi="Gill Sans MT"/>
        </w:rPr>
        <w:t>. The most recent estimates of alcohol consumption show that Tasmanians drink alcohol at levels above the national average</w:t>
      </w:r>
      <w:r w:rsidR="003F0A4E" w:rsidRPr="009146F9">
        <w:rPr>
          <w:rStyle w:val="FootnoteReference"/>
          <w:rFonts w:ascii="Gill Sans MT" w:hAnsi="Gill Sans MT"/>
        </w:rPr>
        <w:footnoteReference w:id="6"/>
      </w:r>
      <w:r w:rsidR="003F0A4E" w:rsidRPr="009146F9">
        <w:rPr>
          <w:rFonts w:ascii="Gill Sans MT" w:hAnsi="Gill Sans MT"/>
        </w:rPr>
        <w:t xml:space="preserve"> </w:t>
      </w:r>
      <w:r w:rsidR="00AA2D29" w:rsidRPr="009146F9">
        <w:rPr>
          <w:rFonts w:ascii="Gill Sans MT" w:hAnsi="Gill Sans MT"/>
        </w:rPr>
        <w:t xml:space="preserve">and there is evidence of </w:t>
      </w:r>
      <w:r w:rsidR="003F0A4E" w:rsidRPr="009146F9">
        <w:rPr>
          <w:rFonts w:ascii="Gill Sans MT" w:hAnsi="Gill Sans MT"/>
        </w:rPr>
        <w:t xml:space="preserve">a significant burden from alcohol harms on the Tasmanian </w:t>
      </w:r>
      <w:r w:rsidR="0083191D" w:rsidRPr="009146F9">
        <w:rPr>
          <w:rFonts w:ascii="Gill Sans MT" w:hAnsi="Gill Sans MT"/>
        </w:rPr>
        <w:t>community</w:t>
      </w:r>
      <w:r w:rsidR="003F0A4E" w:rsidRPr="009146F9">
        <w:rPr>
          <w:rFonts w:ascii="Gill Sans MT" w:hAnsi="Gill Sans MT"/>
        </w:rPr>
        <w:t>.</w:t>
      </w:r>
    </w:p>
    <w:p w:rsidR="001832DB" w:rsidRPr="009146F9" w:rsidRDefault="001832DB" w:rsidP="00FC47DF">
      <w:pPr>
        <w:keepNext/>
        <w:spacing w:before="120" w:after="120" w:line="280" w:lineRule="atLeast"/>
        <w:rPr>
          <w:rFonts w:ascii="Gill Sans MT" w:hAnsi="Gill Sans MT"/>
        </w:rPr>
      </w:pPr>
      <w:r w:rsidRPr="009146F9">
        <w:rPr>
          <w:rFonts w:ascii="Gill Sans MT" w:hAnsi="Gill Sans MT"/>
          <w:i/>
        </w:rPr>
        <w:t xml:space="preserve">Rising Above the Influence: Tasmanian Alcohol Action Framework 2010-2015 </w:t>
      </w:r>
      <w:r w:rsidRPr="009146F9">
        <w:rPr>
          <w:rFonts w:ascii="Gill Sans MT" w:hAnsi="Gill Sans MT"/>
        </w:rPr>
        <w:t xml:space="preserve">(TAAF) was released in 2010.  The TAAF was developed by the IAWGD </w:t>
      </w:r>
      <w:r w:rsidRPr="009146F9">
        <w:rPr>
          <w:rFonts w:ascii="Gill Sans MT" w:hAnsi="Gill Sans MT" w:cs="Calibri"/>
        </w:rPr>
        <w:t xml:space="preserve">as a response to alcohol-related harm in the Tasmanian community, and as the broad structure to guide government agencies, local council, community sector organisations and industry to develop and implement activities and actions to address problems associated with excessive alcohol consumption in Tasmania.  </w:t>
      </w:r>
    </w:p>
    <w:p w:rsidR="001832DB" w:rsidRPr="009146F9" w:rsidRDefault="001832DB" w:rsidP="00FC47DF">
      <w:pPr>
        <w:keepNext/>
        <w:spacing w:before="120" w:after="120" w:line="280" w:lineRule="atLeast"/>
        <w:rPr>
          <w:rFonts w:ascii="Gill Sans MT" w:hAnsi="Gill Sans MT"/>
        </w:rPr>
      </w:pPr>
      <w:r w:rsidRPr="009146F9">
        <w:rPr>
          <w:rFonts w:ascii="Gill Sans MT" w:hAnsi="Gill Sans MT"/>
        </w:rPr>
        <w:t xml:space="preserve">In 2015, the Minister for Health, on the recommendation of the IAWGD, agreed to extend the Framework to the end of 2016 to allow for a comprehensive review that will help inform a new alcohol strategy for Tasmania from 2017, and which will also align with the development of a new National Alcohol Strategy.  </w:t>
      </w:r>
    </w:p>
    <w:p w:rsidR="001832DB" w:rsidRPr="009146F9" w:rsidRDefault="001832DB" w:rsidP="00FC47DF">
      <w:pPr>
        <w:keepNext/>
        <w:spacing w:before="120" w:after="120" w:line="280" w:lineRule="atLeast"/>
        <w:rPr>
          <w:rFonts w:ascii="Gill Sans MT" w:hAnsi="Gill Sans MT"/>
        </w:rPr>
      </w:pPr>
      <w:r w:rsidRPr="009146F9">
        <w:rPr>
          <w:rFonts w:ascii="Gill Sans MT" w:hAnsi="Gill Sans MT"/>
        </w:rPr>
        <w:t xml:space="preserve">The IAWGD is responsible to review the current TAAF and develop a new alcohol framework for Tasmania from 2017.   It tasked the AAG with coordinating and facilitating this work. </w:t>
      </w:r>
      <w:r w:rsidR="008F6E22" w:rsidRPr="009146F9">
        <w:rPr>
          <w:rFonts w:ascii="Gill Sans MT" w:hAnsi="Gill Sans MT"/>
        </w:rPr>
        <w:t xml:space="preserve"> </w:t>
      </w:r>
    </w:p>
    <w:p w:rsidR="001A4CE8" w:rsidRPr="009146F9" w:rsidRDefault="001A4CE8" w:rsidP="00BA74FA">
      <w:pPr>
        <w:pStyle w:val="Heading3"/>
      </w:pPr>
      <w:bookmarkStart w:id="4" w:name="_Toc476322092"/>
      <w:r w:rsidRPr="009146F9">
        <w:t>The Tasmanian Alcohol Action Framework</w:t>
      </w:r>
      <w:bookmarkEnd w:id="4"/>
    </w:p>
    <w:p w:rsidR="004C5DA8" w:rsidRPr="009146F9" w:rsidRDefault="00C818CB" w:rsidP="00FC47DF">
      <w:pPr>
        <w:keepNext/>
        <w:spacing w:before="120" w:after="120" w:line="280" w:lineRule="atLeast"/>
        <w:rPr>
          <w:rFonts w:ascii="Gill Sans MT" w:hAnsi="Gill Sans MT" w:cstheme="minorHAnsi"/>
        </w:rPr>
      </w:pPr>
      <w:r w:rsidRPr="009146F9">
        <w:rPr>
          <w:rFonts w:ascii="Gill Sans MT" w:hAnsi="Gill Sans MT" w:cstheme="minorHAnsi"/>
        </w:rPr>
        <w:t>The TAAF</w:t>
      </w:r>
      <w:r w:rsidR="005862CF" w:rsidRPr="009146F9">
        <w:rPr>
          <w:rFonts w:ascii="Gill Sans MT" w:hAnsi="Gill Sans MT" w:cstheme="minorHAnsi"/>
        </w:rPr>
        <w:t xml:space="preserve"> is Tasmania’s strategic response to alcohol use and misuse</w:t>
      </w:r>
      <w:r w:rsidR="004C5DA8" w:rsidRPr="009146F9">
        <w:rPr>
          <w:rFonts w:ascii="Gill Sans MT" w:hAnsi="Gill Sans MT" w:cstheme="minorHAnsi"/>
        </w:rPr>
        <w:t>.</w:t>
      </w:r>
      <w:r w:rsidR="005862CF" w:rsidRPr="009146F9">
        <w:rPr>
          <w:rFonts w:ascii="Gill Sans MT" w:hAnsi="Gill Sans MT" w:cstheme="minorHAnsi"/>
        </w:rPr>
        <w:t xml:space="preserve">  The TAAF was implemented in 2010 as one of three sub-strategies under the TDS framework</w:t>
      </w:r>
      <w:r w:rsidR="00F933A5" w:rsidRPr="009146F9">
        <w:rPr>
          <w:rFonts w:ascii="Gill Sans MT" w:hAnsi="Gill Sans MT" w:cstheme="minorHAnsi"/>
        </w:rPr>
        <w:t xml:space="preserve"> and was developed </w:t>
      </w:r>
      <w:r w:rsidR="004C5DA8" w:rsidRPr="009146F9">
        <w:rPr>
          <w:rFonts w:ascii="Gill Sans MT" w:hAnsi="Gill Sans MT" w:cstheme="minorHAnsi"/>
        </w:rPr>
        <w:t>following</w:t>
      </w:r>
      <w:r w:rsidR="00F933A5" w:rsidRPr="009146F9">
        <w:rPr>
          <w:rFonts w:ascii="Gill Sans MT" w:hAnsi="Gill Sans MT" w:cstheme="minorHAnsi"/>
        </w:rPr>
        <w:t xml:space="preserve"> broad consultation with state and local government, the non-</w:t>
      </w:r>
      <w:r w:rsidR="004C5DA8" w:rsidRPr="009146F9">
        <w:rPr>
          <w:rFonts w:ascii="Gill Sans MT" w:hAnsi="Gill Sans MT" w:cstheme="minorHAnsi"/>
        </w:rPr>
        <w:t xml:space="preserve">government sector and industry. </w:t>
      </w:r>
    </w:p>
    <w:p w:rsidR="00D50F17" w:rsidRPr="009146F9" w:rsidRDefault="004C5DA8" w:rsidP="00FC47DF">
      <w:pPr>
        <w:keepNext/>
        <w:spacing w:before="120" w:after="120" w:line="280" w:lineRule="atLeast"/>
        <w:rPr>
          <w:rFonts w:ascii="Gill Sans MT" w:hAnsi="Gill Sans MT" w:cstheme="minorHAnsi"/>
        </w:rPr>
      </w:pPr>
      <w:r w:rsidRPr="009146F9">
        <w:rPr>
          <w:rFonts w:ascii="Gill Sans MT" w:hAnsi="Gill Sans MT" w:cstheme="minorHAnsi"/>
        </w:rPr>
        <w:t xml:space="preserve">The goal of the current TAAF is to improve individual and community safety and to reduce the human, economic and social costs associated with the misuse of alcohol.  Its </w:t>
      </w:r>
      <w:r w:rsidR="00F933A5" w:rsidRPr="009146F9">
        <w:rPr>
          <w:rFonts w:ascii="Gill Sans MT" w:hAnsi="Gill Sans MT" w:cstheme="minorHAnsi"/>
        </w:rPr>
        <w:t>aims are to:</w:t>
      </w:r>
    </w:p>
    <w:p w:rsidR="00F933A5" w:rsidRPr="009146F9" w:rsidRDefault="00F933A5" w:rsidP="00FC47DF">
      <w:pPr>
        <w:pStyle w:val="ListParagraph"/>
        <w:keepNext/>
        <w:numPr>
          <w:ilvl w:val="0"/>
          <w:numId w:val="3"/>
        </w:numPr>
        <w:spacing w:before="120" w:after="120" w:line="280" w:lineRule="atLeast"/>
        <w:rPr>
          <w:rFonts w:ascii="Gill Sans MT" w:hAnsi="Gill Sans MT" w:cstheme="minorHAnsi"/>
        </w:rPr>
      </w:pPr>
      <w:r w:rsidRPr="009146F9">
        <w:rPr>
          <w:rFonts w:ascii="Gill Sans MT" w:hAnsi="Gill Sans MT" w:cstheme="minorHAnsi"/>
        </w:rPr>
        <w:t xml:space="preserve">Reduce the volume </w:t>
      </w:r>
      <w:r w:rsidR="008D5C49" w:rsidRPr="009146F9">
        <w:rPr>
          <w:rFonts w:ascii="Gill Sans MT" w:hAnsi="Gill Sans MT" w:cstheme="minorHAnsi"/>
        </w:rPr>
        <w:t xml:space="preserve">of </w:t>
      </w:r>
      <w:r w:rsidRPr="009146F9">
        <w:rPr>
          <w:rFonts w:ascii="Gill Sans MT" w:hAnsi="Gill Sans MT" w:cstheme="minorHAnsi"/>
        </w:rPr>
        <w:t>per capita alcohol consumption in Tasmania;</w:t>
      </w:r>
    </w:p>
    <w:p w:rsidR="00F933A5" w:rsidRPr="009146F9" w:rsidRDefault="00F933A5" w:rsidP="00FC47DF">
      <w:pPr>
        <w:pStyle w:val="ListParagraph"/>
        <w:keepNext/>
        <w:numPr>
          <w:ilvl w:val="0"/>
          <w:numId w:val="3"/>
        </w:numPr>
        <w:spacing w:before="120" w:after="120" w:line="280" w:lineRule="atLeast"/>
        <w:rPr>
          <w:rFonts w:ascii="Gill Sans MT" w:hAnsi="Gill Sans MT" w:cstheme="minorHAnsi"/>
        </w:rPr>
      </w:pPr>
      <w:r w:rsidRPr="009146F9">
        <w:rPr>
          <w:rFonts w:ascii="Gill Sans MT" w:hAnsi="Gill Sans MT" w:cstheme="minorHAnsi"/>
        </w:rPr>
        <w:t>Reduce the incidence of illness, accidents and deaths related to the misuse of alcohol;</w:t>
      </w:r>
    </w:p>
    <w:p w:rsidR="00F933A5" w:rsidRPr="009146F9" w:rsidRDefault="00F933A5" w:rsidP="00FC47DF">
      <w:pPr>
        <w:pStyle w:val="ListParagraph"/>
        <w:keepNext/>
        <w:numPr>
          <w:ilvl w:val="0"/>
          <w:numId w:val="3"/>
        </w:numPr>
        <w:spacing w:before="120" w:after="120" w:line="280" w:lineRule="atLeast"/>
        <w:rPr>
          <w:rFonts w:ascii="Gill Sans MT" w:hAnsi="Gill Sans MT" w:cstheme="minorHAnsi"/>
        </w:rPr>
      </w:pPr>
      <w:r w:rsidRPr="009146F9">
        <w:rPr>
          <w:rFonts w:ascii="Gill Sans MT" w:hAnsi="Gill Sans MT" w:cstheme="minorHAnsi"/>
        </w:rPr>
        <w:t>Reduce the level of social, economic, health and legal costs related to the misuse of alcohol;</w:t>
      </w:r>
    </w:p>
    <w:p w:rsidR="00F933A5" w:rsidRPr="009146F9" w:rsidRDefault="00F933A5" w:rsidP="00FC47DF">
      <w:pPr>
        <w:pStyle w:val="ListParagraph"/>
        <w:keepNext/>
        <w:numPr>
          <w:ilvl w:val="0"/>
          <w:numId w:val="3"/>
        </w:numPr>
        <w:spacing w:before="120" w:after="120" w:line="280" w:lineRule="atLeast"/>
        <w:rPr>
          <w:rFonts w:ascii="Gill Sans MT" w:hAnsi="Gill Sans MT" w:cstheme="minorHAnsi"/>
        </w:rPr>
      </w:pPr>
      <w:r w:rsidRPr="009146F9">
        <w:rPr>
          <w:rFonts w:ascii="Gill Sans MT" w:hAnsi="Gill Sans MT" w:cstheme="minorHAnsi"/>
        </w:rPr>
        <w:t>Reduce the prevalence of violence, including family violence, disruption, antisocial behaviour and crime related to the misuse of alcohol;</w:t>
      </w:r>
    </w:p>
    <w:p w:rsidR="00F933A5" w:rsidRPr="009146F9" w:rsidRDefault="00F933A5" w:rsidP="00FC47DF">
      <w:pPr>
        <w:pStyle w:val="ListParagraph"/>
        <w:keepNext/>
        <w:numPr>
          <w:ilvl w:val="0"/>
          <w:numId w:val="3"/>
        </w:numPr>
        <w:spacing w:before="120" w:after="120" w:line="280" w:lineRule="atLeast"/>
        <w:rPr>
          <w:rFonts w:ascii="Gill Sans MT" w:hAnsi="Gill Sans MT" w:cstheme="minorHAnsi"/>
        </w:rPr>
      </w:pPr>
      <w:r w:rsidRPr="009146F9">
        <w:rPr>
          <w:rFonts w:ascii="Gill Sans MT" w:hAnsi="Gill Sans MT" w:cstheme="minorHAnsi"/>
        </w:rPr>
        <w:t>Reduce the incidence of harmful alcohol use in the Tasmanian community; and</w:t>
      </w:r>
    </w:p>
    <w:p w:rsidR="00F933A5" w:rsidRPr="009146F9" w:rsidRDefault="00F933A5" w:rsidP="00FC47DF">
      <w:pPr>
        <w:pStyle w:val="ListParagraph"/>
        <w:keepNext/>
        <w:numPr>
          <w:ilvl w:val="0"/>
          <w:numId w:val="3"/>
        </w:numPr>
        <w:spacing w:before="120" w:after="120" w:line="280" w:lineRule="atLeast"/>
        <w:rPr>
          <w:rFonts w:ascii="Gill Sans MT" w:hAnsi="Gill Sans MT" w:cstheme="minorHAnsi"/>
        </w:rPr>
      </w:pPr>
      <w:r w:rsidRPr="009146F9">
        <w:rPr>
          <w:rFonts w:ascii="Gill Sans MT" w:hAnsi="Gill Sans MT" w:cstheme="minorHAnsi"/>
        </w:rPr>
        <w:t>Reduce the focus on alcohol as a</w:t>
      </w:r>
      <w:r w:rsidR="00161B30" w:rsidRPr="009146F9">
        <w:rPr>
          <w:rFonts w:ascii="Gill Sans MT" w:hAnsi="Gill Sans MT" w:cstheme="minorHAnsi"/>
        </w:rPr>
        <w:t xml:space="preserve"> necessary component of social</w:t>
      </w:r>
      <w:r w:rsidRPr="009146F9">
        <w:rPr>
          <w:rFonts w:ascii="Gill Sans MT" w:hAnsi="Gill Sans MT" w:cstheme="minorHAnsi"/>
        </w:rPr>
        <w:t xml:space="preserve"> activity in Tasmania.</w:t>
      </w:r>
    </w:p>
    <w:p w:rsidR="004C5DA8" w:rsidRPr="009146F9" w:rsidRDefault="004C5DA8" w:rsidP="00FC47DF">
      <w:pPr>
        <w:keepNext/>
        <w:spacing w:before="120" w:after="120" w:line="280" w:lineRule="atLeast"/>
        <w:rPr>
          <w:rFonts w:ascii="Gill Sans MT" w:hAnsi="Gill Sans MT" w:cstheme="minorHAnsi"/>
        </w:rPr>
      </w:pPr>
      <w:r w:rsidRPr="009146F9">
        <w:rPr>
          <w:rFonts w:ascii="Gill Sans MT" w:hAnsi="Gill Sans MT" w:cstheme="minorHAnsi"/>
        </w:rPr>
        <w:t>The key strategies of the TAAF, which were agreed upon to achieve the above aims are:</w:t>
      </w:r>
    </w:p>
    <w:p w:rsidR="004C5DA8" w:rsidRPr="009146F9" w:rsidRDefault="004C5DA8" w:rsidP="00FC47DF">
      <w:pPr>
        <w:pStyle w:val="ListParagraph"/>
        <w:keepNext/>
        <w:numPr>
          <w:ilvl w:val="0"/>
          <w:numId w:val="4"/>
        </w:numPr>
        <w:spacing w:before="120" w:after="120" w:line="280" w:lineRule="atLeast"/>
        <w:rPr>
          <w:rFonts w:ascii="Gill Sans MT" w:hAnsi="Gill Sans MT" w:cstheme="minorHAnsi"/>
        </w:rPr>
      </w:pPr>
      <w:r w:rsidRPr="009146F9">
        <w:rPr>
          <w:rFonts w:ascii="Gill Sans MT" w:hAnsi="Gill Sans MT" w:cstheme="minorHAnsi"/>
        </w:rPr>
        <w:t>changing of the drinking culture in Tasmania</w:t>
      </w:r>
    </w:p>
    <w:p w:rsidR="004C5DA8" w:rsidRPr="009146F9" w:rsidRDefault="004C5DA8" w:rsidP="00FC47DF">
      <w:pPr>
        <w:pStyle w:val="ListParagraph"/>
        <w:keepNext/>
        <w:numPr>
          <w:ilvl w:val="0"/>
          <w:numId w:val="4"/>
        </w:numPr>
        <w:spacing w:before="120" w:after="120" w:line="280" w:lineRule="atLeast"/>
        <w:rPr>
          <w:rFonts w:ascii="Gill Sans MT" w:hAnsi="Gill Sans MT" w:cstheme="minorHAnsi"/>
        </w:rPr>
      </w:pPr>
      <w:r w:rsidRPr="009146F9">
        <w:rPr>
          <w:rFonts w:ascii="Gill Sans MT" w:hAnsi="Gill Sans MT" w:cstheme="minorHAnsi"/>
        </w:rPr>
        <w:t xml:space="preserve">an effective system for controlling the supply of alcohol in </w:t>
      </w:r>
      <w:r w:rsidR="00161B30" w:rsidRPr="009146F9">
        <w:rPr>
          <w:rFonts w:ascii="Gill Sans MT" w:hAnsi="Gill Sans MT" w:cstheme="minorHAnsi"/>
        </w:rPr>
        <w:t>Tasmania</w:t>
      </w:r>
    </w:p>
    <w:p w:rsidR="004C5DA8" w:rsidRPr="009146F9" w:rsidRDefault="004C5DA8" w:rsidP="00FC47DF">
      <w:pPr>
        <w:pStyle w:val="ListParagraph"/>
        <w:keepNext/>
        <w:numPr>
          <w:ilvl w:val="0"/>
          <w:numId w:val="4"/>
        </w:numPr>
        <w:spacing w:before="120" w:after="120" w:line="280" w:lineRule="atLeast"/>
        <w:rPr>
          <w:rFonts w:ascii="Gill Sans MT" w:hAnsi="Gill Sans MT" w:cstheme="minorHAnsi"/>
        </w:rPr>
      </w:pPr>
      <w:r w:rsidRPr="009146F9">
        <w:rPr>
          <w:rFonts w:ascii="Gill Sans MT" w:hAnsi="Gill Sans MT" w:cstheme="minorHAnsi"/>
        </w:rPr>
        <w:t>providing effective interventions to deal with, and prevent alcohol-related harm</w:t>
      </w:r>
    </w:p>
    <w:p w:rsidR="000D5C3D" w:rsidRPr="009146F9" w:rsidRDefault="000D5C3D" w:rsidP="00FC47DF">
      <w:pPr>
        <w:keepNext/>
        <w:spacing w:before="120" w:after="120" w:line="280" w:lineRule="atLeast"/>
        <w:rPr>
          <w:rFonts w:ascii="Gill Sans MT" w:hAnsi="Gill Sans MT" w:cstheme="minorHAnsi"/>
        </w:rPr>
      </w:pPr>
      <w:r w:rsidRPr="009146F9">
        <w:rPr>
          <w:rFonts w:ascii="Gill Sans MT" w:hAnsi="Gill Sans MT" w:cstheme="minorHAnsi"/>
        </w:rPr>
        <w:t>Each of t</w:t>
      </w:r>
      <w:r w:rsidR="00C051F8" w:rsidRPr="009146F9">
        <w:rPr>
          <w:rFonts w:ascii="Gill Sans MT" w:hAnsi="Gill Sans MT" w:cstheme="minorHAnsi"/>
        </w:rPr>
        <w:t>he key strategy areas identifies</w:t>
      </w:r>
      <w:r w:rsidRPr="009146F9">
        <w:rPr>
          <w:rFonts w:ascii="Gill Sans MT" w:hAnsi="Gill Sans MT" w:cstheme="minorHAnsi"/>
        </w:rPr>
        <w:t xml:space="preserve"> a number of areas for action</w:t>
      </w:r>
      <w:r w:rsidR="00F11E27" w:rsidRPr="009146F9">
        <w:rPr>
          <w:rFonts w:ascii="Gill Sans MT" w:hAnsi="Gill Sans MT" w:cstheme="minorHAnsi"/>
        </w:rPr>
        <w:t xml:space="preserve"> (See Appendix 2)</w:t>
      </w:r>
      <w:r w:rsidRPr="009146F9">
        <w:rPr>
          <w:rFonts w:ascii="Gill Sans MT" w:hAnsi="Gill Sans MT" w:cstheme="minorHAnsi"/>
        </w:rPr>
        <w:t>, which formed the basis of the annual implementation plans</w:t>
      </w:r>
      <w:r w:rsidR="00F11E27" w:rsidRPr="009146F9">
        <w:rPr>
          <w:rFonts w:ascii="Gill Sans MT" w:hAnsi="Gill Sans MT" w:cstheme="minorHAnsi"/>
        </w:rPr>
        <w:t>.</w:t>
      </w:r>
      <w:r w:rsidR="002913DE" w:rsidRPr="009146F9">
        <w:rPr>
          <w:rFonts w:ascii="Gill Sans MT" w:hAnsi="Gill Sans MT" w:cstheme="minorHAnsi"/>
        </w:rPr>
        <w:t xml:space="preserve"> </w:t>
      </w:r>
    </w:p>
    <w:p w:rsidR="00156640" w:rsidRPr="009146F9" w:rsidRDefault="00156640" w:rsidP="00FC47DF">
      <w:pPr>
        <w:keepNext/>
        <w:spacing w:before="120" w:after="120" w:line="280" w:lineRule="atLeast"/>
        <w:rPr>
          <w:rFonts w:ascii="Gill Sans MT" w:hAnsi="Gill Sans MT" w:cstheme="minorHAnsi"/>
        </w:rPr>
      </w:pPr>
      <w:r w:rsidRPr="009146F9">
        <w:rPr>
          <w:rFonts w:ascii="Gill Sans MT" w:hAnsi="Gill Sans MT" w:cstheme="minorHAnsi"/>
        </w:rPr>
        <w:t>In addition, the TAAF is underpinned by the following principles:</w:t>
      </w:r>
    </w:p>
    <w:p w:rsidR="00156640" w:rsidRPr="009146F9" w:rsidRDefault="00156640" w:rsidP="00FC47DF">
      <w:pPr>
        <w:pStyle w:val="ListParagraph"/>
        <w:keepNext/>
        <w:numPr>
          <w:ilvl w:val="0"/>
          <w:numId w:val="5"/>
        </w:numPr>
        <w:spacing w:before="120" w:after="120" w:line="280" w:lineRule="atLeast"/>
        <w:rPr>
          <w:rFonts w:ascii="Gill Sans MT" w:hAnsi="Gill Sans MT" w:cstheme="minorHAnsi"/>
        </w:rPr>
      </w:pPr>
      <w:r w:rsidRPr="009146F9">
        <w:rPr>
          <w:rFonts w:ascii="Gill Sans MT" w:hAnsi="Gill Sans MT" w:cstheme="minorHAnsi"/>
        </w:rPr>
        <w:t>Commitment to an evidence-based approach to policy development and service delivery and development</w:t>
      </w:r>
    </w:p>
    <w:p w:rsidR="00156640" w:rsidRPr="009146F9" w:rsidRDefault="00156640" w:rsidP="00FC47DF">
      <w:pPr>
        <w:pStyle w:val="ListParagraph"/>
        <w:keepNext/>
        <w:numPr>
          <w:ilvl w:val="0"/>
          <w:numId w:val="5"/>
        </w:numPr>
        <w:spacing w:before="120" w:after="120" w:line="280" w:lineRule="atLeast"/>
        <w:rPr>
          <w:rFonts w:ascii="Gill Sans MT" w:hAnsi="Gill Sans MT" w:cstheme="minorHAnsi"/>
        </w:rPr>
      </w:pPr>
      <w:r w:rsidRPr="009146F9">
        <w:rPr>
          <w:rFonts w:ascii="Gill Sans MT" w:hAnsi="Gill Sans MT" w:cstheme="minorHAnsi"/>
        </w:rPr>
        <w:t>Commitment to a coordinated whole-of-community approach to alcohol</w:t>
      </w:r>
    </w:p>
    <w:p w:rsidR="00AD7B55" w:rsidRPr="009146F9" w:rsidRDefault="00AD7B55" w:rsidP="00FC47DF">
      <w:pPr>
        <w:keepNext/>
        <w:spacing w:before="120" w:after="120" w:line="280" w:lineRule="atLeast"/>
        <w:rPr>
          <w:rFonts w:ascii="Gill Sans MT" w:hAnsi="Gill Sans MT" w:cstheme="minorHAnsi"/>
        </w:rPr>
      </w:pPr>
      <w:r w:rsidRPr="009146F9">
        <w:rPr>
          <w:rFonts w:ascii="Gill Sans MT" w:hAnsi="Gill Sans MT" w:cstheme="minorHAnsi"/>
        </w:rPr>
        <w:t>And the priority areas for action over the past six years have been to address:</w:t>
      </w:r>
    </w:p>
    <w:p w:rsidR="00AD7B55" w:rsidRPr="009146F9" w:rsidRDefault="00AD7B55" w:rsidP="00FC47DF">
      <w:pPr>
        <w:pStyle w:val="ListParagraph"/>
        <w:keepNext/>
        <w:numPr>
          <w:ilvl w:val="0"/>
          <w:numId w:val="38"/>
        </w:numPr>
        <w:spacing w:before="120" w:after="120" w:line="280" w:lineRule="atLeast"/>
        <w:rPr>
          <w:rFonts w:ascii="Gill Sans MT" w:hAnsi="Gill Sans MT" w:cstheme="minorHAnsi"/>
        </w:rPr>
      </w:pPr>
      <w:r w:rsidRPr="009146F9">
        <w:rPr>
          <w:rFonts w:ascii="Gill Sans MT" w:hAnsi="Gill Sans MT" w:cstheme="minorHAnsi"/>
        </w:rPr>
        <w:t>The health and wellbeing of the population</w:t>
      </w:r>
    </w:p>
    <w:p w:rsidR="00AD7B55" w:rsidRPr="009146F9" w:rsidRDefault="00AD7B55" w:rsidP="00FC47DF">
      <w:pPr>
        <w:pStyle w:val="ListParagraph"/>
        <w:keepNext/>
        <w:numPr>
          <w:ilvl w:val="0"/>
          <w:numId w:val="38"/>
        </w:numPr>
        <w:spacing w:before="120" w:after="120" w:line="280" w:lineRule="atLeast"/>
        <w:rPr>
          <w:rFonts w:ascii="Gill Sans MT" w:hAnsi="Gill Sans MT" w:cstheme="minorHAnsi"/>
        </w:rPr>
      </w:pPr>
      <w:r w:rsidRPr="009146F9">
        <w:rPr>
          <w:rFonts w:ascii="Gill Sans MT" w:hAnsi="Gill Sans MT" w:cstheme="minorHAnsi"/>
        </w:rPr>
        <w:t>Community Safety and Amenity</w:t>
      </w:r>
    </w:p>
    <w:p w:rsidR="00AD7B55" w:rsidRPr="009146F9" w:rsidRDefault="00AD7B55" w:rsidP="00FC47DF">
      <w:pPr>
        <w:pStyle w:val="ListParagraph"/>
        <w:keepNext/>
        <w:numPr>
          <w:ilvl w:val="0"/>
          <w:numId w:val="38"/>
        </w:numPr>
        <w:spacing w:before="120" w:after="120" w:line="280" w:lineRule="atLeast"/>
        <w:rPr>
          <w:rFonts w:ascii="Gill Sans MT" w:hAnsi="Gill Sans MT" w:cstheme="minorHAnsi"/>
        </w:rPr>
      </w:pPr>
      <w:r w:rsidRPr="009146F9">
        <w:rPr>
          <w:rFonts w:ascii="Gill Sans MT" w:hAnsi="Gill Sans MT" w:cstheme="minorHAnsi"/>
        </w:rPr>
        <w:t>Intoxication</w:t>
      </w:r>
    </w:p>
    <w:p w:rsidR="00AD7B55" w:rsidRPr="009146F9" w:rsidRDefault="00AD7B55" w:rsidP="00FC47DF">
      <w:pPr>
        <w:pStyle w:val="ListParagraph"/>
        <w:keepNext/>
        <w:numPr>
          <w:ilvl w:val="0"/>
          <w:numId w:val="38"/>
        </w:numPr>
        <w:spacing w:before="120" w:after="120" w:line="280" w:lineRule="atLeast"/>
        <w:rPr>
          <w:rFonts w:ascii="Gill Sans MT" w:hAnsi="Gill Sans MT" w:cstheme="minorHAnsi"/>
        </w:rPr>
      </w:pPr>
      <w:r w:rsidRPr="009146F9">
        <w:rPr>
          <w:rFonts w:ascii="Gill Sans MT" w:hAnsi="Gill Sans MT" w:cstheme="minorHAnsi"/>
        </w:rPr>
        <w:t>High-risk groups and high-risk behaviours</w:t>
      </w:r>
    </w:p>
    <w:p w:rsidR="00C97202" w:rsidRPr="009146F9" w:rsidRDefault="00C97202" w:rsidP="009146F9">
      <w:pPr>
        <w:pStyle w:val="Heading2"/>
      </w:pPr>
      <w:bookmarkStart w:id="5" w:name="_Toc476322093"/>
      <w:r w:rsidRPr="009146F9">
        <w:t>Methods used</w:t>
      </w:r>
      <w:bookmarkEnd w:id="5"/>
    </w:p>
    <w:p w:rsidR="00D92D8E" w:rsidRPr="009146F9" w:rsidRDefault="00D92D8E" w:rsidP="00FC47DF">
      <w:pPr>
        <w:keepNext/>
        <w:spacing w:before="120" w:after="120" w:line="280" w:lineRule="atLeast"/>
        <w:rPr>
          <w:rFonts w:ascii="Gill Sans MT" w:hAnsi="Gill Sans MT" w:cstheme="minorHAnsi"/>
        </w:rPr>
      </w:pPr>
      <w:r w:rsidRPr="009146F9">
        <w:rPr>
          <w:rFonts w:ascii="Gill Sans MT" w:hAnsi="Gill Sans MT" w:cstheme="minorHAnsi"/>
        </w:rPr>
        <w:t>During the life of the TAAF, stakeholders were invited to iden</w:t>
      </w:r>
      <w:r w:rsidR="00FC47DF" w:rsidRPr="009146F9">
        <w:rPr>
          <w:rFonts w:ascii="Gill Sans MT" w:hAnsi="Gill Sans MT" w:cstheme="minorHAnsi"/>
        </w:rPr>
        <w:t xml:space="preserve">tify intended actions, </w:t>
      </w:r>
      <w:proofErr w:type="gramStart"/>
      <w:r w:rsidR="00FC47DF" w:rsidRPr="009146F9">
        <w:rPr>
          <w:rFonts w:ascii="Gill Sans MT" w:hAnsi="Gill Sans MT" w:cstheme="minorHAnsi"/>
        </w:rPr>
        <w:t>activity</w:t>
      </w:r>
      <w:r w:rsidRPr="009146F9">
        <w:rPr>
          <w:rFonts w:ascii="Gill Sans MT" w:hAnsi="Gill Sans MT" w:cstheme="minorHAnsi"/>
        </w:rPr>
        <w:t>(</w:t>
      </w:r>
      <w:proofErr w:type="spellStart"/>
      <w:proofErr w:type="gramEnd"/>
      <w:r w:rsidRPr="009146F9">
        <w:rPr>
          <w:rFonts w:ascii="Gill Sans MT" w:hAnsi="Gill Sans MT" w:cstheme="minorHAnsi"/>
        </w:rPr>
        <w:t>ies</w:t>
      </w:r>
      <w:proofErr w:type="spellEnd"/>
      <w:r w:rsidRPr="009146F9">
        <w:rPr>
          <w:rFonts w:ascii="Gill Sans MT" w:hAnsi="Gill Sans MT" w:cstheme="minorHAnsi"/>
        </w:rPr>
        <w:t>), timeframes, key performance indicators, partners and whether a planned activity was new or a continuation.  Those were aligned specifically to the identified areas for action under the three key strategy areas</w:t>
      </w:r>
      <w:r w:rsidR="001335F9" w:rsidRPr="009146F9">
        <w:rPr>
          <w:rFonts w:ascii="Gill Sans MT" w:hAnsi="Gill Sans MT" w:cstheme="minorHAnsi"/>
        </w:rPr>
        <w:t xml:space="preserve"> </w:t>
      </w:r>
      <w:r w:rsidR="00C43024" w:rsidRPr="009146F9">
        <w:rPr>
          <w:rFonts w:ascii="Gill Sans MT" w:hAnsi="Gill Sans MT" w:cstheme="minorHAnsi"/>
        </w:rPr>
        <w:t xml:space="preserve">(Appendix 2) </w:t>
      </w:r>
      <w:r w:rsidR="001335F9" w:rsidRPr="009146F9">
        <w:rPr>
          <w:rFonts w:ascii="Gill Sans MT" w:hAnsi="Gill Sans MT" w:cstheme="minorHAnsi"/>
        </w:rPr>
        <w:t>and com</w:t>
      </w:r>
      <w:r w:rsidR="00C43024" w:rsidRPr="009146F9">
        <w:rPr>
          <w:rFonts w:ascii="Gill Sans MT" w:hAnsi="Gill Sans MT" w:cstheme="minorHAnsi"/>
        </w:rPr>
        <w:t>prised</w:t>
      </w:r>
      <w:r w:rsidR="001335F9" w:rsidRPr="009146F9">
        <w:rPr>
          <w:rFonts w:ascii="Gill Sans MT" w:hAnsi="Gill Sans MT" w:cstheme="minorHAnsi"/>
        </w:rPr>
        <w:t xml:space="preserve"> the annual implementation plans</w:t>
      </w:r>
      <w:r w:rsidRPr="009146F9">
        <w:rPr>
          <w:rFonts w:ascii="Gill Sans MT" w:hAnsi="Gill Sans MT" w:cstheme="minorHAnsi"/>
        </w:rPr>
        <w:t>.</w:t>
      </w:r>
    </w:p>
    <w:p w:rsidR="00D92D8E" w:rsidRPr="009146F9" w:rsidRDefault="001335F9" w:rsidP="00FC47DF">
      <w:pPr>
        <w:keepNext/>
        <w:widowControl w:val="0"/>
        <w:spacing w:before="120" w:after="120" w:line="280" w:lineRule="atLeast"/>
        <w:rPr>
          <w:rFonts w:ascii="Gill Sans MT" w:hAnsi="Gill Sans MT"/>
        </w:rPr>
      </w:pPr>
      <w:r w:rsidRPr="009146F9">
        <w:rPr>
          <w:rFonts w:ascii="Gill Sans MT" w:hAnsi="Gill Sans MT"/>
        </w:rPr>
        <w:t>Those</w:t>
      </w:r>
      <w:r w:rsidR="00D92D8E" w:rsidRPr="009146F9">
        <w:rPr>
          <w:rFonts w:ascii="Gill Sans MT" w:hAnsi="Gill Sans MT"/>
        </w:rPr>
        <w:t xml:space="preserve"> plans and </w:t>
      </w:r>
      <w:r w:rsidR="00F171F5" w:rsidRPr="009146F9">
        <w:rPr>
          <w:rFonts w:ascii="Gill Sans MT" w:hAnsi="Gill Sans MT"/>
        </w:rPr>
        <w:t xml:space="preserve">corresponding </w:t>
      </w:r>
      <w:r w:rsidR="00137C73" w:rsidRPr="009146F9">
        <w:rPr>
          <w:rFonts w:ascii="Gill Sans MT" w:hAnsi="Gill Sans MT"/>
        </w:rPr>
        <w:t xml:space="preserve">annual </w:t>
      </w:r>
      <w:r w:rsidR="00D92D8E" w:rsidRPr="009146F9">
        <w:rPr>
          <w:rFonts w:ascii="Gill Sans MT" w:hAnsi="Gill Sans MT"/>
        </w:rPr>
        <w:t xml:space="preserve">reports have captured activities and initiatives across Government agencies, local government and a range of community organisations.  </w:t>
      </w:r>
    </w:p>
    <w:p w:rsidR="008800EE" w:rsidRPr="009146F9" w:rsidRDefault="008800EE" w:rsidP="00FC47DF">
      <w:pPr>
        <w:keepNext/>
        <w:autoSpaceDE w:val="0"/>
        <w:autoSpaceDN w:val="0"/>
        <w:adjustRightInd w:val="0"/>
        <w:spacing w:before="120" w:after="120" w:line="280" w:lineRule="atLeast"/>
        <w:rPr>
          <w:rFonts w:ascii="Gill Sans MT" w:hAnsi="Gill Sans MT" w:cs="Times New Roman"/>
        </w:rPr>
      </w:pPr>
      <w:r w:rsidRPr="009146F9">
        <w:rPr>
          <w:rFonts w:ascii="Gill Sans MT" w:hAnsi="Gill Sans MT" w:cs="Times New Roman"/>
        </w:rPr>
        <w:t>The method</w:t>
      </w:r>
      <w:r w:rsidR="00557CF8" w:rsidRPr="009146F9">
        <w:rPr>
          <w:rFonts w:ascii="Gill Sans MT" w:hAnsi="Gill Sans MT" w:cs="Times New Roman"/>
        </w:rPr>
        <w:t>s</w:t>
      </w:r>
      <w:r w:rsidRPr="009146F9">
        <w:rPr>
          <w:rFonts w:ascii="Gill Sans MT" w:hAnsi="Gill Sans MT" w:cs="Times New Roman"/>
        </w:rPr>
        <w:t xml:space="preserve"> for </w:t>
      </w:r>
      <w:r w:rsidR="00F20C9A" w:rsidRPr="009146F9">
        <w:rPr>
          <w:rFonts w:ascii="Gill Sans MT" w:hAnsi="Gill Sans MT" w:cs="Times New Roman"/>
        </w:rPr>
        <w:t xml:space="preserve">this desktop review of the </w:t>
      </w:r>
      <w:r w:rsidRPr="009146F9">
        <w:rPr>
          <w:rFonts w:ascii="Gill Sans MT" w:hAnsi="Gill Sans MT" w:cs="Times New Roman"/>
        </w:rPr>
        <w:t>TAAF involved:</w:t>
      </w:r>
    </w:p>
    <w:p w:rsidR="008800EE" w:rsidRPr="009146F9" w:rsidRDefault="008800EE" w:rsidP="00FC47DF">
      <w:pPr>
        <w:pStyle w:val="ListParagraph"/>
        <w:keepNext/>
        <w:numPr>
          <w:ilvl w:val="0"/>
          <w:numId w:val="48"/>
        </w:numPr>
        <w:autoSpaceDE w:val="0"/>
        <w:autoSpaceDN w:val="0"/>
        <w:adjustRightInd w:val="0"/>
        <w:spacing w:before="120" w:after="120" w:line="280" w:lineRule="atLeast"/>
        <w:rPr>
          <w:rFonts w:ascii="Gill Sans MT" w:hAnsi="Gill Sans MT" w:cs="Times New Roman"/>
        </w:rPr>
      </w:pPr>
      <w:r w:rsidRPr="009146F9">
        <w:rPr>
          <w:rFonts w:ascii="Gill Sans MT" w:hAnsi="Gill Sans MT" w:cs="Times New Roman"/>
        </w:rPr>
        <w:t>Identifying and mapping the range of actions and activities over the life of the TAAF as reported annually by key stakeholders</w:t>
      </w:r>
    </w:p>
    <w:p w:rsidR="008800EE" w:rsidRPr="009146F9" w:rsidRDefault="008800EE" w:rsidP="00FC47DF">
      <w:pPr>
        <w:pStyle w:val="ListParagraph"/>
        <w:keepNext/>
        <w:numPr>
          <w:ilvl w:val="0"/>
          <w:numId w:val="48"/>
        </w:numPr>
        <w:autoSpaceDE w:val="0"/>
        <w:autoSpaceDN w:val="0"/>
        <w:adjustRightInd w:val="0"/>
        <w:spacing w:before="120" w:after="120" w:line="280" w:lineRule="atLeast"/>
        <w:rPr>
          <w:rFonts w:ascii="Gill Sans MT" w:hAnsi="Gill Sans MT" w:cs="Times New Roman"/>
        </w:rPr>
      </w:pPr>
      <w:r w:rsidRPr="009146F9">
        <w:rPr>
          <w:rFonts w:ascii="Gill Sans MT" w:hAnsi="Gill Sans MT" w:cs="Times New Roman"/>
        </w:rPr>
        <w:t>Identifying measures and indicators for each of the aims of the TAAF</w:t>
      </w:r>
    </w:p>
    <w:p w:rsidR="008800EE" w:rsidRPr="009146F9" w:rsidRDefault="008800EE" w:rsidP="00FC47DF">
      <w:pPr>
        <w:pStyle w:val="ListParagraph"/>
        <w:keepNext/>
        <w:numPr>
          <w:ilvl w:val="0"/>
          <w:numId w:val="48"/>
        </w:numPr>
        <w:autoSpaceDE w:val="0"/>
        <w:autoSpaceDN w:val="0"/>
        <w:adjustRightInd w:val="0"/>
        <w:spacing w:before="120" w:after="120" w:line="280" w:lineRule="atLeast"/>
        <w:rPr>
          <w:rFonts w:ascii="Gill Sans MT" w:hAnsi="Gill Sans MT" w:cs="Times New Roman"/>
        </w:rPr>
      </w:pPr>
      <w:r w:rsidRPr="009146F9">
        <w:rPr>
          <w:rFonts w:ascii="Gill Sans MT" w:hAnsi="Gill Sans MT" w:cs="Times New Roman"/>
        </w:rPr>
        <w:t xml:space="preserve">Identifying and analysing possible data sources </w:t>
      </w:r>
    </w:p>
    <w:p w:rsidR="008800EE" w:rsidRPr="009146F9" w:rsidRDefault="008800EE" w:rsidP="00FC47DF">
      <w:pPr>
        <w:pStyle w:val="ListParagraph"/>
        <w:keepNext/>
        <w:numPr>
          <w:ilvl w:val="0"/>
          <w:numId w:val="48"/>
        </w:numPr>
        <w:autoSpaceDE w:val="0"/>
        <w:autoSpaceDN w:val="0"/>
        <w:adjustRightInd w:val="0"/>
        <w:spacing w:before="120" w:after="120" w:line="280" w:lineRule="atLeast"/>
        <w:rPr>
          <w:rFonts w:ascii="Gill Sans MT" w:hAnsi="Gill Sans MT" w:cs="Times New Roman"/>
        </w:rPr>
      </w:pPr>
      <w:r w:rsidRPr="009146F9">
        <w:rPr>
          <w:rFonts w:ascii="Gill Sans MT" w:hAnsi="Gill Sans MT" w:cs="Times New Roman"/>
        </w:rPr>
        <w:t>Aligning data to the identified measures and indicators</w:t>
      </w:r>
    </w:p>
    <w:p w:rsidR="008800EE" w:rsidRPr="009146F9" w:rsidRDefault="008800EE" w:rsidP="00FC47DF">
      <w:pPr>
        <w:pStyle w:val="ListParagraph"/>
        <w:keepNext/>
        <w:numPr>
          <w:ilvl w:val="0"/>
          <w:numId w:val="48"/>
        </w:numPr>
        <w:autoSpaceDE w:val="0"/>
        <w:autoSpaceDN w:val="0"/>
        <w:adjustRightInd w:val="0"/>
        <w:spacing w:before="120" w:after="120" w:line="280" w:lineRule="atLeast"/>
        <w:rPr>
          <w:rFonts w:ascii="Gill Sans MT" w:hAnsi="Gill Sans MT" w:cs="Times New Roman"/>
        </w:rPr>
      </w:pPr>
      <w:r w:rsidRPr="009146F9">
        <w:rPr>
          <w:rFonts w:ascii="Gill Sans MT" w:hAnsi="Gill Sans MT" w:cs="Times New Roman"/>
        </w:rPr>
        <w:t xml:space="preserve">Analysing the usefulness of measures and indicators and existing data </w:t>
      </w:r>
      <w:r w:rsidR="004918F5" w:rsidRPr="009146F9">
        <w:rPr>
          <w:rFonts w:ascii="Gill Sans MT" w:hAnsi="Gill Sans MT" w:cs="Times New Roman"/>
        </w:rPr>
        <w:t>to inform a new alcohol framework for Tasmania</w:t>
      </w:r>
    </w:p>
    <w:p w:rsidR="00564647" w:rsidRPr="009146F9" w:rsidRDefault="00564647" w:rsidP="00FC47DF">
      <w:pPr>
        <w:keepNext/>
        <w:spacing w:before="120" w:after="120" w:line="280" w:lineRule="atLeast"/>
        <w:rPr>
          <w:rFonts w:ascii="Gill Sans MT" w:hAnsi="Gill Sans MT"/>
        </w:rPr>
      </w:pPr>
      <w:r w:rsidRPr="009146F9">
        <w:rPr>
          <w:rFonts w:ascii="Gill Sans MT" w:hAnsi="Gill Sans MT"/>
        </w:rPr>
        <w:t>The AAG led by the Mental Health, Alcohol and Drug Directorate (Directorate) of DHHS as the provider of secretariat functions for both the AAG and IAWGD revisited the annual implementation plans and reports provided by stakeholders over the term of the TAAF to consider the range of activities that have been implemented.  It also requested and sought data and trends data from member agencies/organisations which includes from within DHHS and the Departments of Police, Fire and Emergency Management (DPFEM), Education (DoE), Treasury and Finance, Liquor and Gaming Branch (L&amp;GB), State Growth (SG), Tasmanian Health Service Alcohol and Drug Services (ADS), Premier and Cabinet (DPaC), the University of Tasmania</w:t>
      </w:r>
      <w:r w:rsidR="00533565" w:rsidRPr="009146F9">
        <w:rPr>
          <w:rFonts w:ascii="Gill Sans MT" w:hAnsi="Gill Sans MT"/>
        </w:rPr>
        <w:t xml:space="preserve"> (UTas)</w:t>
      </w:r>
      <w:r w:rsidRPr="009146F9">
        <w:rPr>
          <w:rFonts w:ascii="Gill Sans MT" w:hAnsi="Gill Sans MT"/>
        </w:rPr>
        <w:t>, the Local Government Association of Tasmania (LGAT), and the Alcohol, Tobacco and Other Drugs Council Tasmania (ATDC).</w:t>
      </w:r>
    </w:p>
    <w:p w:rsidR="00882663" w:rsidRPr="009146F9" w:rsidRDefault="00882663" w:rsidP="009146F9">
      <w:pPr>
        <w:pStyle w:val="Heading2"/>
      </w:pPr>
      <w:bookmarkStart w:id="6" w:name="_Toc476322094"/>
      <w:r w:rsidRPr="009146F9">
        <w:t>Findings</w:t>
      </w:r>
      <w:bookmarkEnd w:id="6"/>
    </w:p>
    <w:p w:rsidR="00960F28" w:rsidRPr="009146F9" w:rsidRDefault="00960F28" w:rsidP="00FC47DF">
      <w:pPr>
        <w:keepNext/>
        <w:spacing w:before="120" w:after="120" w:line="280" w:lineRule="atLeast"/>
        <w:rPr>
          <w:rFonts w:ascii="Gill Sans MT" w:hAnsi="Gill Sans MT" w:cs="Calibri"/>
        </w:rPr>
      </w:pPr>
      <w:r w:rsidRPr="009146F9">
        <w:rPr>
          <w:rFonts w:ascii="Gill Sans MT" w:hAnsi="Gill Sans MT" w:cs="Calibri"/>
        </w:rPr>
        <w:t>The TAAF was developed as a response to alcohol-related harm in the Tasmanian community, and as the broad structure to guide government agencies, local council, community sector organisations and industry to develop and implement activities and actions to address problems associated with excessive alcohol consumption in Tasmania. So has it done that?</w:t>
      </w:r>
    </w:p>
    <w:p w:rsidR="00960F28" w:rsidRPr="009146F9" w:rsidRDefault="00C051F8" w:rsidP="00FC47DF">
      <w:pPr>
        <w:keepNext/>
        <w:spacing w:before="120" w:after="120" w:line="280" w:lineRule="atLeast"/>
        <w:rPr>
          <w:rFonts w:ascii="Gill Sans MT" w:hAnsi="Gill Sans MT"/>
        </w:rPr>
      </w:pPr>
      <w:r w:rsidRPr="009146F9">
        <w:rPr>
          <w:rFonts w:ascii="Gill Sans MT" w:hAnsi="Gill Sans MT"/>
        </w:rPr>
        <w:t xml:space="preserve">Section 2 of this Report summarises the activities that have been undertaken over </w:t>
      </w:r>
      <w:r w:rsidR="00960F28" w:rsidRPr="009146F9">
        <w:rPr>
          <w:rFonts w:ascii="Gill Sans MT" w:hAnsi="Gill Sans MT"/>
        </w:rPr>
        <w:t>the life of the TAAF under the three</w:t>
      </w:r>
      <w:r w:rsidRPr="009146F9">
        <w:rPr>
          <w:rFonts w:ascii="Gill Sans MT" w:hAnsi="Gill Sans MT"/>
        </w:rPr>
        <w:t xml:space="preserve"> key strategies. </w:t>
      </w:r>
      <w:r w:rsidR="00960F28" w:rsidRPr="009146F9">
        <w:rPr>
          <w:rFonts w:ascii="Gill Sans MT" w:hAnsi="Gill Sans MT"/>
        </w:rPr>
        <w:t xml:space="preserve">It does not reflect all the activities that have been reported each year, but what it and the annual implementation plans and reports, available from the Tasmanian Drug Strategy alcohol page at </w:t>
      </w:r>
      <w:hyperlink r:id="rId31" w:history="1">
        <w:r w:rsidR="00960F28" w:rsidRPr="009146F9">
          <w:rPr>
            <w:rStyle w:val="Hyperlink"/>
            <w:rFonts w:ascii="Gill Sans MT" w:hAnsi="Gill Sans MT"/>
          </w:rPr>
          <w:t>http://www.drugstrategy.dhhs.tas.gov.au/</w:t>
        </w:r>
      </w:hyperlink>
      <w:r w:rsidR="00960F28" w:rsidRPr="009146F9">
        <w:rPr>
          <w:rStyle w:val="Hyperlink"/>
          <w:rFonts w:ascii="Gill Sans MT" w:hAnsi="Gill Sans MT"/>
        </w:rPr>
        <w:t xml:space="preserve"> </w:t>
      </w:r>
      <w:r w:rsidR="00960F28" w:rsidRPr="009146F9">
        <w:rPr>
          <w:rFonts w:ascii="Gill Sans MT" w:hAnsi="Gill Sans MT"/>
        </w:rPr>
        <w:t xml:space="preserve">do show is that many agencies, community organisations and local councils have actively engaged in the process over the life of the TAAF, and have either instigated or continued to implement a range of activities to address alcohol-related harm within their community. </w:t>
      </w:r>
    </w:p>
    <w:p w:rsidR="00C051F8" w:rsidRPr="009146F9" w:rsidRDefault="00C051F8" w:rsidP="00FC47DF">
      <w:pPr>
        <w:keepNext/>
        <w:spacing w:before="120" w:after="120" w:line="280" w:lineRule="atLeast"/>
        <w:rPr>
          <w:rFonts w:ascii="Gill Sans MT" w:hAnsi="Gill Sans MT"/>
        </w:rPr>
      </w:pPr>
      <w:r w:rsidRPr="009146F9">
        <w:rPr>
          <w:rFonts w:ascii="Gill Sans MT" w:hAnsi="Gill Sans MT"/>
        </w:rPr>
        <w:t>Section 3 discusses data and trends</w:t>
      </w:r>
      <w:r w:rsidR="00EA77EA" w:rsidRPr="009146F9">
        <w:rPr>
          <w:rFonts w:ascii="Gill Sans MT" w:hAnsi="Gill Sans MT"/>
        </w:rPr>
        <w:t>, and includes a table (Table 3.7) of measures, indicators and data trends against each of the aims of the TAAF</w:t>
      </w:r>
      <w:r w:rsidRPr="009146F9">
        <w:rPr>
          <w:rFonts w:ascii="Gill Sans MT" w:hAnsi="Gill Sans MT"/>
        </w:rPr>
        <w:t xml:space="preserve">.  </w:t>
      </w:r>
      <w:r w:rsidR="00F20C9A" w:rsidRPr="009146F9">
        <w:rPr>
          <w:rFonts w:ascii="Gill Sans MT" w:hAnsi="Gill Sans MT"/>
        </w:rPr>
        <w:t xml:space="preserve">It concludes that </w:t>
      </w:r>
      <w:r w:rsidR="00516A8F" w:rsidRPr="009146F9">
        <w:rPr>
          <w:rFonts w:ascii="Gill Sans MT" w:hAnsi="Gill Sans MT"/>
        </w:rPr>
        <w:t xml:space="preserve">the TAAF lacks clear identification of measures and indicators. </w:t>
      </w:r>
      <w:r w:rsidRPr="009146F9">
        <w:rPr>
          <w:rFonts w:ascii="Gill Sans MT" w:hAnsi="Gill Sans MT"/>
        </w:rPr>
        <w:t xml:space="preserve">It </w:t>
      </w:r>
      <w:r w:rsidR="00F20C9A" w:rsidRPr="009146F9">
        <w:rPr>
          <w:rFonts w:ascii="Gill Sans MT" w:hAnsi="Gill Sans MT"/>
        </w:rPr>
        <w:t xml:space="preserve">also </w:t>
      </w:r>
      <w:r w:rsidRPr="009146F9">
        <w:rPr>
          <w:rFonts w:ascii="Gill Sans MT" w:hAnsi="Gill Sans MT"/>
        </w:rPr>
        <w:t xml:space="preserve">concludes that there remain significant limitations to </w:t>
      </w:r>
      <w:r w:rsidR="00FC54D4" w:rsidRPr="009146F9">
        <w:rPr>
          <w:rFonts w:ascii="Gill Sans MT" w:hAnsi="Gill Sans MT"/>
        </w:rPr>
        <w:t xml:space="preserve">access to specific and timely </w:t>
      </w:r>
      <w:r w:rsidRPr="009146F9">
        <w:rPr>
          <w:rFonts w:ascii="Gill Sans MT" w:hAnsi="Gill Sans MT"/>
        </w:rPr>
        <w:t xml:space="preserve">data that can reliably demonstrate </w:t>
      </w:r>
      <w:r w:rsidR="00EA77EA" w:rsidRPr="009146F9">
        <w:rPr>
          <w:rFonts w:ascii="Gill Sans MT" w:hAnsi="Gill Sans MT"/>
        </w:rPr>
        <w:t xml:space="preserve">whether the </w:t>
      </w:r>
      <w:r w:rsidR="003E33CB" w:rsidRPr="009146F9">
        <w:rPr>
          <w:rFonts w:ascii="Gill Sans MT" w:hAnsi="Gill Sans MT"/>
        </w:rPr>
        <w:t>activities undertaken have</w:t>
      </w:r>
      <w:r w:rsidR="00EA77EA" w:rsidRPr="009146F9">
        <w:rPr>
          <w:rFonts w:ascii="Gill Sans MT" w:hAnsi="Gill Sans MT"/>
        </w:rPr>
        <w:t xml:space="preserve"> </w:t>
      </w:r>
      <w:r w:rsidR="00516A8F" w:rsidRPr="009146F9">
        <w:rPr>
          <w:rFonts w:ascii="Gill Sans MT" w:hAnsi="Gill Sans MT"/>
        </w:rPr>
        <w:t>specifically addressed the goal and aims of the TAAF.</w:t>
      </w:r>
    </w:p>
    <w:p w:rsidR="00EA77EA" w:rsidRPr="009146F9" w:rsidRDefault="00F94AD7" w:rsidP="00FC47DF">
      <w:pPr>
        <w:keepNext/>
        <w:spacing w:before="120" w:after="120" w:line="280" w:lineRule="atLeast"/>
        <w:rPr>
          <w:rFonts w:ascii="Gill Sans MT" w:hAnsi="Gill Sans MT"/>
          <w:lang w:eastAsia="ja-JP"/>
        </w:rPr>
      </w:pPr>
      <w:r w:rsidRPr="009146F9">
        <w:rPr>
          <w:rFonts w:ascii="Gill Sans MT" w:hAnsi="Gill Sans MT"/>
          <w:lang w:eastAsia="ja-JP"/>
        </w:rPr>
        <w:t>Available</w:t>
      </w:r>
      <w:r w:rsidR="00EA77EA" w:rsidRPr="009146F9">
        <w:rPr>
          <w:rFonts w:ascii="Gill Sans MT" w:hAnsi="Gill Sans MT"/>
          <w:lang w:eastAsia="ja-JP"/>
        </w:rPr>
        <w:t xml:space="preserve"> data </w:t>
      </w:r>
      <w:r w:rsidR="00FC54D4" w:rsidRPr="009146F9">
        <w:rPr>
          <w:rFonts w:ascii="Gill Sans MT" w:hAnsi="Gill Sans MT"/>
          <w:lang w:eastAsia="ja-JP"/>
        </w:rPr>
        <w:t>indicates</w:t>
      </w:r>
      <w:r w:rsidR="00EA77EA" w:rsidRPr="009146F9">
        <w:rPr>
          <w:rFonts w:ascii="Gill Sans MT" w:hAnsi="Gill Sans MT"/>
          <w:lang w:eastAsia="ja-JP"/>
        </w:rPr>
        <w:t>:</w:t>
      </w:r>
    </w:p>
    <w:p w:rsidR="00C15DA9" w:rsidRPr="009146F9" w:rsidRDefault="00C15DA9"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S</w:t>
      </w:r>
      <w:r w:rsidR="00EA77EA" w:rsidRPr="009146F9">
        <w:rPr>
          <w:rFonts w:ascii="Gill Sans MT" w:hAnsi="Gill Sans MT"/>
          <w:lang w:eastAsia="ja-JP"/>
        </w:rPr>
        <w:t xml:space="preserve">ome reductions in lifetime and single occasion risks from alcohol consumption </w:t>
      </w:r>
    </w:p>
    <w:p w:rsidR="00C15DA9" w:rsidRPr="009146F9" w:rsidRDefault="00C15DA9"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No significant difference in underage drinking in recent years</w:t>
      </w:r>
    </w:p>
    <w:p w:rsidR="00C15DA9" w:rsidRPr="009146F9" w:rsidRDefault="00C15DA9" w:rsidP="00FC47DF">
      <w:pPr>
        <w:pStyle w:val="ListParagraph"/>
        <w:keepNext/>
        <w:numPr>
          <w:ilvl w:val="0"/>
          <w:numId w:val="43"/>
        </w:numPr>
        <w:spacing w:before="120" w:after="120" w:line="280" w:lineRule="atLeast"/>
        <w:ind w:left="714" w:hanging="357"/>
        <w:rPr>
          <w:rFonts w:ascii="Gill Sans MT" w:hAnsi="Gill Sans MT"/>
        </w:rPr>
      </w:pPr>
      <w:r w:rsidRPr="009146F9">
        <w:rPr>
          <w:rFonts w:ascii="Gill Sans MT" w:hAnsi="Gill Sans MT"/>
          <w:lang w:eastAsia="ja-JP"/>
        </w:rPr>
        <w:t>The number of women drinking alcohol in pregnancy has decreased in recent years</w:t>
      </w:r>
    </w:p>
    <w:p w:rsidR="00C15DA9" w:rsidRPr="009146F9" w:rsidRDefault="00C15DA9"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Increases in alcohol-related hospitalisations for both men and women</w:t>
      </w:r>
    </w:p>
    <w:p w:rsidR="00C15DA9" w:rsidRPr="009146F9" w:rsidRDefault="00C15DA9"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No statistically significant changes in alcohol-related Emergency Department presentations</w:t>
      </w:r>
    </w:p>
    <w:p w:rsidR="00C15DA9" w:rsidRPr="009146F9" w:rsidRDefault="00C15DA9"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 xml:space="preserve">Decreases in proportion of </w:t>
      </w:r>
      <w:r w:rsidR="00FC54D4" w:rsidRPr="009146F9">
        <w:rPr>
          <w:rFonts w:ascii="Gill Sans MT" w:hAnsi="Gill Sans MT"/>
          <w:lang w:eastAsia="ja-JP"/>
        </w:rPr>
        <w:t xml:space="preserve">fatalities and </w:t>
      </w:r>
      <w:r w:rsidRPr="009146F9">
        <w:rPr>
          <w:rFonts w:ascii="Gill Sans MT" w:hAnsi="Gill Sans MT"/>
          <w:lang w:eastAsia="ja-JP"/>
        </w:rPr>
        <w:t>serious casualty road crashes involving alcohol</w:t>
      </w:r>
    </w:p>
    <w:p w:rsidR="00C15DA9" w:rsidRPr="009146F9" w:rsidRDefault="00C15DA9"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Decrease in proportion of family violence offenders affected by alcohol</w:t>
      </w:r>
    </w:p>
    <w:p w:rsidR="00C15DA9" w:rsidRPr="009146F9" w:rsidRDefault="00F94AD7"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 xml:space="preserve">Increase in the </w:t>
      </w:r>
      <w:r w:rsidR="00C15DA9" w:rsidRPr="009146F9">
        <w:rPr>
          <w:rFonts w:ascii="Gill Sans MT" w:hAnsi="Gill Sans MT"/>
          <w:lang w:eastAsia="ja-JP"/>
        </w:rPr>
        <w:t>number of liquor licenses</w:t>
      </w:r>
    </w:p>
    <w:p w:rsidR="00882663" w:rsidRPr="009146F9" w:rsidRDefault="00C97202" w:rsidP="009146F9">
      <w:pPr>
        <w:pStyle w:val="Heading2"/>
      </w:pPr>
      <w:bookmarkStart w:id="7" w:name="_Toc476322095"/>
      <w:r w:rsidRPr="009146F9">
        <w:t>Conclusions</w:t>
      </w:r>
      <w:r w:rsidR="004459E6" w:rsidRPr="009146F9">
        <w:t xml:space="preserve"> and way forward</w:t>
      </w:r>
      <w:bookmarkEnd w:id="7"/>
    </w:p>
    <w:p w:rsidR="00137C73" w:rsidRPr="009146F9" w:rsidRDefault="00725267" w:rsidP="00FC47DF">
      <w:pPr>
        <w:keepNext/>
        <w:spacing w:before="120" w:after="120" w:line="280" w:lineRule="atLeast"/>
        <w:jc w:val="both"/>
        <w:rPr>
          <w:rFonts w:ascii="Gill Sans MT" w:hAnsi="Gill Sans MT" w:cs="Arial"/>
        </w:rPr>
      </w:pPr>
      <w:r w:rsidRPr="009146F9">
        <w:rPr>
          <w:rFonts w:ascii="Gill Sans MT" w:hAnsi="Gill Sans MT" w:cs="Arial"/>
        </w:rPr>
        <w:t xml:space="preserve">Section 2 of this report lists </w:t>
      </w:r>
      <w:r w:rsidR="00137C73" w:rsidRPr="009146F9">
        <w:rPr>
          <w:rFonts w:ascii="Gill Sans MT" w:hAnsi="Gill Sans MT" w:cs="Arial"/>
        </w:rPr>
        <w:t>a range of initiatives and activities undertaken over the life of the TAAF</w:t>
      </w:r>
      <w:r w:rsidR="00F171F5" w:rsidRPr="009146F9">
        <w:rPr>
          <w:rFonts w:ascii="Gill Sans MT" w:hAnsi="Gill Sans MT" w:cs="Arial"/>
        </w:rPr>
        <w:t>, and</w:t>
      </w:r>
      <w:r w:rsidR="00384C15" w:rsidRPr="009146F9">
        <w:rPr>
          <w:rFonts w:ascii="Gill Sans MT" w:hAnsi="Gill Sans MT" w:cs="Arial"/>
        </w:rPr>
        <w:t xml:space="preserve"> demonstrate</w:t>
      </w:r>
      <w:r w:rsidR="00F171F5" w:rsidRPr="009146F9">
        <w:rPr>
          <w:rFonts w:ascii="Gill Sans MT" w:hAnsi="Gill Sans MT" w:cs="Arial"/>
        </w:rPr>
        <w:t>s</w:t>
      </w:r>
      <w:r w:rsidR="00384C15" w:rsidRPr="009146F9">
        <w:rPr>
          <w:rFonts w:ascii="Gill Sans MT" w:hAnsi="Gill Sans MT" w:cs="Arial"/>
        </w:rPr>
        <w:t xml:space="preserve"> significant engagement of stakeholders and a wide variety of activities undertaken in Tasmania to address alcohol-related harm</w:t>
      </w:r>
      <w:r w:rsidRPr="009146F9">
        <w:rPr>
          <w:rFonts w:ascii="Gill Sans MT" w:hAnsi="Gill Sans MT" w:cs="Arial"/>
        </w:rPr>
        <w:t xml:space="preserve">.  </w:t>
      </w:r>
      <w:r w:rsidR="00137C73" w:rsidRPr="009146F9">
        <w:rPr>
          <w:rFonts w:ascii="Gill Sans MT" w:hAnsi="Gill Sans MT" w:cs="Arial"/>
        </w:rPr>
        <w:t xml:space="preserve"> </w:t>
      </w:r>
      <w:r w:rsidR="00384C15" w:rsidRPr="009146F9">
        <w:rPr>
          <w:rFonts w:ascii="Gill Sans MT" w:hAnsi="Gill Sans MT" w:cs="Arial"/>
        </w:rPr>
        <w:t>However, as</w:t>
      </w:r>
      <w:r w:rsidRPr="009146F9">
        <w:rPr>
          <w:rFonts w:ascii="Gill Sans MT" w:hAnsi="Gill Sans MT" w:cs="Arial"/>
        </w:rPr>
        <w:t xml:space="preserve"> discussed in Section 3, it is difficult to evaluate or conclusively say that any of the activities have had a direct effect on the goal and aims of the TAAF.</w:t>
      </w:r>
    </w:p>
    <w:p w:rsidR="00533565" w:rsidRPr="009146F9" w:rsidRDefault="00533565" w:rsidP="00FC47DF">
      <w:pPr>
        <w:keepNext/>
        <w:spacing w:before="120" w:after="120" w:line="280" w:lineRule="atLeast"/>
        <w:rPr>
          <w:rFonts w:ascii="Gill Sans MT" w:hAnsi="Gill Sans MT"/>
        </w:rPr>
      </w:pPr>
      <w:r w:rsidRPr="009146F9">
        <w:rPr>
          <w:rFonts w:ascii="Gill Sans MT" w:hAnsi="Gill Sans MT"/>
        </w:rPr>
        <w:t>Without pre and post evaluation processes or baseline data it is impossible to evaluate the effect, or correlate available data to each aim or any one specific activity.  Any movement in the data may not be directly related to a specific action or policy response, and any movement may also reflect actions that have occurred in other policy arenas or changes to operations within specific agencies or program areas. Furthermore some of the policy outcomes may not be evident in the short and medium term.</w:t>
      </w:r>
    </w:p>
    <w:p w:rsidR="00725267" w:rsidRPr="009146F9" w:rsidRDefault="00725267" w:rsidP="00FC47DF">
      <w:pPr>
        <w:keepNext/>
        <w:spacing w:before="120" w:after="120" w:line="280" w:lineRule="atLeast"/>
        <w:jc w:val="both"/>
        <w:rPr>
          <w:rFonts w:ascii="Gill Sans MT" w:hAnsi="Gill Sans MT"/>
        </w:rPr>
      </w:pPr>
      <w:r w:rsidRPr="009146F9">
        <w:rPr>
          <w:rFonts w:ascii="Gill Sans MT" w:hAnsi="Gill Sans MT" w:cs="Arial"/>
        </w:rPr>
        <w:t>Whilst Section 3 and Table 3.7</w:t>
      </w:r>
      <w:r w:rsidR="00F171F5" w:rsidRPr="009146F9">
        <w:rPr>
          <w:rFonts w:ascii="Gill Sans MT" w:hAnsi="Gill Sans MT" w:cs="Arial"/>
        </w:rPr>
        <w:t xml:space="preserve"> of this Report</w:t>
      </w:r>
      <w:r w:rsidRPr="009146F9">
        <w:rPr>
          <w:rFonts w:ascii="Gill Sans MT" w:hAnsi="Gill Sans MT" w:cs="Arial"/>
        </w:rPr>
        <w:t xml:space="preserve"> discuss</w:t>
      </w:r>
      <w:r w:rsidR="00F171F5" w:rsidRPr="009146F9">
        <w:rPr>
          <w:rFonts w:ascii="Gill Sans MT" w:hAnsi="Gill Sans MT" w:cs="Arial"/>
        </w:rPr>
        <w:t>es</w:t>
      </w:r>
      <w:r w:rsidRPr="009146F9">
        <w:rPr>
          <w:rFonts w:ascii="Gill Sans MT" w:hAnsi="Gill Sans MT" w:cs="Arial"/>
        </w:rPr>
        <w:t xml:space="preserve"> and </w:t>
      </w:r>
      <w:r w:rsidR="00E12334" w:rsidRPr="009146F9">
        <w:rPr>
          <w:rFonts w:ascii="Gill Sans MT" w:hAnsi="Gill Sans MT" w:cs="Arial"/>
        </w:rPr>
        <w:t>identifies</w:t>
      </w:r>
      <w:r w:rsidRPr="009146F9">
        <w:rPr>
          <w:rFonts w:ascii="Gill Sans MT" w:hAnsi="Gill Sans MT" w:cs="Arial"/>
        </w:rPr>
        <w:t xml:space="preserve"> some data and trends, clear identification of the types of measures and indicators needed for a new alcohol framework are required going forward.  </w:t>
      </w:r>
    </w:p>
    <w:p w:rsidR="00533565" w:rsidRPr="009146F9" w:rsidRDefault="00384C15" w:rsidP="00FC47DF">
      <w:pPr>
        <w:keepNext/>
        <w:spacing w:before="120" w:after="120" w:line="280" w:lineRule="atLeast"/>
        <w:rPr>
          <w:rFonts w:ascii="Gill Sans MT" w:hAnsi="Gill Sans MT"/>
        </w:rPr>
      </w:pPr>
      <w:r w:rsidRPr="009146F9">
        <w:rPr>
          <w:rFonts w:ascii="Gill Sans MT" w:hAnsi="Gill Sans MT"/>
        </w:rPr>
        <w:t>The process to collect, collate and report annually on implementation of the TAAF has been the responsibility of the AAG led by the Directorate of DHHS as the provider of secretariat functions for both the AAG and IAWGD.  Significant interaction and liaison with engaged stakeholders has been undertaken annually to support the annual implementation plans and annual reports, and whilst a dedicated position to support the work of the IAWGD was created in 2008, that position has not existed since December 2014 which has left a resource gap.</w:t>
      </w:r>
      <w:r w:rsidR="00533565" w:rsidRPr="009146F9">
        <w:rPr>
          <w:rFonts w:ascii="Gill Sans MT" w:hAnsi="Gill Sans MT"/>
        </w:rPr>
        <w:t xml:space="preserve"> </w:t>
      </w:r>
    </w:p>
    <w:p w:rsidR="00384C15" w:rsidRPr="009146F9" w:rsidRDefault="00F20C9A" w:rsidP="00FC47DF">
      <w:pPr>
        <w:keepNext/>
        <w:spacing w:before="120" w:after="120" w:line="280" w:lineRule="atLeast"/>
        <w:rPr>
          <w:rFonts w:ascii="Gill Sans MT" w:hAnsi="Gill Sans MT"/>
        </w:rPr>
      </w:pPr>
      <w:r w:rsidRPr="009146F9">
        <w:rPr>
          <w:rFonts w:ascii="Gill Sans MT" w:hAnsi="Gill Sans MT"/>
        </w:rPr>
        <w:t>C</w:t>
      </w:r>
      <w:r w:rsidR="00533565" w:rsidRPr="009146F9">
        <w:rPr>
          <w:rFonts w:ascii="Gill Sans MT" w:hAnsi="Gill Sans MT"/>
        </w:rPr>
        <w:t xml:space="preserve">ollecting, collating and analysing data and trends is undertaken on an ad hoc basis as </w:t>
      </w:r>
      <w:r w:rsidR="009C2B19" w:rsidRPr="009146F9">
        <w:rPr>
          <w:rFonts w:ascii="Gill Sans MT" w:hAnsi="Gill Sans MT"/>
        </w:rPr>
        <w:t xml:space="preserve">and </w:t>
      </w:r>
      <w:r w:rsidR="00533565" w:rsidRPr="009146F9">
        <w:rPr>
          <w:rFonts w:ascii="Gill Sans MT" w:hAnsi="Gill Sans MT"/>
        </w:rPr>
        <w:t>when deemed necessary or useful, which also makes ongoing moni</w:t>
      </w:r>
      <w:r w:rsidRPr="009146F9">
        <w:rPr>
          <w:rFonts w:ascii="Gill Sans MT" w:hAnsi="Gill Sans MT"/>
        </w:rPr>
        <w:t>toring and evaluation difficult</w:t>
      </w:r>
      <w:r w:rsidR="00516A8F" w:rsidRPr="009146F9">
        <w:rPr>
          <w:rFonts w:ascii="Gill Sans MT" w:hAnsi="Gill Sans MT"/>
        </w:rPr>
        <w:t>.  No</w:t>
      </w:r>
      <w:r w:rsidRPr="009146F9">
        <w:rPr>
          <w:rFonts w:ascii="Gill Sans MT" w:hAnsi="Gill Sans MT"/>
        </w:rPr>
        <w:t xml:space="preserve">r is </w:t>
      </w:r>
      <w:r w:rsidR="00516A8F" w:rsidRPr="009146F9">
        <w:rPr>
          <w:rFonts w:ascii="Gill Sans MT" w:hAnsi="Gill Sans MT"/>
        </w:rPr>
        <w:t xml:space="preserve">any one agency or organisation responsible for </w:t>
      </w:r>
      <w:r w:rsidR="00B66290" w:rsidRPr="009146F9">
        <w:rPr>
          <w:rFonts w:ascii="Gill Sans MT" w:hAnsi="Gill Sans MT"/>
        </w:rPr>
        <w:t xml:space="preserve">that process, noting </w:t>
      </w:r>
      <w:r w:rsidR="00557CF8" w:rsidRPr="009146F9">
        <w:rPr>
          <w:rFonts w:ascii="Gill Sans MT" w:hAnsi="Gill Sans MT"/>
        </w:rPr>
        <w:t xml:space="preserve">however </w:t>
      </w:r>
      <w:r w:rsidR="00B66290" w:rsidRPr="009146F9">
        <w:rPr>
          <w:rFonts w:ascii="Gill Sans MT" w:hAnsi="Gill Sans MT"/>
        </w:rPr>
        <w:t>that PHS of DHHS does collate available data into an alcohol data and trends report when resources allow.</w:t>
      </w:r>
    </w:p>
    <w:p w:rsidR="004459E6" w:rsidRPr="009146F9" w:rsidRDefault="004459E6" w:rsidP="00FC47DF">
      <w:pPr>
        <w:keepNext/>
        <w:spacing w:before="120" w:after="120" w:line="280" w:lineRule="atLeast"/>
        <w:rPr>
          <w:rFonts w:ascii="Gill Sans MT" w:hAnsi="Gill Sans MT"/>
        </w:rPr>
      </w:pPr>
      <w:r w:rsidRPr="009146F9">
        <w:rPr>
          <w:rFonts w:ascii="Gill Sans MT" w:hAnsi="Gill Sans MT"/>
        </w:rPr>
        <w:t xml:space="preserve">Following completion of TAPPC simulation modelling of alcohol use in Tasmania project, information from that and this </w:t>
      </w:r>
      <w:r w:rsidR="00B66290" w:rsidRPr="009146F9">
        <w:rPr>
          <w:rFonts w:ascii="Gill Sans MT" w:hAnsi="Gill Sans MT"/>
        </w:rPr>
        <w:t>report</w:t>
      </w:r>
      <w:r w:rsidRPr="009146F9">
        <w:rPr>
          <w:rFonts w:ascii="Gill Sans MT" w:hAnsi="Gill Sans MT"/>
        </w:rPr>
        <w:t xml:space="preserve"> will be provided to key stakeholders with a TAAF review questionnaire.  That consultation process will help to determine the levels of support for a variety of approaches, as well as for the current aims, key strategy areas and specific activities.  Feedback from those processes will all inform the drafting of a new alcohol framework for Tasmania which will need to include careful consideration of what it should realistically aim to achieve, what success would l</w:t>
      </w:r>
      <w:r w:rsidR="00B66290" w:rsidRPr="009146F9">
        <w:rPr>
          <w:rFonts w:ascii="Gill Sans MT" w:hAnsi="Gill Sans MT"/>
        </w:rPr>
        <w:t>ook l</w:t>
      </w:r>
      <w:r w:rsidRPr="009146F9">
        <w:rPr>
          <w:rFonts w:ascii="Gill Sans MT" w:hAnsi="Gill Sans MT"/>
        </w:rPr>
        <w:t>ike i.e. the measure(s), and how it would be monitored and evaluated, i.e. the indicators and data.</w:t>
      </w:r>
    </w:p>
    <w:p w:rsidR="00CC5D0A" w:rsidRPr="009146F9" w:rsidRDefault="00CC5D0A" w:rsidP="00FC47DF">
      <w:pPr>
        <w:keepNext/>
        <w:spacing w:before="120" w:after="120" w:line="280" w:lineRule="atLeast"/>
        <w:jc w:val="both"/>
        <w:rPr>
          <w:rFonts w:ascii="Gill Sans MT" w:hAnsi="Gill Sans MT" w:cs="Arial"/>
        </w:rPr>
      </w:pPr>
    </w:p>
    <w:p w:rsidR="00D42940" w:rsidRPr="009146F9" w:rsidRDefault="00D42940" w:rsidP="009146F9">
      <w:pPr>
        <w:pStyle w:val="Heading1"/>
        <w:numPr>
          <w:ilvl w:val="0"/>
          <w:numId w:val="53"/>
        </w:numPr>
      </w:pPr>
      <w:bookmarkStart w:id="8" w:name="_Toc476322096"/>
      <w:r w:rsidRPr="009146F9">
        <w:t>Activities under the 3 key strateg</w:t>
      </w:r>
      <w:r w:rsidR="00E30628" w:rsidRPr="009146F9">
        <w:t>ies</w:t>
      </w:r>
      <w:bookmarkEnd w:id="8"/>
    </w:p>
    <w:p w:rsidR="0047599A" w:rsidRPr="009146F9" w:rsidRDefault="00D42940" w:rsidP="00FC47DF">
      <w:pPr>
        <w:keepNext/>
        <w:spacing w:before="120" w:after="120" w:line="280" w:lineRule="atLeast"/>
        <w:rPr>
          <w:rFonts w:ascii="Gill Sans MT" w:hAnsi="Gill Sans MT" w:cstheme="minorHAnsi"/>
        </w:rPr>
      </w:pPr>
      <w:r w:rsidRPr="009146F9">
        <w:rPr>
          <w:rFonts w:ascii="Gill Sans MT" w:hAnsi="Gill Sans MT" w:cstheme="minorHAnsi"/>
        </w:rPr>
        <w:t xml:space="preserve">The key </w:t>
      </w:r>
      <w:r w:rsidR="00E30628" w:rsidRPr="009146F9">
        <w:rPr>
          <w:rFonts w:ascii="Gill Sans MT" w:hAnsi="Gill Sans MT" w:cstheme="minorHAnsi"/>
        </w:rPr>
        <w:t>strategies</w:t>
      </w:r>
      <w:r w:rsidRPr="009146F9">
        <w:rPr>
          <w:rFonts w:ascii="Gill Sans MT" w:hAnsi="Gill Sans MT" w:cstheme="minorHAnsi"/>
        </w:rPr>
        <w:t xml:space="preserve"> </w:t>
      </w:r>
      <w:r w:rsidR="00C43024" w:rsidRPr="009146F9">
        <w:rPr>
          <w:rFonts w:ascii="Gill Sans MT" w:hAnsi="Gill Sans MT" w:cstheme="minorHAnsi"/>
        </w:rPr>
        <w:t xml:space="preserve">and associated areas for action </w:t>
      </w:r>
      <w:r w:rsidRPr="009146F9">
        <w:rPr>
          <w:rFonts w:ascii="Gill Sans MT" w:hAnsi="Gill Sans MT" w:cstheme="minorHAnsi"/>
        </w:rPr>
        <w:t>were used as the framework and basis upon which the AAG sought input from stakeholders</w:t>
      </w:r>
      <w:r w:rsidR="00C43024" w:rsidRPr="009146F9">
        <w:rPr>
          <w:rFonts w:ascii="Gill Sans MT" w:hAnsi="Gill Sans MT" w:cstheme="minorHAnsi"/>
        </w:rPr>
        <w:t xml:space="preserve"> to inform the </w:t>
      </w:r>
      <w:r w:rsidRPr="009146F9">
        <w:rPr>
          <w:rFonts w:ascii="Gill Sans MT" w:hAnsi="Gill Sans MT" w:cstheme="minorHAnsi"/>
        </w:rPr>
        <w:t>annual implementa</w:t>
      </w:r>
      <w:r w:rsidR="00E30628" w:rsidRPr="009146F9">
        <w:rPr>
          <w:rFonts w:ascii="Gill Sans MT" w:hAnsi="Gill Sans MT" w:cstheme="minorHAnsi"/>
        </w:rPr>
        <w:t>tion plans and annual reports.</w:t>
      </w:r>
      <w:r w:rsidRPr="009146F9">
        <w:rPr>
          <w:rFonts w:ascii="Gill Sans MT" w:hAnsi="Gill Sans MT" w:cstheme="minorHAnsi"/>
        </w:rPr>
        <w:t xml:space="preserve">  </w:t>
      </w:r>
    </w:p>
    <w:p w:rsidR="00D42940" w:rsidRPr="009146F9" w:rsidRDefault="00E30628" w:rsidP="00FC47DF">
      <w:pPr>
        <w:keepNext/>
        <w:spacing w:before="120" w:after="120" w:line="280" w:lineRule="atLeast"/>
        <w:rPr>
          <w:rFonts w:ascii="Gill Sans MT" w:hAnsi="Gill Sans MT" w:cstheme="minorHAnsi"/>
        </w:rPr>
      </w:pPr>
      <w:r w:rsidRPr="009146F9">
        <w:rPr>
          <w:rFonts w:ascii="Gill Sans MT" w:hAnsi="Gill Sans MT" w:cstheme="minorHAnsi"/>
        </w:rPr>
        <w:t>Many of the activities address more than one key strategy or identified area for action</w:t>
      </w:r>
      <w:r w:rsidR="00E01EE4" w:rsidRPr="009146F9">
        <w:rPr>
          <w:rFonts w:ascii="Gill Sans MT" w:hAnsi="Gill Sans MT" w:cstheme="minorHAnsi"/>
        </w:rPr>
        <w:t>, and a ‘best fit’ approach has been used</w:t>
      </w:r>
      <w:r w:rsidRPr="009146F9">
        <w:rPr>
          <w:rFonts w:ascii="Gill Sans MT" w:hAnsi="Gill Sans MT" w:cstheme="minorHAnsi"/>
        </w:rPr>
        <w:t>.</w:t>
      </w:r>
    </w:p>
    <w:p w:rsidR="00C07138" w:rsidRPr="009146F9" w:rsidRDefault="00C07138" w:rsidP="009146F9">
      <w:pPr>
        <w:pStyle w:val="Heading2"/>
      </w:pPr>
      <w:bookmarkStart w:id="9" w:name="_Toc476322097"/>
      <w:r w:rsidRPr="009146F9">
        <w:t>Key Strategy 1 - Changing the drinking culture in Tasmania</w:t>
      </w:r>
      <w:bookmarkEnd w:id="9"/>
    </w:p>
    <w:p w:rsidR="00A0490F" w:rsidRPr="009146F9" w:rsidRDefault="00A0490F" w:rsidP="00FC47DF">
      <w:pPr>
        <w:keepNext/>
        <w:widowControl w:val="0"/>
        <w:spacing w:before="120" w:after="120" w:line="280" w:lineRule="atLeast"/>
        <w:rPr>
          <w:rFonts w:ascii="Gill Sans MT" w:hAnsi="Gill Sans MT" w:cs="Gill Sans MT"/>
          <w:lang w:eastAsia="en-AU"/>
        </w:rPr>
      </w:pPr>
      <w:r w:rsidRPr="009146F9">
        <w:rPr>
          <w:rFonts w:ascii="Gill Sans MT" w:hAnsi="Gill Sans MT" w:cs="Gill Sans MT"/>
          <w:lang w:eastAsia="en-AU"/>
        </w:rPr>
        <w:t xml:space="preserve">The identified areas for actions </w:t>
      </w:r>
      <w:r w:rsidR="00A77510" w:rsidRPr="009146F9">
        <w:rPr>
          <w:rFonts w:ascii="Gill Sans MT" w:hAnsi="Gill Sans MT" w:cs="Gill Sans MT"/>
          <w:lang w:eastAsia="en-AU"/>
        </w:rPr>
        <w:t>are:</w:t>
      </w:r>
    </w:p>
    <w:p w:rsidR="00A0490F" w:rsidRPr="009146F9" w:rsidRDefault="00A0490F" w:rsidP="00FC47DF">
      <w:pPr>
        <w:keepNext/>
        <w:numPr>
          <w:ilvl w:val="1"/>
          <w:numId w:val="12"/>
        </w:numPr>
        <w:spacing w:before="120" w:after="120" w:line="280" w:lineRule="atLeast"/>
        <w:ind w:left="567" w:hanging="283"/>
        <w:rPr>
          <w:rFonts w:ascii="Gill Sans MT" w:hAnsi="Gill Sans MT" w:cs="Arial"/>
        </w:rPr>
      </w:pPr>
      <w:r w:rsidRPr="009146F9">
        <w:rPr>
          <w:rFonts w:ascii="Gill Sans MT" w:hAnsi="Gill Sans MT" w:cs="Arial"/>
        </w:rPr>
        <w:t>developing social marketing and community-based campaigns to promote responsible alcohol consumption, effective harm-reduction strategies (such as legislative amendments, promoting the new NHMRC Alcohol Guidelines, the drink driving and driver education campaigns); and the responsibilities of the community, individuals and licensees (including targeted community education strategies for groups at greater risk of harm)</w:t>
      </w:r>
    </w:p>
    <w:p w:rsidR="00A0490F" w:rsidRPr="009146F9" w:rsidRDefault="00A0490F" w:rsidP="00FC47DF">
      <w:pPr>
        <w:keepNext/>
        <w:numPr>
          <w:ilvl w:val="1"/>
          <w:numId w:val="12"/>
        </w:numPr>
        <w:spacing w:before="120" w:after="120" w:line="280" w:lineRule="atLeast"/>
        <w:ind w:left="567" w:hanging="283"/>
        <w:rPr>
          <w:rFonts w:ascii="Gill Sans MT" w:hAnsi="Gill Sans MT" w:cs="Arial"/>
        </w:rPr>
      </w:pPr>
      <w:r w:rsidRPr="009146F9">
        <w:rPr>
          <w:rFonts w:ascii="Gill Sans MT" w:hAnsi="Gill Sans MT" w:cs="Arial"/>
        </w:rPr>
        <w:t>adopting more stringent regulation of advertising and promotion of alcohol, covering such things as tastings, in-store promotions, aggressive marketing and discounting and more broadly lobbying for mandatory regulation of alcohol advertising at the national level</w:t>
      </w:r>
    </w:p>
    <w:p w:rsidR="00A0490F" w:rsidRPr="009146F9" w:rsidRDefault="00A0490F" w:rsidP="00FC47DF">
      <w:pPr>
        <w:keepNext/>
        <w:numPr>
          <w:ilvl w:val="1"/>
          <w:numId w:val="12"/>
        </w:numPr>
        <w:spacing w:before="120" w:after="120" w:line="280" w:lineRule="atLeast"/>
        <w:ind w:left="567" w:hanging="283"/>
        <w:rPr>
          <w:rFonts w:ascii="Gill Sans MT" w:hAnsi="Gill Sans MT" w:cs="Arial"/>
        </w:rPr>
      </w:pPr>
      <w:r w:rsidRPr="009146F9">
        <w:rPr>
          <w:rFonts w:ascii="Gill Sans MT" w:hAnsi="Gill Sans MT" w:cs="Arial"/>
        </w:rPr>
        <w:t>promoting and supporting strategies in local communities by encouraging alcohol-free events and increasing the capacity of communities to undertake alcohol-related harm minimisation initiatives e.g. promoting alcohol-free events, particularly events targeting children or primarily/substantially attended by children</w:t>
      </w:r>
    </w:p>
    <w:p w:rsidR="00A0490F" w:rsidRPr="009146F9" w:rsidRDefault="00A0490F" w:rsidP="00FC47DF">
      <w:pPr>
        <w:keepNext/>
        <w:numPr>
          <w:ilvl w:val="1"/>
          <w:numId w:val="12"/>
        </w:numPr>
        <w:spacing w:before="120" w:after="120" w:line="280" w:lineRule="atLeast"/>
        <w:ind w:left="567" w:hanging="283"/>
        <w:rPr>
          <w:rFonts w:ascii="Gill Sans MT" w:hAnsi="Gill Sans MT" w:cs="Arial"/>
        </w:rPr>
      </w:pPr>
      <w:r w:rsidRPr="009146F9">
        <w:rPr>
          <w:rFonts w:ascii="Gill Sans MT" w:hAnsi="Gill Sans MT" w:cs="Arial"/>
        </w:rPr>
        <w:t>supporting structural and policy changes within sporting and recreational clubs to reduce the focus on alcohol as a central part of club culture</w:t>
      </w:r>
    </w:p>
    <w:p w:rsidR="00A0490F" w:rsidRPr="009146F9" w:rsidRDefault="00A0490F" w:rsidP="00FC47DF">
      <w:pPr>
        <w:keepNext/>
        <w:numPr>
          <w:ilvl w:val="1"/>
          <w:numId w:val="12"/>
        </w:numPr>
        <w:spacing w:before="120" w:after="120" w:line="280" w:lineRule="atLeast"/>
        <w:ind w:left="567" w:hanging="283"/>
        <w:rPr>
          <w:rFonts w:ascii="Gill Sans MT" w:hAnsi="Gill Sans MT" w:cs="Arial"/>
        </w:rPr>
      </w:pPr>
      <w:r w:rsidRPr="009146F9">
        <w:rPr>
          <w:rFonts w:ascii="Gill Sans MT" w:hAnsi="Gill Sans MT" w:cs="Arial"/>
        </w:rPr>
        <w:t xml:space="preserve">enhancing processes and systems to inform the public of the liquor licensing process and to provide input into liquor licensing and planning decisions </w:t>
      </w:r>
    </w:p>
    <w:p w:rsidR="00A0490F" w:rsidRPr="009146F9" w:rsidRDefault="00A0490F" w:rsidP="00FC47DF">
      <w:pPr>
        <w:keepNext/>
        <w:numPr>
          <w:ilvl w:val="1"/>
          <w:numId w:val="12"/>
        </w:numPr>
        <w:spacing w:before="120" w:after="120" w:line="280" w:lineRule="atLeast"/>
        <w:ind w:left="567" w:hanging="283"/>
        <w:rPr>
          <w:rFonts w:ascii="Gill Sans MT" w:hAnsi="Gill Sans MT" w:cs="Arial"/>
        </w:rPr>
      </w:pPr>
      <w:r w:rsidRPr="009146F9">
        <w:rPr>
          <w:rFonts w:ascii="Gill Sans MT" w:hAnsi="Gill Sans MT" w:cs="Arial"/>
        </w:rPr>
        <w:t>developing programs to promote positive values and norms amongst Tasmanian youth and support the development of strategies and interventions targeting youth and underage drinking, such as the Social Norms Analysis Project (SNAP), which aims to provide an accurate picture of alcohol-related attitudes and behaviours of high school students</w:t>
      </w:r>
    </w:p>
    <w:p w:rsidR="00A0490F" w:rsidRPr="009146F9" w:rsidRDefault="00A0490F" w:rsidP="00FC47DF">
      <w:pPr>
        <w:keepNext/>
        <w:numPr>
          <w:ilvl w:val="1"/>
          <w:numId w:val="12"/>
        </w:numPr>
        <w:spacing w:before="120" w:after="120" w:line="280" w:lineRule="atLeast"/>
        <w:ind w:left="567" w:hanging="283"/>
        <w:rPr>
          <w:rFonts w:ascii="Gill Sans MT" w:hAnsi="Gill Sans MT" w:cs="Arial"/>
        </w:rPr>
      </w:pPr>
      <w:r w:rsidRPr="009146F9">
        <w:rPr>
          <w:rFonts w:ascii="Gill Sans MT" w:hAnsi="Gill Sans MT" w:cs="Arial"/>
        </w:rPr>
        <w:t xml:space="preserve">enhancing existing and establishing new partnership programs aimed at supporting early childhood interventions and building resilience </w:t>
      </w:r>
    </w:p>
    <w:p w:rsidR="00A0490F" w:rsidRPr="009146F9" w:rsidRDefault="00A0490F" w:rsidP="00FC47DF">
      <w:pPr>
        <w:pStyle w:val="ListParagraph"/>
        <w:keepNext/>
        <w:widowControl w:val="0"/>
        <w:numPr>
          <w:ilvl w:val="0"/>
          <w:numId w:val="13"/>
        </w:numPr>
        <w:spacing w:before="120" w:after="120" w:line="280" w:lineRule="atLeast"/>
        <w:ind w:left="567" w:hanging="283"/>
        <w:rPr>
          <w:rFonts w:ascii="Gill Sans MT" w:hAnsi="Gill Sans MT" w:cs="Gill Sans MT"/>
          <w:lang w:eastAsia="en-AU"/>
        </w:rPr>
      </w:pPr>
      <w:r w:rsidRPr="009146F9">
        <w:rPr>
          <w:rFonts w:ascii="Gill Sans MT" w:hAnsi="Gill Sans MT" w:cs="Arial"/>
        </w:rPr>
        <w:t>developing strategies and programs for enhancement of evidence-based school alcohol education within a schools-based alcohol policy context</w:t>
      </w:r>
    </w:p>
    <w:p w:rsidR="00C07138" w:rsidRPr="009146F9" w:rsidRDefault="00C07138" w:rsidP="00FC47DF">
      <w:pPr>
        <w:keepNext/>
        <w:widowControl w:val="0"/>
        <w:spacing w:before="120" w:after="120" w:line="280" w:lineRule="atLeast"/>
        <w:rPr>
          <w:rFonts w:ascii="Gill Sans MT" w:hAnsi="Gill Sans MT" w:cs="Gill Sans MT"/>
          <w:lang w:eastAsia="en-AU"/>
        </w:rPr>
      </w:pPr>
      <w:r w:rsidRPr="009146F9">
        <w:rPr>
          <w:rFonts w:ascii="Gill Sans MT" w:hAnsi="Gill Sans MT" w:cs="Gill Sans MT"/>
          <w:lang w:eastAsia="en-AU"/>
        </w:rPr>
        <w:t>The following activities have been undertaken to support changing the drinking culture in Tasmania:</w:t>
      </w:r>
    </w:p>
    <w:p w:rsidR="00C07138" w:rsidRPr="009146F9" w:rsidRDefault="00B776B7" w:rsidP="00FC47DF">
      <w:pPr>
        <w:pStyle w:val="ListParagraph"/>
        <w:keepNext/>
        <w:widowControl w:val="0"/>
        <w:numPr>
          <w:ilvl w:val="0"/>
          <w:numId w:val="1"/>
        </w:numPr>
        <w:spacing w:before="120" w:after="120" w:line="280" w:lineRule="atLeast"/>
        <w:contextualSpacing w:val="0"/>
        <w:rPr>
          <w:rFonts w:ascii="Gill Sans MT" w:hAnsi="Gill Sans MT" w:cs="Arial"/>
        </w:rPr>
      </w:pPr>
      <w:r w:rsidRPr="009146F9">
        <w:rPr>
          <w:rFonts w:ascii="Gill Sans MT" w:hAnsi="Gill Sans MT" w:cs="Arial"/>
        </w:rPr>
        <w:t xml:space="preserve">The Sale or Supply of Alcohol to Youth, </w:t>
      </w:r>
      <w:r w:rsidRPr="009146F9">
        <w:rPr>
          <w:rFonts w:ascii="Gill Sans MT" w:hAnsi="Gill Sans MT" w:cs="Arial"/>
          <w:i/>
        </w:rPr>
        <w:t>Police Offences Act 1935</w:t>
      </w:r>
      <w:r w:rsidRPr="009146F9">
        <w:rPr>
          <w:rFonts w:ascii="Gill Sans MT" w:hAnsi="Gill Sans MT" w:cs="Arial"/>
        </w:rPr>
        <w:t xml:space="preserve"> was introduced in 2009. The legislation regulates the supply of alcohol to persons </w:t>
      </w:r>
      <w:proofErr w:type="gramStart"/>
      <w:r w:rsidRPr="009146F9">
        <w:rPr>
          <w:rFonts w:ascii="Gill Sans MT" w:hAnsi="Gill Sans MT" w:cs="Arial"/>
        </w:rPr>
        <w:t>under</w:t>
      </w:r>
      <w:proofErr w:type="gramEnd"/>
      <w:r w:rsidRPr="009146F9">
        <w:rPr>
          <w:rFonts w:ascii="Gill Sans MT" w:hAnsi="Gill Sans MT" w:cs="Arial"/>
        </w:rPr>
        <w:t xml:space="preserve"> 18 years of age on private property. The </w:t>
      </w:r>
      <w:r w:rsidR="008803EF" w:rsidRPr="009146F9">
        <w:rPr>
          <w:rFonts w:ascii="Gill Sans MT" w:hAnsi="Gill Sans MT" w:cs="Arial"/>
        </w:rPr>
        <w:t>legislative amendment was</w:t>
      </w:r>
      <w:r w:rsidRPr="009146F9">
        <w:rPr>
          <w:rFonts w:ascii="Gill Sans MT" w:hAnsi="Gill Sans MT" w:cs="Arial"/>
        </w:rPr>
        <w:t xml:space="preserve"> supported by </w:t>
      </w:r>
      <w:r w:rsidR="008803EF" w:rsidRPr="009146F9">
        <w:rPr>
          <w:rFonts w:ascii="Gill Sans MT" w:hAnsi="Gill Sans MT" w:cs="Arial"/>
        </w:rPr>
        <w:t xml:space="preserve">the </w:t>
      </w:r>
      <w:r w:rsidRPr="009146F9">
        <w:rPr>
          <w:rFonts w:ascii="Gill Sans MT" w:hAnsi="Gill Sans MT" w:cs="Arial"/>
        </w:rPr>
        <w:t>diss</w:t>
      </w:r>
      <w:r w:rsidR="00C45BC7" w:rsidRPr="009146F9">
        <w:rPr>
          <w:rFonts w:ascii="Gill Sans MT" w:hAnsi="Gill Sans MT" w:cs="Arial"/>
        </w:rPr>
        <w:t xml:space="preserve">emination of posters and pamphlets to Tasmanian schools, liquor outlets, </w:t>
      </w:r>
      <w:r w:rsidR="00C45BC7" w:rsidRPr="009146F9">
        <w:rPr>
          <w:rFonts w:ascii="Gill Sans MT" w:hAnsi="Gill Sans MT" w:cs="Arial"/>
          <w:i/>
        </w:rPr>
        <w:t>Service Tasmania</w:t>
      </w:r>
      <w:r w:rsidR="00C45BC7" w:rsidRPr="009146F9">
        <w:rPr>
          <w:rFonts w:ascii="Gill Sans MT" w:hAnsi="Gill Sans MT" w:cs="Arial"/>
        </w:rPr>
        <w:t xml:space="preserve"> and police stations. Social media and the Tasmania Police website were also used to communicate the new laws, and in 2014 this was </w:t>
      </w:r>
      <w:r w:rsidR="00C7263E" w:rsidRPr="009146F9">
        <w:rPr>
          <w:rFonts w:ascii="Gill Sans MT" w:hAnsi="Gill Sans MT" w:cs="Arial"/>
        </w:rPr>
        <w:t xml:space="preserve">further supported by the development </w:t>
      </w:r>
      <w:r w:rsidR="008803EF" w:rsidRPr="009146F9">
        <w:rPr>
          <w:rFonts w:ascii="Gill Sans MT" w:hAnsi="Gill Sans MT" w:cs="Arial"/>
        </w:rPr>
        <w:t>and distribution of the</w:t>
      </w:r>
      <w:r w:rsidR="00C45BC7" w:rsidRPr="009146F9">
        <w:rPr>
          <w:rFonts w:ascii="Gill Sans MT" w:hAnsi="Gill Sans MT" w:cs="Arial"/>
        </w:rPr>
        <w:t xml:space="preserve"> Sale</w:t>
      </w:r>
      <w:r w:rsidR="00C7263E" w:rsidRPr="009146F9">
        <w:rPr>
          <w:rFonts w:ascii="Gill Sans MT" w:hAnsi="Gill Sans MT" w:cs="Arial"/>
        </w:rPr>
        <w:t xml:space="preserve"> and Supply of Alcohol to Youth </w:t>
      </w:r>
      <w:r w:rsidR="00C45BC7" w:rsidRPr="009146F9">
        <w:rPr>
          <w:rFonts w:ascii="Gill Sans MT" w:hAnsi="Gill Sans MT" w:cs="Arial"/>
        </w:rPr>
        <w:t>video (</w:t>
      </w:r>
      <w:hyperlink r:id="rId32" w:history="1">
        <w:r w:rsidR="0047599A" w:rsidRPr="009146F9">
          <w:rPr>
            <w:rStyle w:val="Hyperlink"/>
            <w:rFonts w:ascii="Gill Sans MT" w:hAnsi="Gill Sans MT" w:cs="Arial"/>
          </w:rPr>
          <w:t>https://youtu.be/HL_wRTvJxcQ</w:t>
        </w:r>
      </w:hyperlink>
      <w:r w:rsidR="00C45BC7" w:rsidRPr="009146F9">
        <w:rPr>
          <w:rFonts w:ascii="Gill Sans MT" w:hAnsi="Gill Sans MT" w:cs="Arial"/>
        </w:rPr>
        <w:t>)</w:t>
      </w:r>
      <w:r w:rsidR="0047599A" w:rsidRPr="009146F9">
        <w:rPr>
          <w:rFonts w:ascii="Gill Sans MT" w:hAnsi="Gill Sans MT" w:cs="Arial"/>
        </w:rPr>
        <w:t xml:space="preserve"> </w:t>
      </w:r>
    </w:p>
    <w:p w:rsidR="00C07138" w:rsidRPr="009146F9" w:rsidRDefault="00C7263E" w:rsidP="00FC47DF">
      <w:pPr>
        <w:pStyle w:val="ListParagraph"/>
        <w:keepNext/>
        <w:widowControl w:val="0"/>
        <w:numPr>
          <w:ilvl w:val="0"/>
          <w:numId w:val="1"/>
        </w:numPr>
        <w:spacing w:before="120" w:after="120" w:line="280" w:lineRule="atLeast"/>
        <w:ind w:left="714" w:hanging="357"/>
        <w:contextualSpacing w:val="0"/>
        <w:rPr>
          <w:rFonts w:ascii="Gill Sans MT" w:hAnsi="Gill Sans MT" w:cs="Arial"/>
        </w:rPr>
      </w:pPr>
      <w:r w:rsidRPr="009146F9">
        <w:rPr>
          <w:rFonts w:ascii="Gill Sans MT" w:hAnsi="Gill Sans MT" w:cs="Arial"/>
        </w:rPr>
        <w:t xml:space="preserve">The </w:t>
      </w:r>
      <w:r w:rsidRPr="009146F9">
        <w:rPr>
          <w:rFonts w:ascii="Gill Sans MT" w:hAnsi="Gill Sans MT" w:cs="Arial"/>
          <w:i/>
        </w:rPr>
        <w:t>Guidelines for Managing Drug-Related Incidents in Tasmanian Schools 2015-2019</w:t>
      </w:r>
      <w:r w:rsidRPr="009146F9">
        <w:rPr>
          <w:rFonts w:ascii="Gill Sans MT" w:hAnsi="Gill Sans MT" w:cs="Arial"/>
        </w:rPr>
        <w:t xml:space="preserve"> </w:t>
      </w:r>
      <w:r w:rsidR="00C07138" w:rsidRPr="009146F9">
        <w:rPr>
          <w:rFonts w:ascii="Gill Sans MT" w:hAnsi="Gill Sans MT" w:cs="Arial"/>
        </w:rPr>
        <w:t xml:space="preserve">Memorandum of Understanding (MoU) </w:t>
      </w:r>
      <w:r w:rsidRPr="009146F9">
        <w:rPr>
          <w:rFonts w:ascii="Gill Sans MT" w:hAnsi="Gill Sans MT" w:cs="Arial"/>
        </w:rPr>
        <w:t xml:space="preserve">between Tasmania Police and all Tasmanian schools and colleges </w:t>
      </w:r>
      <w:r w:rsidR="00C07138" w:rsidRPr="009146F9">
        <w:rPr>
          <w:rFonts w:ascii="Gill Sans MT" w:hAnsi="Gill Sans MT" w:cs="Arial"/>
        </w:rPr>
        <w:t xml:space="preserve">was revised in </w:t>
      </w:r>
      <w:r w:rsidRPr="009146F9">
        <w:rPr>
          <w:rFonts w:ascii="Gill Sans MT" w:hAnsi="Gill Sans MT" w:cs="Arial"/>
        </w:rPr>
        <w:t>2015</w:t>
      </w:r>
      <w:r w:rsidR="00C07138" w:rsidRPr="009146F9">
        <w:rPr>
          <w:rFonts w:ascii="Gill Sans MT" w:hAnsi="Gill Sans MT" w:cs="Arial"/>
        </w:rPr>
        <w:t>.</w:t>
      </w:r>
    </w:p>
    <w:p w:rsidR="00C07138" w:rsidRPr="009146F9" w:rsidRDefault="00C07138" w:rsidP="00FC47DF">
      <w:pPr>
        <w:pStyle w:val="ListParagraph"/>
        <w:keepNext/>
        <w:widowControl w:val="0"/>
        <w:numPr>
          <w:ilvl w:val="0"/>
          <w:numId w:val="1"/>
        </w:numPr>
        <w:spacing w:before="120" w:after="120" w:line="280" w:lineRule="atLeast"/>
        <w:ind w:left="714" w:hanging="357"/>
        <w:contextualSpacing w:val="0"/>
        <w:rPr>
          <w:rFonts w:ascii="Gill Sans MT" w:hAnsi="Gill Sans MT" w:cs="Arial"/>
        </w:rPr>
      </w:pPr>
      <w:r w:rsidRPr="009146F9">
        <w:rPr>
          <w:rFonts w:ascii="Gill Sans MT" w:hAnsi="Gill Sans MT" w:cs="Arial"/>
        </w:rPr>
        <w:t xml:space="preserve">Tasmania Police </w:t>
      </w:r>
      <w:r w:rsidR="006373F7" w:rsidRPr="009146F9">
        <w:rPr>
          <w:rFonts w:ascii="Gill Sans MT" w:hAnsi="Gill Sans MT" w:cs="Arial"/>
        </w:rPr>
        <w:t xml:space="preserve">delivered the </w:t>
      </w:r>
      <w:r w:rsidRPr="009146F9">
        <w:rPr>
          <w:rFonts w:ascii="Gill Sans MT" w:hAnsi="Gill Sans MT" w:cs="Arial"/>
          <w:i/>
        </w:rPr>
        <w:t>Good Mates Guide</w:t>
      </w:r>
      <w:r w:rsidR="00E161AE" w:rsidRPr="009146F9">
        <w:rPr>
          <w:rFonts w:ascii="Gill Sans MT" w:hAnsi="Gill Sans MT" w:cs="Arial"/>
        </w:rPr>
        <w:t xml:space="preserve"> </w:t>
      </w:r>
      <w:r w:rsidR="00747C37" w:rsidRPr="009146F9">
        <w:rPr>
          <w:rFonts w:ascii="Gill Sans MT" w:hAnsi="Gill Sans MT" w:cs="Arial"/>
        </w:rPr>
        <w:t xml:space="preserve">social marketing campaign </w:t>
      </w:r>
      <w:r w:rsidR="00E161AE" w:rsidRPr="009146F9">
        <w:rPr>
          <w:rFonts w:ascii="Gill Sans MT" w:hAnsi="Gill Sans MT" w:cs="Arial"/>
        </w:rPr>
        <w:t>in 2011</w:t>
      </w:r>
      <w:r w:rsidR="00747C37" w:rsidRPr="009146F9">
        <w:rPr>
          <w:rFonts w:ascii="Gill Sans MT" w:hAnsi="Gill Sans MT" w:cs="Arial"/>
        </w:rPr>
        <w:t>,</w:t>
      </w:r>
      <w:r w:rsidR="00E161AE" w:rsidRPr="009146F9">
        <w:rPr>
          <w:rFonts w:ascii="Gill Sans MT" w:hAnsi="Gill Sans MT" w:cs="Arial"/>
        </w:rPr>
        <w:t xml:space="preserve"> </w:t>
      </w:r>
      <w:r w:rsidRPr="009146F9">
        <w:rPr>
          <w:rFonts w:ascii="Gill Sans MT" w:hAnsi="Gill Sans MT" w:cs="Arial"/>
        </w:rPr>
        <w:t xml:space="preserve">as a </w:t>
      </w:r>
      <w:r w:rsidR="008D401B" w:rsidRPr="009146F9">
        <w:rPr>
          <w:rFonts w:ascii="Gill Sans MT" w:hAnsi="Gill Sans MT" w:cs="Arial"/>
        </w:rPr>
        <w:t xml:space="preserve">Tasmanian Government </w:t>
      </w:r>
      <w:r w:rsidRPr="009146F9">
        <w:rPr>
          <w:rFonts w:ascii="Gill Sans MT" w:hAnsi="Gill Sans MT" w:cs="Arial"/>
        </w:rPr>
        <w:t xml:space="preserve">initiative to reduce alcohol-fuelled violence in the 18 to 30 </w:t>
      </w:r>
      <w:r w:rsidR="008D401B" w:rsidRPr="009146F9">
        <w:rPr>
          <w:rFonts w:ascii="Gill Sans MT" w:hAnsi="Gill Sans MT" w:cs="Arial"/>
        </w:rPr>
        <w:t xml:space="preserve">years </w:t>
      </w:r>
      <w:r w:rsidRPr="009146F9">
        <w:rPr>
          <w:rFonts w:ascii="Gill Sans MT" w:hAnsi="Gill Sans MT" w:cs="Arial"/>
        </w:rPr>
        <w:t xml:space="preserve">age group and </w:t>
      </w:r>
      <w:r w:rsidR="00D16EE1" w:rsidRPr="009146F9">
        <w:rPr>
          <w:rFonts w:ascii="Gill Sans MT" w:hAnsi="Gill Sans MT" w:cs="Arial"/>
        </w:rPr>
        <w:t xml:space="preserve">provide </w:t>
      </w:r>
      <w:r w:rsidRPr="009146F9">
        <w:rPr>
          <w:rFonts w:ascii="Gill Sans MT" w:hAnsi="Gill Sans MT" w:cs="Arial"/>
        </w:rPr>
        <w:t>practical skills to lessen the likelihood of becoming a victim.</w:t>
      </w:r>
      <w:r w:rsidR="00D16EE1" w:rsidRPr="009146F9">
        <w:rPr>
          <w:rFonts w:ascii="Gill Sans MT" w:hAnsi="Gill Sans MT" w:cs="Arial"/>
        </w:rPr>
        <w:t xml:space="preserve"> The campaign included the </w:t>
      </w:r>
      <w:r w:rsidR="00D16EE1" w:rsidRPr="009146F9">
        <w:rPr>
          <w:rFonts w:ascii="Gill Sans MT" w:hAnsi="Gill Sans MT" w:cs="Arial"/>
          <w:i/>
        </w:rPr>
        <w:t>Mate Minder</w:t>
      </w:r>
      <w:r w:rsidR="008D401B" w:rsidRPr="009146F9">
        <w:rPr>
          <w:rFonts w:ascii="Gill Sans MT" w:hAnsi="Gill Sans MT" w:cs="Arial"/>
        </w:rPr>
        <w:t xml:space="preserve"> iPhone</w:t>
      </w:r>
      <w:r w:rsidR="00D16EE1" w:rsidRPr="009146F9">
        <w:rPr>
          <w:rFonts w:ascii="Gill Sans MT" w:hAnsi="Gill Sans MT" w:cs="Arial"/>
        </w:rPr>
        <w:t xml:space="preserve"> application, the Good Mates Guide facebook page, television and metro bus advertising and distribution of posters, coasters and take-away food bags.</w:t>
      </w:r>
    </w:p>
    <w:p w:rsidR="00C07138" w:rsidRPr="009146F9" w:rsidRDefault="0060287B" w:rsidP="00FC47DF">
      <w:pPr>
        <w:pStyle w:val="ListParagraph"/>
        <w:keepNext/>
        <w:widowControl w:val="0"/>
        <w:numPr>
          <w:ilvl w:val="0"/>
          <w:numId w:val="1"/>
        </w:numPr>
        <w:spacing w:before="120" w:after="120" w:line="280" w:lineRule="atLeast"/>
        <w:ind w:left="714" w:hanging="357"/>
        <w:contextualSpacing w:val="0"/>
        <w:rPr>
          <w:rFonts w:ascii="Gill Sans MT" w:hAnsi="Gill Sans MT" w:cs="Arial"/>
        </w:rPr>
      </w:pPr>
      <w:r w:rsidRPr="009146F9">
        <w:rPr>
          <w:rFonts w:ascii="Gill Sans MT" w:hAnsi="Gill Sans MT" w:cs="Arial"/>
        </w:rPr>
        <w:t>In 2014, t</w:t>
      </w:r>
      <w:r w:rsidR="00C07138" w:rsidRPr="009146F9">
        <w:rPr>
          <w:rFonts w:ascii="Gill Sans MT" w:hAnsi="Gill Sans MT" w:cs="Arial"/>
        </w:rPr>
        <w:t xml:space="preserve">he Department of Education updated its </w:t>
      </w:r>
      <w:r w:rsidR="00C07138" w:rsidRPr="009146F9">
        <w:rPr>
          <w:rFonts w:ascii="Gill Sans MT" w:hAnsi="Gill Sans MT" w:cs="Arial"/>
          <w:i/>
        </w:rPr>
        <w:t>Drug Education and Drug Management</w:t>
      </w:r>
      <w:r w:rsidR="00C07138" w:rsidRPr="009146F9">
        <w:rPr>
          <w:rFonts w:ascii="Gill Sans MT" w:hAnsi="Gill Sans MT" w:cs="Arial"/>
        </w:rPr>
        <w:t xml:space="preserve"> policy, and its </w:t>
      </w:r>
      <w:r w:rsidR="00C07138" w:rsidRPr="009146F9">
        <w:rPr>
          <w:rFonts w:ascii="Gill Sans MT" w:hAnsi="Gill Sans MT" w:cs="Arial"/>
          <w:i/>
        </w:rPr>
        <w:t>Drug Education and Drug Education and Drug Management</w:t>
      </w:r>
      <w:r w:rsidR="00C07138" w:rsidRPr="009146F9">
        <w:rPr>
          <w:rFonts w:ascii="Gill Sans MT" w:hAnsi="Gill Sans MT" w:cs="Arial"/>
        </w:rPr>
        <w:t xml:space="preserve"> procedure.</w:t>
      </w:r>
    </w:p>
    <w:p w:rsidR="00C07138" w:rsidRPr="009146F9" w:rsidRDefault="00C07138" w:rsidP="00FC47DF">
      <w:pPr>
        <w:pStyle w:val="ListParagraph"/>
        <w:keepNext/>
        <w:widowControl w:val="0"/>
        <w:numPr>
          <w:ilvl w:val="0"/>
          <w:numId w:val="1"/>
        </w:numPr>
        <w:spacing w:before="120" w:after="120" w:line="280" w:lineRule="atLeast"/>
        <w:contextualSpacing w:val="0"/>
        <w:rPr>
          <w:rFonts w:ascii="Gill Sans MT" w:hAnsi="Gill Sans MT" w:cs="Arial"/>
        </w:rPr>
      </w:pPr>
      <w:r w:rsidRPr="009146F9">
        <w:rPr>
          <w:rFonts w:ascii="Gill Sans MT" w:hAnsi="Gill Sans MT" w:cs="Arial"/>
        </w:rPr>
        <w:t>The Drug Education Network (DEN) ran a mass media campaign on buses and taxis across Tasmania, the focus of which was that under the NHMRC Guidelines, bingeing can be considered more than 4 drinks. The campaign ran for 18 months</w:t>
      </w:r>
      <w:r w:rsidR="00240362" w:rsidRPr="009146F9">
        <w:rPr>
          <w:rFonts w:ascii="Gill Sans MT" w:hAnsi="Gill Sans MT" w:cs="Arial"/>
        </w:rPr>
        <w:t xml:space="preserve"> </w:t>
      </w:r>
      <w:r w:rsidR="00264B5A" w:rsidRPr="009146F9">
        <w:rPr>
          <w:rFonts w:ascii="Gill Sans MT" w:hAnsi="Gill Sans MT" w:cs="Arial"/>
        </w:rPr>
        <w:t>across 2013 and 2014</w:t>
      </w:r>
      <w:r w:rsidRPr="009146F9">
        <w:rPr>
          <w:rFonts w:ascii="Gill Sans MT" w:hAnsi="Gill Sans MT" w:cs="Arial"/>
        </w:rPr>
        <w:t xml:space="preserve">. </w:t>
      </w:r>
    </w:p>
    <w:p w:rsidR="00C7263E" w:rsidRPr="009146F9" w:rsidRDefault="00A131C4" w:rsidP="00FC47DF">
      <w:pPr>
        <w:pStyle w:val="ListParagraph"/>
        <w:keepNext/>
        <w:widowControl w:val="0"/>
        <w:numPr>
          <w:ilvl w:val="0"/>
          <w:numId w:val="1"/>
        </w:numPr>
        <w:spacing w:before="120" w:after="120" w:line="280" w:lineRule="atLeast"/>
        <w:contextualSpacing w:val="0"/>
        <w:rPr>
          <w:rFonts w:ascii="Gill Sans MT" w:hAnsi="Gill Sans MT" w:cs="Arial"/>
        </w:rPr>
      </w:pPr>
      <w:r w:rsidRPr="009146F9">
        <w:rPr>
          <w:rFonts w:ascii="Gill Sans MT" w:hAnsi="Gill Sans MT" w:cs="Arial"/>
        </w:rPr>
        <w:t xml:space="preserve">In 2013, the Drug Education Network (DEN) launched the </w:t>
      </w:r>
      <w:r w:rsidRPr="009146F9">
        <w:rPr>
          <w:rFonts w:ascii="Gill Sans MT" w:hAnsi="Gill Sans MT" w:cs="Arial"/>
          <w:i/>
        </w:rPr>
        <w:t>Party Rules</w:t>
      </w:r>
      <w:r w:rsidRPr="009146F9">
        <w:rPr>
          <w:rFonts w:ascii="Gill Sans MT" w:hAnsi="Gill Sans MT" w:cs="Arial"/>
        </w:rPr>
        <w:t xml:space="preserve"> booklets, revised in 2015, as a guide for parents of young people on understanding alcohol and under 18’s and understanding the law in Tasmania.  </w:t>
      </w:r>
      <w:r w:rsidR="00C7263E" w:rsidRPr="009146F9">
        <w:rPr>
          <w:rFonts w:ascii="Gill Sans MT" w:hAnsi="Gill Sans MT" w:cs="Arial"/>
        </w:rPr>
        <w:t xml:space="preserve">To August 2016, 7 000 </w:t>
      </w:r>
      <w:r w:rsidR="00C7263E" w:rsidRPr="009146F9">
        <w:rPr>
          <w:rFonts w:ascii="Gill Sans MT" w:hAnsi="Gill Sans MT" w:cs="Arial"/>
          <w:i/>
        </w:rPr>
        <w:t>Party Rules</w:t>
      </w:r>
      <w:r w:rsidR="00C7263E" w:rsidRPr="009146F9">
        <w:rPr>
          <w:rFonts w:ascii="Gill Sans MT" w:hAnsi="Gill Sans MT" w:cs="Arial"/>
        </w:rPr>
        <w:t xml:space="preserve"> booklets have been distributed </w:t>
      </w:r>
      <w:r w:rsidR="0047599A" w:rsidRPr="009146F9">
        <w:rPr>
          <w:rFonts w:ascii="Gill Sans MT" w:hAnsi="Gill Sans MT" w:cs="Arial"/>
        </w:rPr>
        <w:t xml:space="preserve">by the DEN </w:t>
      </w:r>
      <w:r w:rsidR="00C7263E" w:rsidRPr="009146F9">
        <w:rPr>
          <w:rFonts w:ascii="Gill Sans MT" w:hAnsi="Gill Sans MT" w:cs="Arial"/>
        </w:rPr>
        <w:t>throughout Tasmania.</w:t>
      </w:r>
    </w:p>
    <w:p w:rsidR="00C07138" w:rsidRPr="009146F9" w:rsidRDefault="00C07138" w:rsidP="00FC47DF">
      <w:pPr>
        <w:pStyle w:val="ListParagraph"/>
        <w:keepNext/>
        <w:widowControl w:val="0"/>
        <w:numPr>
          <w:ilvl w:val="0"/>
          <w:numId w:val="1"/>
        </w:numPr>
        <w:spacing w:before="120" w:after="120" w:line="280" w:lineRule="atLeast"/>
        <w:ind w:left="714" w:hanging="357"/>
        <w:contextualSpacing w:val="0"/>
        <w:rPr>
          <w:rFonts w:ascii="Gill Sans MT" w:hAnsi="Gill Sans MT" w:cs="Arial"/>
        </w:rPr>
      </w:pPr>
      <w:r w:rsidRPr="009146F9">
        <w:rPr>
          <w:rFonts w:ascii="Gill Sans MT" w:hAnsi="Gill Sans MT" w:cs="Arial"/>
        </w:rPr>
        <w:t xml:space="preserve">The DEN also launched its </w:t>
      </w:r>
      <w:r w:rsidRPr="009146F9">
        <w:rPr>
          <w:rFonts w:ascii="Gill Sans MT" w:hAnsi="Gill Sans MT" w:cs="Arial"/>
          <w:i/>
        </w:rPr>
        <w:t>Wiser and Older</w:t>
      </w:r>
      <w:r w:rsidRPr="009146F9">
        <w:rPr>
          <w:rFonts w:ascii="Gill Sans MT" w:hAnsi="Gill Sans MT" w:cs="Arial"/>
        </w:rPr>
        <w:t xml:space="preserve"> brochure in 2014 focusing on the use of alcohol with prescription medication by older Tasmanians.  To </w:t>
      </w:r>
      <w:r w:rsidR="00A131C4" w:rsidRPr="009146F9">
        <w:rPr>
          <w:rFonts w:ascii="Gill Sans MT" w:hAnsi="Gill Sans MT" w:cs="Arial"/>
        </w:rPr>
        <w:t>October 2016</w:t>
      </w:r>
      <w:r w:rsidRPr="009146F9">
        <w:rPr>
          <w:rFonts w:ascii="Gill Sans MT" w:hAnsi="Gill Sans MT" w:cs="Arial"/>
        </w:rPr>
        <w:t>, 3 400 copies have been distributed.</w:t>
      </w:r>
    </w:p>
    <w:p w:rsidR="00C07138" w:rsidRPr="009146F9" w:rsidRDefault="00C07138" w:rsidP="00FC47DF">
      <w:pPr>
        <w:pStyle w:val="ListParagraph"/>
        <w:keepNext/>
        <w:widowControl w:val="0"/>
        <w:numPr>
          <w:ilvl w:val="0"/>
          <w:numId w:val="1"/>
        </w:numPr>
        <w:spacing w:before="120" w:after="120" w:line="280" w:lineRule="atLeast"/>
        <w:ind w:left="714" w:hanging="357"/>
        <w:contextualSpacing w:val="0"/>
        <w:rPr>
          <w:rFonts w:ascii="Gill Sans MT" w:hAnsi="Gill Sans MT" w:cs="Arial"/>
        </w:rPr>
      </w:pPr>
      <w:r w:rsidRPr="009146F9">
        <w:rPr>
          <w:rFonts w:ascii="Gill Sans MT" w:hAnsi="Gill Sans MT" w:cs="Arial"/>
        </w:rPr>
        <w:t xml:space="preserve">The </w:t>
      </w:r>
      <w:r w:rsidRPr="009146F9">
        <w:rPr>
          <w:rFonts w:ascii="Gill Sans MT" w:hAnsi="Gill Sans MT" w:cs="Arial"/>
          <w:i/>
        </w:rPr>
        <w:t>Go Easy on the Drink</w:t>
      </w:r>
      <w:r w:rsidRPr="009146F9">
        <w:rPr>
          <w:rFonts w:ascii="Gill Sans MT" w:hAnsi="Gill Sans MT" w:cs="Arial"/>
        </w:rPr>
        <w:t xml:space="preserve"> campaign was launched by Tasmania Police and Marine and Safety Tasmania (MAST) to target private and commercial boat owners and boat licence holders in Tasmania.  Since 2012-13, MAST have distributed over 28 600 registration labels, and 53 000 </w:t>
      </w:r>
      <w:proofErr w:type="spellStart"/>
      <w:r w:rsidRPr="009146F9">
        <w:rPr>
          <w:rFonts w:ascii="Gill Sans MT" w:hAnsi="Gill Sans MT" w:cs="Arial"/>
        </w:rPr>
        <w:t>Boatwise</w:t>
      </w:r>
      <w:proofErr w:type="spellEnd"/>
      <w:r w:rsidRPr="009146F9">
        <w:rPr>
          <w:rFonts w:ascii="Gill Sans MT" w:hAnsi="Gill Sans MT" w:cs="Arial"/>
        </w:rPr>
        <w:t xml:space="preserve"> publications to private boat owners and licence holders and 5 300 </w:t>
      </w:r>
      <w:proofErr w:type="spellStart"/>
      <w:r w:rsidRPr="009146F9">
        <w:rPr>
          <w:rFonts w:ascii="Gill Sans MT" w:hAnsi="Gill Sans MT" w:cs="Arial"/>
        </w:rPr>
        <w:t>Seawise</w:t>
      </w:r>
      <w:proofErr w:type="spellEnd"/>
      <w:r w:rsidRPr="009146F9">
        <w:rPr>
          <w:rFonts w:ascii="Gill Sans MT" w:hAnsi="Gill Sans MT" w:cs="Arial"/>
        </w:rPr>
        <w:t xml:space="preserve"> publications to the commercial boating sector in Tasmania.</w:t>
      </w:r>
    </w:p>
    <w:p w:rsidR="00C07138" w:rsidRPr="009146F9" w:rsidRDefault="00C07138" w:rsidP="00FC47DF">
      <w:pPr>
        <w:keepNext/>
        <w:numPr>
          <w:ilvl w:val="0"/>
          <w:numId w:val="1"/>
        </w:numPr>
        <w:spacing w:before="120" w:after="120" w:line="280" w:lineRule="atLeast"/>
        <w:rPr>
          <w:rFonts w:ascii="Gill Sans MT" w:hAnsi="Gill Sans MT"/>
        </w:rPr>
      </w:pPr>
      <w:r w:rsidRPr="009146F9">
        <w:rPr>
          <w:rFonts w:ascii="Gill Sans MT" w:hAnsi="Gill Sans MT"/>
        </w:rPr>
        <w:t xml:space="preserve">The </w:t>
      </w:r>
      <w:r w:rsidRPr="009146F9">
        <w:rPr>
          <w:rFonts w:ascii="Gill Sans MT" w:hAnsi="Gill Sans MT"/>
          <w:i/>
        </w:rPr>
        <w:t>Good Sports</w:t>
      </w:r>
      <w:r w:rsidRPr="009146F9">
        <w:rPr>
          <w:rFonts w:ascii="Gill Sans MT" w:hAnsi="Gill Sans MT"/>
        </w:rPr>
        <w:t xml:space="preserve"> program was developed by the </w:t>
      </w:r>
      <w:r w:rsidR="005D25E3" w:rsidRPr="009146F9">
        <w:rPr>
          <w:rFonts w:ascii="Gill Sans MT" w:hAnsi="Gill Sans MT"/>
        </w:rPr>
        <w:t>Australian Drug Foundation (</w:t>
      </w:r>
      <w:r w:rsidR="00CF1B1F" w:rsidRPr="009146F9">
        <w:rPr>
          <w:rFonts w:ascii="Gill Sans MT" w:hAnsi="Gill Sans MT"/>
        </w:rPr>
        <w:t>now</w:t>
      </w:r>
      <w:r w:rsidR="005D25E3" w:rsidRPr="009146F9">
        <w:rPr>
          <w:rFonts w:ascii="Gill Sans MT" w:hAnsi="Gill Sans MT"/>
        </w:rPr>
        <w:t xml:space="preserve"> the</w:t>
      </w:r>
      <w:r w:rsidRPr="009146F9">
        <w:rPr>
          <w:rFonts w:ascii="Gill Sans MT" w:hAnsi="Gill Sans MT"/>
        </w:rPr>
        <w:t xml:space="preserve"> </w:t>
      </w:r>
      <w:r w:rsidR="00CF1B1F" w:rsidRPr="009146F9">
        <w:rPr>
          <w:rFonts w:ascii="Gill Sans MT" w:hAnsi="Gill Sans MT"/>
        </w:rPr>
        <w:t xml:space="preserve">Alcohol and </w:t>
      </w:r>
      <w:r w:rsidRPr="009146F9">
        <w:rPr>
          <w:rFonts w:ascii="Gill Sans MT" w:hAnsi="Gill Sans MT"/>
        </w:rPr>
        <w:t>Drug Foundation</w:t>
      </w:r>
      <w:r w:rsidR="005D25E3" w:rsidRPr="009146F9">
        <w:rPr>
          <w:rFonts w:ascii="Gill Sans MT" w:hAnsi="Gill Sans MT"/>
        </w:rPr>
        <w:t>)</w:t>
      </w:r>
      <w:r w:rsidRPr="009146F9">
        <w:rPr>
          <w:rFonts w:ascii="Gill Sans MT" w:hAnsi="Gill Sans MT"/>
        </w:rPr>
        <w:t xml:space="preserve"> </w:t>
      </w:r>
      <w:r w:rsidR="009E34D8" w:rsidRPr="009146F9">
        <w:rPr>
          <w:rFonts w:ascii="Gill Sans MT" w:hAnsi="Gill Sans MT"/>
        </w:rPr>
        <w:t xml:space="preserve">(ADF) </w:t>
      </w:r>
      <w:r w:rsidRPr="009146F9">
        <w:rPr>
          <w:rFonts w:ascii="Gill Sans MT" w:hAnsi="Gill Sans MT"/>
        </w:rPr>
        <w:t>to assist sporting clubs to manage alcohol responsibly by using a key strategy of accreditation for alcohol management standards based on levels.  The program was re-introduced into Tasmania in 2010 and overall, 160 clubs have reached Level 3 accreditation demonstrating strong program progression up from 80 clubs (23.7 per cent) in December 2014 (Table 1.1).</w:t>
      </w:r>
      <w:r w:rsidR="00224E3D" w:rsidRPr="009146F9">
        <w:rPr>
          <w:rFonts w:ascii="Gill Sans MT" w:hAnsi="Gill Sans MT"/>
        </w:rPr>
        <w:t xml:space="preserve">  It is a requirement that alcohol management plans must exist for football clubs applying for a permit to sell alcohol.</w:t>
      </w:r>
    </w:p>
    <w:p w:rsidR="00C07138" w:rsidRPr="009146F9" w:rsidRDefault="00C07138" w:rsidP="00FC47DF">
      <w:pPr>
        <w:keepNext/>
        <w:spacing w:before="120" w:after="120" w:line="280" w:lineRule="atLeast"/>
        <w:ind w:left="720"/>
        <w:rPr>
          <w:rFonts w:ascii="Gill Sans MT" w:hAnsi="Gill Sans MT"/>
          <w:sz w:val="20"/>
        </w:rPr>
      </w:pPr>
      <w:r w:rsidRPr="009146F9">
        <w:rPr>
          <w:rFonts w:ascii="Gill Sans MT" w:hAnsi="Gill Sans MT"/>
          <w:b/>
          <w:sz w:val="20"/>
        </w:rPr>
        <w:t>Table 1.1:</w:t>
      </w:r>
      <w:r w:rsidRPr="009146F9">
        <w:rPr>
          <w:rFonts w:ascii="Gill Sans MT" w:hAnsi="Gill Sans MT"/>
          <w:sz w:val="20"/>
        </w:rPr>
        <w:t xml:space="preserve"> </w:t>
      </w:r>
      <w:r w:rsidRPr="009146F9">
        <w:rPr>
          <w:rFonts w:ascii="Gill Sans MT" w:hAnsi="Gill Sans MT"/>
          <w:i/>
          <w:sz w:val="20"/>
        </w:rPr>
        <w:t>Good Sports</w:t>
      </w:r>
      <w:r w:rsidRPr="009146F9">
        <w:rPr>
          <w:rFonts w:ascii="Gill Sans MT" w:hAnsi="Gill Sans MT"/>
          <w:sz w:val="20"/>
        </w:rPr>
        <w:t xml:space="preserve"> Clubs in Tasmania 2010-2016 </w:t>
      </w:r>
    </w:p>
    <w:tbl>
      <w:tblPr>
        <w:tblStyle w:val="TableGrid"/>
        <w:tblW w:w="0" w:type="auto"/>
        <w:tblInd w:w="817" w:type="dxa"/>
        <w:tblLayout w:type="fixed"/>
        <w:tblCellMar>
          <w:top w:w="57" w:type="dxa"/>
          <w:left w:w="57" w:type="dxa"/>
          <w:bottom w:w="57" w:type="dxa"/>
          <w:right w:w="57" w:type="dxa"/>
        </w:tblCellMar>
        <w:tblLook w:val="04A0" w:firstRow="1" w:lastRow="0" w:firstColumn="1" w:lastColumn="0" w:noHBand="0" w:noVBand="1"/>
        <w:tblCaption w:val="Table 1.1"/>
        <w:tblDescription w:val="Good Sports Clubs "/>
      </w:tblPr>
      <w:tblGrid>
        <w:gridCol w:w="2977"/>
        <w:gridCol w:w="709"/>
        <w:gridCol w:w="708"/>
        <w:gridCol w:w="709"/>
        <w:gridCol w:w="709"/>
        <w:gridCol w:w="709"/>
        <w:gridCol w:w="708"/>
        <w:gridCol w:w="709"/>
      </w:tblGrid>
      <w:tr w:rsidR="00C07138" w:rsidRPr="009146F9" w:rsidTr="00284ECF">
        <w:trPr>
          <w:tblHeader/>
        </w:trPr>
        <w:tc>
          <w:tcPr>
            <w:tcW w:w="2977" w:type="dxa"/>
            <w:tcBorders>
              <w:top w:val="nil"/>
              <w:left w:val="nil"/>
            </w:tcBorders>
          </w:tcPr>
          <w:p w:rsidR="00C07138" w:rsidRPr="009146F9" w:rsidRDefault="00C07138" w:rsidP="00FC47DF">
            <w:pPr>
              <w:keepNext/>
              <w:spacing w:line="280" w:lineRule="atLeast"/>
              <w:rPr>
                <w:rFonts w:ascii="Gill Sans MT" w:hAnsi="Gill Sans MT"/>
                <w:sz w:val="20"/>
              </w:rPr>
            </w:pPr>
          </w:p>
        </w:tc>
        <w:tc>
          <w:tcPr>
            <w:tcW w:w="4961" w:type="dxa"/>
            <w:gridSpan w:val="7"/>
            <w:shd w:val="clear" w:color="auto" w:fill="BFBFBF" w:themeFill="background1" w:themeFillShade="BF"/>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 xml:space="preserve">Tasmanian </w:t>
            </w:r>
            <w:r w:rsidRPr="009146F9">
              <w:rPr>
                <w:rFonts w:ascii="Gill Sans MT" w:hAnsi="Gill Sans MT"/>
                <w:i/>
                <w:sz w:val="20"/>
              </w:rPr>
              <w:t>Good Sports</w:t>
            </w:r>
            <w:r w:rsidRPr="009146F9">
              <w:rPr>
                <w:rFonts w:ascii="Gill Sans MT" w:hAnsi="Gill Sans MT"/>
                <w:sz w:val="20"/>
              </w:rPr>
              <w:t xml:space="preserve"> Clubs</w:t>
            </w:r>
          </w:p>
        </w:tc>
      </w:tr>
      <w:tr w:rsidR="00C07138" w:rsidRPr="009146F9" w:rsidTr="00284ECF">
        <w:trPr>
          <w:tblHeader/>
        </w:trPr>
        <w:tc>
          <w:tcPr>
            <w:tcW w:w="2977"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Accreditation Level</w:t>
            </w:r>
          </w:p>
        </w:tc>
        <w:tc>
          <w:tcPr>
            <w:tcW w:w="709"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2010</w:t>
            </w:r>
          </w:p>
        </w:tc>
        <w:tc>
          <w:tcPr>
            <w:tcW w:w="708"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2011</w:t>
            </w:r>
          </w:p>
        </w:tc>
        <w:tc>
          <w:tcPr>
            <w:tcW w:w="709"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2012</w:t>
            </w:r>
          </w:p>
        </w:tc>
        <w:tc>
          <w:tcPr>
            <w:tcW w:w="709"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2013</w:t>
            </w:r>
          </w:p>
        </w:tc>
        <w:tc>
          <w:tcPr>
            <w:tcW w:w="709"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2014</w:t>
            </w:r>
          </w:p>
        </w:tc>
        <w:tc>
          <w:tcPr>
            <w:tcW w:w="708"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2015</w:t>
            </w:r>
          </w:p>
        </w:tc>
        <w:tc>
          <w:tcPr>
            <w:tcW w:w="709" w:type="dxa"/>
            <w:shd w:val="clear" w:color="auto" w:fill="D9D9D9" w:themeFill="background1" w:themeFillShade="D9"/>
          </w:tcPr>
          <w:p w:rsidR="00C07138" w:rsidRPr="009146F9" w:rsidRDefault="00C07138" w:rsidP="00FC47DF">
            <w:pPr>
              <w:keepNext/>
              <w:spacing w:line="280" w:lineRule="atLeast"/>
              <w:rPr>
                <w:rFonts w:ascii="Gill Sans MT" w:hAnsi="Gill Sans MT"/>
                <w:sz w:val="20"/>
                <w:vertAlign w:val="superscript"/>
              </w:rPr>
            </w:pPr>
            <w:r w:rsidRPr="009146F9">
              <w:rPr>
                <w:rFonts w:ascii="Gill Sans MT" w:hAnsi="Gill Sans MT"/>
                <w:sz w:val="20"/>
              </w:rPr>
              <w:t>2016</w:t>
            </w:r>
            <w:r w:rsidRPr="009146F9">
              <w:rPr>
                <w:rFonts w:ascii="Gill Sans MT" w:hAnsi="Gill Sans MT"/>
                <w:sz w:val="20"/>
                <w:vertAlign w:val="superscript"/>
              </w:rPr>
              <w:t>+</w:t>
            </w:r>
          </w:p>
        </w:tc>
      </w:tr>
      <w:tr w:rsidR="00C07138" w:rsidRPr="009146F9" w:rsidTr="00284ECF">
        <w:trPr>
          <w:tblHeader/>
        </w:trPr>
        <w:tc>
          <w:tcPr>
            <w:tcW w:w="2977"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Registered clubs</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17</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28</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34</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34</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38</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7</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r>
      <w:tr w:rsidR="00C07138" w:rsidRPr="009146F9" w:rsidTr="00284ECF">
        <w:trPr>
          <w:tblHeader/>
        </w:trPr>
        <w:tc>
          <w:tcPr>
            <w:tcW w:w="2977"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Participating clubs</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7</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11</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14</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8</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12</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r>
      <w:tr w:rsidR="00C07138" w:rsidRPr="009146F9" w:rsidTr="00284ECF">
        <w:trPr>
          <w:tblHeader/>
        </w:trPr>
        <w:tc>
          <w:tcPr>
            <w:tcW w:w="2977"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Leads</w:t>
            </w:r>
            <w:r w:rsidRPr="009146F9">
              <w:rPr>
                <w:rFonts w:ascii="Gill Sans MT" w:hAnsi="Gill Sans MT"/>
                <w:sz w:val="24"/>
                <w:vertAlign w:val="superscript"/>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99</w:t>
            </w:r>
          </w:p>
        </w:tc>
      </w:tr>
      <w:tr w:rsidR="00C07138" w:rsidRPr="009146F9" w:rsidTr="00284ECF">
        <w:trPr>
          <w:tblHeader/>
        </w:trPr>
        <w:tc>
          <w:tcPr>
            <w:tcW w:w="2977" w:type="dxa"/>
          </w:tcPr>
          <w:p w:rsidR="00C07138" w:rsidRPr="009146F9" w:rsidRDefault="00C07138" w:rsidP="00FC47DF">
            <w:pPr>
              <w:keepNext/>
              <w:spacing w:line="280" w:lineRule="atLeast"/>
              <w:rPr>
                <w:rFonts w:ascii="Gill Sans MT" w:hAnsi="Gill Sans MT"/>
                <w:sz w:val="20"/>
                <w:vertAlign w:val="superscript"/>
              </w:rPr>
            </w:pPr>
            <w:r w:rsidRPr="009146F9">
              <w:rPr>
                <w:rFonts w:ascii="Gill Sans MT" w:hAnsi="Gill Sans MT"/>
                <w:sz w:val="20"/>
              </w:rPr>
              <w:t>Pre-accredited clubs</w:t>
            </w:r>
            <w:r w:rsidRPr="009146F9">
              <w:rPr>
                <w:rFonts w:ascii="Gill Sans MT" w:hAnsi="Gill Sans MT"/>
                <w:sz w:val="24"/>
                <w:vertAlign w:val="superscript"/>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15</w:t>
            </w:r>
          </w:p>
        </w:tc>
      </w:tr>
      <w:tr w:rsidR="00C07138" w:rsidRPr="009146F9" w:rsidTr="00284ECF">
        <w:trPr>
          <w:tblHeader/>
        </w:trPr>
        <w:tc>
          <w:tcPr>
            <w:tcW w:w="2977"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Level 1 accreditation</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26</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81</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85</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66</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63</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21</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13</w:t>
            </w:r>
          </w:p>
        </w:tc>
      </w:tr>
      <w:tr w:rsidR="00C07138" w:rsidRPr="009146F9" w:rsidTr="00284ECF">
        <w:trPr>
          <w:tblHeader/>
        </w:trPr>
        <w:tc>
          <w:tcPr>
            <w:tcW w:w="2977"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Level 2 accreditation</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16</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29</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63</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84</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83</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72</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62</w:t>
            </w:r>
          </w:p>
        </w:tc>
      </w:tr>
      <w:tr w:rsidR="00C07138" w:rsidRPr="009146F9" w:rsidTr="00284ECF">
        <w:trPr>
          <w:tblHeader/>
        </w:trPr>
        <w:tc>
          <w:tcPr>
            <w:tcW w:w="2977"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Level 3 accreditation</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4</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9</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13</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49</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80</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125</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80</w:t>
            </w:r>
          </w:p>
        </w:tc>
      </w:tr>
      <w:tr w:rsidR="00C07138" w:rsidRPr="009146F9" w:rsidTr="00284ECF">
        <w:trPr>
          <w:tblHeader/>
        </w:trPr>
        <w:tc>
          <w:tcPr>
            <w:tcW w:w="2977"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Level 3 Monitoring</w:t>
            </w:r>
            <w:r w:rsidRPr="009146F9">
              <w:rPr>
                <w:rFonts w:ascii="Gill Sans MT" w:hAnsi="Gill Sans MT"/>
                <w:sz w:val="24"/>
                <w:vertAlign w:val="superscript"/>
              </w:rPr>
              <w:t>#</w:t>
            </w:r>
          </w:p>
        </w:tc>
        <w:tc>
          <w:tcPr>
            <w:tcW w:w="709" w:type="dxa"/>
          </w:tcPr>
          <w:p w:rsidR="00C07138" w:rsidRPr="009146F9" w:rsidRDefault="00C07138" w:rsidP="00FC47DF">
            <w:pPr>
              <w:keepNext/>
              <w:spacing w:line="280" w:lineRule="atLeast"/>
              <w:rPr>
                <w:rFonts w:ascii="Gill Sans MT" w:hAnsi="Gill Sans MT"/>
                <w:sz w:val="20"/>
              </w:rPr>
            </w:pPr>
          </w:p>
        </w:tc>
        <w:tc>
          <w:tcPr>
            <w:tcW w:w="708" w:type="dxa"/>
          </w:tcPr>
          <w:p w:rsidR="00C07138" w:rsidRPr="009146F9" w:rsidRDefault="00C07138" w:rsidP="00FC47DF">
            <w:pPr>
              <w:keepNext/>
              <w:spacing w:line="280" w:lineRule="atLeast"/>
              <w:rPr>
                <w:rFonts w:ascii="Gill Sans MT" w:hAnsi="Gill Sans MT"/>
                <w:sz w:val="20"/>
              </w:rPr>
            </w:pPr>
          </w:p>
        </w:tc>
        <w:tc>
          <w:tcPr>
            <w:tcW w:w="709" w:type="dxa"/>
          </w:tcPr>
          <w:p w:rsidR="00C07138" w:rsidRPr="009146F9" w:rsidRDefault="00C07138" w:rsidP="00FC47DF">
            <w:pPr>
              <w:keepNext/>
              <w:spacing w:line="280" w:lineRule="atLeast"/>
              <w:rPr>
                <w:rFonts w:ascii="Gill Sans MT" w:hAnsi="Gill Sans MT"/>
                <w:sz w:val="20"/>
              </w:rPr>
            </w:pPr>
          </w:p>
        </w:tc>
        <w:tc>
          <w:tcPr>
            <w:tcW w:w="709" w:type="dxa"/>
          </w:tcPr>
          <w:p w:rsidR="00C07138" w:rsidRPr="009146F9" w:rsidRDefault="00C07138" w:rsidP="00FC47DF">
            <w:pPr>
              <w:keepNext/>
              <w:spacing w:line="280" w:lineRule="atLeast"/>
              <w:rPr>
                <w:rFonts w:ascii="Gill Sans MT" w:hAnsi="Gill Sans MT"/>
                <w:sz w:val="20"/>
              </w:rPr>
            </w:pPr>
          </w:p>
        </w:tc>
        <w:tc>
          <w:tcPr>
            <w:tcW w:w="709" w:type="dxa"/>
          </w:tcPr>
          <w:p w:rsidR="00C07138" w:rsidRPr="009146F9" w:rsidRDefault="00C07138" w:rsidP="00FC47DF">
            <w:pPr>
              <w:keepNext/>
              <w:spacing w:line="280" w:lineRule="atLeast"/>
              <w:rPr>
                <w:rFonts w:ascii="Gill Sans MT" w:hAnsi="Gill Sans MT"/>
                <w:sz w:val="20"/>
              </w:rPr>
            </w:pPr>
          </w:p>
        </w:tc>
        <w:tc>
          <w:tcPr>
            <w:tcW w:w="708" w:type="dxa"/>
          </w:tcPr>
          <w:p w:rsidR="00C07138" w:rsidRPr="009146F9" w:rsidRDefault="00C07138" w:rsidP="00FC47DF">
            <w:pPr>
              <w:keepNext/>
              <w:spacing w:line="280" w:lineRule="atLeast"/>
              <w:rPr>
                <w:rFonts w:ascii="Gill Sans MT" w:hAnsi="Gill Sans MT"/>
                <w:sz w:val="20"/>
              </w:rPr>
            </w:pP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80</w:t>
            </w:r>
          </w:p>
        </w:tc>
      </w:tr>
      <w:tr w:rsidR="00C07138" w:rsidRPr="009146F9" w:rsidTr="00284ECF">
        <w:trPr>
          <w:tblHeader/>
        </w:trPr>
        <w:tc>
          <w:tcPr>
            <w:tcW w:w="2977"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Level 0 accreditation</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r>
      <w:tr w:rsidR="00C07138" w:rsidRPr="009146F9" w:rsidTr="00284ECF">
        <w:trPr>
          <w:tblHeader/>
        </w:trPr>
        <w:tc>
          <w:tcPr>
            <w:tcW w:w="2977"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Under review</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78</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35</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25</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18</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18</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46</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w:t>
            </w:r>
          </w:p>
        </w:tc>
      </w:tr>
      <w:tr w:rsidR="00C07138" w:rsidRPr="009146F9" w:rsidTr="00284ECF">
        <w:trPr>
          <w:tblHeader/>
        </w:trPr>
        <w:tc>
          <w:tcPr>
            <w:tcW w:w="2977" w:type="dxa"/>
            <w:tcBorders>
              <w:bottom w:val="single" w:sz="4" w:space="0" w:color="auto"/>
            </w:tcBorders>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Total Tasmanian clubs engaged</w:t>
            </w:r>
          </w:p>
        </w:tc>
        <w:tc>
          <w:tcPr>
            <w:tcW w:w="709" w:type="dxa"/>
            <w:tcBorders>
              <w:bottom w:val="single" w:sz="4" w:space="0" w:color="auto"/>
            </w:tcBorders>
          </w:tcPr>
          <w:p w:rsidR="00C07138" w:rsidRPr="009146F9" w:rsidRDefault="00C07138" w:rsidP="00FC47DF">
            <w:pPr>
              <w:keepNext/>
              <w:spacing w:line="280" w:lineRule="atLeast"/>
              <w:rPr>
                <w:rFonts w:ascii="Gill Sans MT" w:hAnsi="Gill Sans MT"/>
                <w:b/>
                <w:sz w:val="20"/>
              </w:rPr>
            </w:pPr>
            <w:r w:rsidRPr="009146F9">
              <w:rPr>
                <w:rFonts w:ascii="Gill Sans MT" w:hAnsi="Gill Sans MT"/>
                <w:b/>
                <w:sz w:val="20"/>
              </w:rPr>
              <w:t>148</w:t>
            </w:r>
          </w:p>
        </w:tc>
        <w:tc>
          <w:tcPr>
            <w:tcW w:w="708" w:type="dxa"/>
            <w:tcBorders>
              <w:bottom w:val="single" w:sz="4" w:space="0" w:color="auto"/>
            </w:tcBorders>
          </w:tcPr>
          <w:p w:rsidR="00C07138" w:rsidRPr="009146F9" w:rsidRDefault="00C07138" w:rsidP="00FC47DF">
            <w:pPr>
              <w:keepNext/>
              <w:spacing w:line="280" w:lineRule="atLeast"/>
              <w:rPr>
                <w:rFonts w:ascii="Gill Sans MT" w:hAnsi="Gill Sans MT"/>
                <w:b/>
                <w:sz w:val="20"/>
              </w:rPr>
            </w:pPr>
            <w:r w:rsidRPr="009146F9">
              <w:rPr>
                <w:rFonts w:ascii="Gill Sans MT" w:hAnsi="Gill Sans MT"/>
                <w:b/>
                <w:sz w:val="20"/>
              </w:rPr>
              <w:t>193</w:t>
            </w:r>
          </w:p>
        </w:tc>
        <w:tc>
          <w:tcPr>
            <w:tcW w:w="709" w:type="dxa"/>
            <w:tcBorders>
              <w:bottom w:val="single" w:sz="4" w:space="0" w:color="auto"/>
            </w:tcBorders>
          </w:tcPr>
          <w:p w:rsidR="00C07138" w:rsidRPr="009146F9" w:rsidRDefault="00C07138" w:rsidP="00FC47DF">
            <w:pPr>
              <w:keepNext/>
              <w:spacing w:line="280" w:lineRule="atLeast"/>
              <w:rPr>
                <w:rFonts w:ascii="Gill Sans MT" w:hAnsi="Gill Sans MT"/>
                <w:b/>
                <w:sz w:val="20"/>
              </w:rPr>
            </w:pPr>
            <w:r w:rsidRPr="009146F9">
              <w:rPr>
                <w:rFonts w:ascii="Gill Sans MT" w:hAnsi="Gill Sans MT"/>
                <w:b/>
                <w:sz w:val="20"/>
              </w:rPr>
              <w:t>224</w:t>
            </w:r>
          </w:p>
        </w:tc>
        <w:tc>
          <w:tcPr>
            <w:tcW w:w="709" w:type="dxa"/>
            <w:tcBorders>
              <w:bottom w:val="single" w:sz="4" w:space="0" w:color="auto"/>
            </w:tcBorders>
          </w:tcPr>
          <w:p w:rsidR="00C07138" w:rsidRPr="009146F9" w:rsidRDefault="00C07138" w:rsidP="00FC47DF">
            <w:pPr>
              <w:keepNext/>
              <w:spacing w:line="280" w:lineRule="atLeast"/>
              <w:rPr>
                <w:rFonts w:ascii="Gill Sans MT" w:hAnsi="Gill Sans MT"/>
                <w:b/>
                <w:sz w:val="20"/>
              </w:rPr>
            </w:pPr>
            <w:r w:rsidRPr="009146F9">
              <w:rPr>
                <w:rFonts w:ascii="Gill Sans MT" w:hAnsi="Gill Sans MT"/>
                <w:b/>
                <w:sz w:val="20"/>
              </w:rPr>
              <w:t>260</w:t>
            </w:r>
          </w:p>
        </w:tc>
        <w:tc>
          <w:tcPr>
            <w:tcW w:w="709" w:type="dxa"/>
            <w:tcBorders>
              <w:bottom w:val="single" w:sz="4" w:space="0" w:color="auto"/>
            </w:tcBorders>
          </w:tcPr>
          <w:p w:rsidR="00C07138" w:rsidRPr="009146F9" w:rsidRDefault="00C07138" w:rsidP="00FC47DF">
            <w:pPr>
              <w:keepNext/>
              <w:spacing w:line="280" w:lineRule="atLeast"/>
              <w:rPr>
                <w:rFonts w:ascii="Gill Sans MT" w:hAnsi="Gill Sans MT"/>
                <w:b/>
                <w:sz w:val="20"/>
              </w:rPr>
            </w:pPr>
            <w:r w:rsidRPr="009146F9">
              <w:rPr>
                <w:rFonts w:ascii="Gill Sans MT" w:hAnsi="Gill Sans MT"/>
                <w:b/>
                <w:sz w:val="20"/>
              </w:rPr>
              <w:t>295</w:t>
            </w:r>
          </w:p>
        </w:tc>
        <w:tc>
          <w:tcPr>
            <w:tcW w:w="708" w:type="dxa"/>
            <w:tcBorders>
              <w:bottom w:val="single" w:sz="4" w:space="0" w:color="auto"/>
            </w:tcBorders>
          </w:tcPr>
          <w:p w:rsidR="00C07138" w:rsidRPr="009146F9" w:rsidRDefault="00C07138" w:rsidP="00FC47DF">
            <w:pPr>
              <w:keepNext/>
              <w:spacing w:line="280" w:lineRule="atLeast"/>
              <w:rPr>
                <w:rFonts w:ascii="Gill Sans MT" w:hAnsi="Gill Sans MT"/>
                <w:b/>
                <w:sz w:val="20"/>
              </w:rPr>
            </w:pPr>
            <w:r w:rsidRPr="009146F9">
              <w:rPr>
                <w:rFonts w:ascii="Gill Sans MT" w:hAnsi="Gill Sans MT"/>
                <w:b/>
                <w:sz w:val="20"/>
              </w:rPr>
              <w:t>335</w:t>
            </w:r>
          </w:p>
        </w:tc>
        <w:tc>
          <w:tcPr>
            <w:tcW w:w="709" w:type="dxa"/>
            <w:tcBorders>
              <w:bottom w:val="single" w:sz="4" w:space="0" w:color="auto"/>
            </w:tcBorders>
          </w:tcPr>
          <w:p w:rsidR="00C07138" w:rsidRPr="009146F9" w:rsidRDefault="00C07138" w:rsidP="00FC47DF">
            <w:pPr>
              <w:keepNext/>
              <w:spacing w:line="280" w:lineRule="atLeast"/>
              <w:rPr>
                <w:rFonts w:ascii="Gill Sans MT" w:hAnsi="Gill Sans MT"/>
                <w:b/>
                <w:sz w:val="20"/>
              </w:rPr>
            </w:pPr>
            <w:r w:rsidRPr="009146F9">
              <w:rPr>
                <w:rFonts w:ascii="Gill Sans MT" w:hAnsi="Gill Sans MT"/>
                <w:b/>
                <w:sz w:val="20"/>
              </w:rPr>
              <w:t>349</w:t>
            </w:r>
          </w:p>
        </w:tc>
      </w:tr>
      <w:tr w:rsidR="00C07138" w:rsidRPr="009146F9" w:rsidTr="00284ECF">
        <w:trPr>
          <w:tblHeader/>
        </w:trPr>
        <w:tc>
          <w:tcPr>
            <w:tcW w:w="7938" w:type="dxa"/>
            <w:gridSpan w:val="8"/>
            <w:tcBorders>
              <w:top w:val="single" w:sz="4" w:space="0" w:color="auto"/>
              <w:left w:val="single" w:sz="4" w:space="0" w:color="auto"/>
              <w:bottom w:val="single" w:sz="4" w:space="0" w:color="auto"/>
              <w:right w:val="single" w:sz="4" w:space="0" w:color="auto"/>
            </w:tcBorders>
          </w:tcPr>
          <w:p w:rsidR="00A9257D" w:rsidRPr="009146F9" w:rsidRDefault="00A9257D" w:rsidP="00FC47DF">
            <w:pPr>
              <w:keepNext/>
              <w:spacing w:line="280" w:lineRule="atLeast"/>
              <w:rPr>
                <w:rFonts w:ascii="Gill Sans MT" w:hAnsi="Gill Sans MT"/>
                <w:sz w:val="18"/>
                <w:szCs w:val="18"/>
                <w:u w:val="single"/>
              </w:rPr>
            </w:pPr>
            <w:r w:rsidRPr="009146F9">
              <w:rPr>
                <w:rFonts w:ascii="Gill Sans MT" w:hAnsi="Gill Sans MT"/>
                <w:sz w:val="18"/>
                <w:szCs w:val="18"/>
                <w:vertAlign w:val="superscript"/>
              </w:rPr>
              <w:t>+</w:t>
            </w:r>
            <w:r w:rsidRPr="009146F9">
              <w:rPr>
                <w:rFonts w:ascii="Gill Sans MT" w:hAnsi="Gill Sans MT"/>
                <w:sz w:val="18"/>
                <w:szCs w:val="18"/>
              </w:rPr>
              <w:t xml:space="preserve"> to 30/9/2016</w:t>
            </w:r>
          </w:p>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u w:val="single"/>
              </w:rPr>
              <w:t>Note:</w:t>
            </w:r>
            <w:r w:rsidRPr="009146F9">
              <w:rPr>
                <w:rFonts w:ascii="Gill Sans MT" w:hAnsi="Gill Sans MT"/>
                <w:sz w:val="18"/>
                <w:szCs w:val="18"/>
              </w:rPr>
              <w:t xml:space="preserve"> The ADF implemented a new system in 2015 to track clubs and accreditation categories have now changed:</w:t>
            </w:r>
          </w:p>
          <w:p w:rsidR="00A9257D" w:rsidRPr="009146F9" w:rsidRDefault="00A9257D" w:rsidP="00FC47DF">
            <w:pPr>
              <w:keepNext/>
              <w:spacing w:line="280" w:lineRule="atLeast"/>
              <w:rPr>
                <w:rFonts w:ascii="Gill Sans MT" w:hAnsi="Gill Sans MT"/>
                <w:sz w:val="18"/>
                <w:szCs w:val="18"/>
              </w:rPr>
            </w:pPr>
            <w:r w:rsidRPr="009146F9">
              <w:rPr>
                <w:rFonts w:ascii="Gill Sans MT" w:hAnsi="Gill Sans MT"/>
                <w:sz w:val="18"/>
                <w:szCs w:val="18"/>
              </w:rPr>
              <w:t>^  Leads are new clubs that are entering the program</w:t>
            </w:r>
          </w:p>
          <w:p w:rsidR="00A9257D" w:rsidRPr="009146F9" w:rsidRDefault="00A9257D" w:rsidP="00FC47DF">
            <w:pPr>
              <w:keepNext/>
              <w:spacing w:line="280" w:lineRule="atLeast"/>
              <w:rPr>
                <w:rFonts w:ascii="Gill Sans MT" w:hAnsi="Gill Sans MT"/>
                <w:sz w:val="18"/>
                <w:szCs w:val="18"/>
              </w:rPr>
            </w:pPr>
            <w:r w:rsidRPr="009146F9">
              <w:rPr>
                <w:rFonts w:ascii="Gill Sans MT" w:hAnsi="Gill Sans MT"/>
                <w:sz w:val="18"/>
                <w:szCs w:val="18"/>
              </w:rPr>
              <w:t>*  Pre-accredited clubs are working towards Good Sports accreditation</w:t>
            </w:r>
          </w:p>
          <w:p w:rsidR="00A9257D" w:rsidRPr="009146F9" w:rsidRDefault="00A9257D" w:rsidP="00FC47DF">
            <w:pPr>
              <w:keepNext/>
              <w:spacing w:line="280" w:lineRule="atLeast"/>
              <w:rPr>
                <w:rFonts w:ascii="Gill Sans MT" w:hAnsi="Gill Sans MT"/>
                <w:sz w:val="16"/>
              </w:rPr>
            </w:pPr>
            <w:proofErr w:type="gramStart"/>
            <w:r w:rsidRPr="009146F9">
              <w:rPr>
                <w:rFonts w:ascii="Gill Sans MT" w:hAnsi="Gill Sans MT"/>
                <w:sz w:val="18"/>
                <w:szCs w:val="18"/>
              </w:rPr>
              <w:t>#  Level</w:t>
            </w:r>
            <w:proofErr w:type="gramEnd"/>
            <w:r w:rsidRPr="009146F9">
              <w:rPr>
                <w:rFonts w:ascii="Gill Sans MT" w:hAnsi="Gill Sans MT"/>
                <w:sz w:val="18"/>
                <w:szCs w:val="18"/>
              </w:rPr>
              <w:t xml:space="preserve"> 3 Monitoring clubs have reached Level 3 accreditation and have completed a ‘Monitoring Report’ to maintain Level 3.</w:t>
            </w:r>
          </w:p>
        </w:tc>
      </w:tr>
      <w:tr w:rsidR="00C07138" w:rsidRPr="009146F9" w:rsidTr="00284ECF">
        <w:trPr>
          <w:tblHeader/>
        </w:trPr>
        <w:tc>
          <w:tcPr>
            <w:tcW w:w="7938" w:type="dxa"/>
            <w:gridSpan w:val="8"/>
            <w:tcBorders>
              <w:top w:val="single" w:sz="4" w:space="0" w:color="auto"/>
              <w:left w:val="single" w:sz="4" w:space="0" w:color="auto"/>
              <w:bottom w:val="single" w:sz="4" w:space="0" w:color="auto"/>
              <w:right w:val="single" w:sz="4" w:space="0" w:color="auto"/>
            </w:tcBorders>
          </w:tcPr>
          <w:p w:rsidR="00C07138" w:rsidRPr="009146F9" w:rsidRDefault="00C07138" w:rsidP="00FC47DF">
            <w:pPr>
              <w:keepNext/>
              <w:spacing w:line="280" w:lineRule="atLeast"/>
              <w:rPr>
                <w:rFonts w:ascii="Gill Sans MT" w:hAnsi="Gill Sans MT"/>
                <w:i/>
                <w:sz w:val="18"/>
              </w:rPr>
            </w:pPr>
            <w:r w:rsidRPr="009146F9">
              <w:rPr>
                <w:rFonts w:ascii="Gill Sans MT" w:hAnsi="Gill Sans MT"/>
                <w:i/>
                <w:sz w:val="18"/>
              </w:rPr>
              <w:t xml:space="preserve">Source: </w:t>
            </w:r>
            <w:r w:rsidR="001A2C23" w:rsidRPr="009146F9">
              <w:rPr>
                <w:rFonts w:ascii="Gill Sans MT" w:hAnsi="Gill Sans MT"/>
                <w:sz w:val="18"/>
              </w:rPr>
              <w:t>Alcohol and Drug</w:t>
            </w:r>
            <w:r w:rsidRPr="009146F9">
              <w:rPr>
                <w:rFonts w:ascii="Gill Sans MT" w:hAnsi="Gill Sans MT"/>
                <w:sz w:val="18"/>
              </w:rPr>
              <w:t xml:space="preserve"> Foundation 2016</w:t>
            </w:r>
          </w:p>
        </w:tc>
      </w:tr>
    </w:tbl>
    <w:p w:rsidR="00C07138" w:rsidRPr="009146F9" w:rsidRDefault="00C07138" w:rsidP="00FC47DF">
      <w:pPr>
        <w:pStyle w:val="ListParagraph"/>
        <w:keepNext/>
        <w:numPr>
          <w:ilvl w:val="0"/>
          <w:numId w:val="1"/>
        </w:numPr>
        <w:spacing w:before="120" w:after="120" w:line="280" w:lineRule="atLeast"/>
        <w:rPr>
          <w:rFonts w:ascii="Gill Sans MT" w:hAnsi="Gill Sans MT"/>
        </w:rPr>
      </w:pPr>
      <w:r w:rsidRPr="009146F9">
        <w:rPr>
          <w:rFonts w:ascii="Gill Sans MT" w:hAnsi="Gill Sans MT"/>
        </w:rPr>
        <w:t>The Road Safety Advisory Council (RSAC) continues to heavily promote the anti-</w:t>
      </w:r>
      <w:proofErr w:type="spellStart"/>
      <w:r w:rsidRPr="009146F9">
        <w:rPr>
          <w:rFonts w:ascii="Gill Sans MT" w:hAnsi="Gill Sans MT"/>
        </w:rPr>
        <w:t>drink</w:t>
      </w:r>
      <w:proofErr w:type="spellEnd"/>
      <w:r w:rsidRPr="009146F9">
        <w:rPr>
          <w:rFonts w:ascii="Gill Sans MT" w:hAnsi="Gill Sans MT"/>
        </w:rPr>
        <w:t xml:space="preserve"> driving message with its </w:t>
      </w:r>
      <w:r w:rsidRPr="009146F9">
        <w:rPr>
          <w:rFonts w:ascii="Gill Sans MT" w:hAnsi="Gill Sans MT"/>
          <w:i/>
        </w:rPr>
        <w:t>Real Mates Don’t Let Mates Drink Drive</w:t>
      </w:r>
      <w:r w:rsidRPr="009146F9">
        <w:rPr>
          <w:rFonts w:ascii="Gill Sans MT" w:hAnsi="Gill Sans MT"/>
        </w:rPr>
        <w:t xml:space="preserve"> campaign. The campaign was </w:t>
      </w:r>
      <w:r w:rsidR="00CF1B1F" w:rsidRPr="009146F9">
        <w:rPr>
          <w:rFonts w:ascii="Gill Sans MT" w:hAnsi="Gill Sans MT"/>
        </w:rPr>
        <w:t xml:space="preserve">initially </w:t>
      </w:r>
      <w:r w:rsidRPr="009146F9">
        <w:rPr>
          <w:rFonts w:ascii="Gill Sans MT" w:hAnsi="Gill Sans MT"/>
        </w:rPr>
        <w:t xml:space="preserve">launched in August 2012 to support changing drinking behaviours of young male drivers who are at high risk of being involved in a serious casualty crash where alcohol is a factor.  </w:t>
      </w:r>
    </w:p>
    <w:p w:rsidR="00C07138" w:rsidRPr="009146F9" w:rsidRDefault="00C07138" w:rsidP="00FC47DF">
      <w:pPr>
        <w:pStyle w:val="ListParagraph"/>
        <w:keepNext/>
        <w:numPr>
          <w:ilvl w:val="1"/>
          <w:numId w:val="1"/>
        </w:numPr>
        <w:spacing w:before="120" w:after="120" w:line="280" w:lineRule="atLeast"/>
        <w:rPr>
          <w:rFonts w:ascii="Gill Sans MT" w:hAnsi="Gill Sans MT"/>
        </w:rPr>
      </w:pPr>
      <w:r w:rsidRPr="009146F9">
        <w:rPr>
          <w:rFonts w:ascii="Gill Sans MT" w:hAnsi="Gill Sans MT"/>
        </w:rPr>
        <w:t>The campaign is now in its fifth year (Phase Five) and continues to perform well.</w:t>
      </w:r>
    </w:p>
    <w:p w:rsidR="00C07138" w:rsidRPr="009146F9" w:rsidRDefault="00C07138" w:rsidP="00FC47DF">
      <w:pPr>
        <w:pStyle w:val="ListParagraph"/>
        <w:keepNext/>
        <w:numPr>
          <w:ilvl w:val="1"/>
          <w:numId w:val="1"/>
        </w:numPr>
        <w:spacing w:before="120" w:after="120" w:line="280" w:lineRule="atLeast"/>
        <w:rPr>
          <w:rFonts w:ascii="Gill Sans MT" w:hAnsi="Gill Sans MT"/>
        </w:rPr>
      </w:pPr>
      <w:r w:rsidRPr="009146F9">
        <w:rPr>
          <w:rFonts w:ascii="Gill Sans MT" w:hAnsi="Gill Sans MT"/>
        </w:rPr>
        <w:t>Latest market research shows an outstanding awareness rate of 70 per cent.</w:t>
      </w:r>
    </w:p>
    <w:p w:rsidR="00C07138" w:rsidRPr="009146F9" w:rsidRDefault="00C07138" w:rsidP="00FC47DF">
      <w:pPr>
        <w:pStyle w:val="ListParagraph"/>
        <w:keepNext/>
        <w:numPr>
          <w:ilvl w:val="1"/>
          <w:numId w:val="1"/>
        </w:numPr>
        <w:spacing w:before="120" w:after="120" w:line="280" w:lineRule="atLeast"/>
        <w:rPr>
          <w:rFonts w:ascii="Gill Sans MT" w:hAnsi="Gill Sans MT"/>
        </w:rPr>
      </w:pPr>
      <w:r w:rsidRPr="009146F9">
        <w:rPr>
          <w:rFonts w:ascii="Gill Sans MT" w:hAnsi="Gill Sans MT"/>
        </w:rPr>
        <w:t>Road crash statistics involving alcohol I the male 17 to 25 age group have decreased by 20 per cent since the launch of the campaign.</w:t>
      </w:r>
    </w:p>
    <w:p w:rsidR="00C07138" w:rsidRPr="009146F9" w:rsidRDefault="00C07138" w:rsidP="00FC47DF">
      <w:pPr>
        <w:pStyle w:val="ListParagraph"/>
        <w:keepNext/>
        <w:numPr>
          <w:ilvl w:val="1"/>
          <w:numId w:val="1"/>
        </w:numPr>
        <w:spacing w:before="120" w:after="120" w:line="280" w:lineRule="atLeast"/>
        <w:rPr>
          <w:rFonts w:ascii="Gill Sans MT" w:hAnsi="Gill Sans MT"/>
        </w:rPr>
      </w:pPr>
      <w:r w:rsidRPr="009146F9">
        <w:rPr>
          <w:rFonts w:ascii="Gill Sans MT" w:hAnsi="Gill Sans MT"/>
        </w:rPr>
        <w:t>Various promotional materials are distributed to support the campaign (Table 1.2).</w:t>
      </w:r>
    </w:p>
    <w:p w:rsidR="00FB07B5" w:rsidRPr="009146F9" w:rsidRDefault="00FB07B5" w:rsidP="00FC47DF">
      <w:pPr>
        <w:keepNext/>
        <w:spacing w:before="120" w:after="120" w:line="280" w:lineRule="atLeast"/>
        <w:ind w:left="720"/>
        <w:rPr>
          <w:rFonts w:ascii="Gill Sans MT" w:hAnsi="Gill Sans MT"/>
          <w:b/>
          <w:sz w:val="20"/>
        </w:rPr>
      </w:pPr>
      <w:r w:rsidRPr="009146F9">
        <w:rPr>
          <w:rFonts w:ascii="Gill Sans MT" w:hAnsi="Gill Sans MT"/>
          <w:b/>
          <w:sz w:val="20"/>
        </w:rPr>
        <w:br w:type="page"/>
      </w:r>
    </w:p>
    <w:p w:rsidR="00C07138" w:rsidRPr="009146F9" w:rsidRDefault="00C07138" w:rsidP="00FC47DF">
      <w:pPr>
        <w:keepNext/>
        <w:spacing w:before="120" w:after="120" w:line="280" w:lineRule="atLeast"/>
        <w:ind w:left="720"/>
        <w:rPr>
          <w:rFonts w:ascii="Gill Sans MT" w:hAnsi="Gill Sans MT"/>
          <w:sz w:val="20"/>
        </w:rPr>
      </w:pPr>
      <w:r w:rsidRPr="009146F9">
        <w:rPr>
          <w:rFonts w:ascii="Gill Sans MT" w:hAnsi="Gill Sans MT"/>
          <w:b/>
          <w:sz w:val="20"/>
        </w:rPr>
        <w:t>Table 1.2:</w:t>
      </w:r>
      <w:r w:rsidRPr="009146F9">
        <w:rPr>
          <w:rFonts w:ascii="Gill Sans MT" w:hAnsi="Gill Sans MT"/>
          <w:sz w:val="20"/>
        </w:rPr>
        <w:t xml:space="preserve"> </w:t>
      </w:r>
      <w:r w:rsidRPr="009146F9">
        <w:rPr>
          <w:rFonts w:ascii="Gill Sans MT" w:hAnsi="Gill Sans MT"/>
          <w:i/>
          <w:sz w:val="20"/>
        </w:rPr>
        <w:t>Real Mates</w:t>
      </w:r>
      <w:r w:rsidRPr="009146F9">
        <w:rPr>
          <w:rFonts w:ascii="Gill Sans MT" w:hAnsi="Gill Sans MT"/>
          <w:sz w:val="20"/>
        </w:rPr>
        <w:t xml:space="preserve"> Campaign Promotional Distributions 2010-2016</w:t>
      </w:r>
    </w:p>
    <w:tbl>
      <w:tblPr>
        <w:tblStyle w:val="TableGrid"/>
        <w:tblW w:w="0" w:type="auto"/>
        <w:tblInd w:w="817" w:type="dxa"/>
        <w:tblLayout w:type="fixed"/>
        <w:tblCellMar>
          <w:top w:w="57" w:type="dxa"/>
          <w:left w:w="57" w:type="dxa"/>
          <w:bottom w:w="57" w:type="dxa"/>
          <w:right w:w="57" w:type="dxa"/>
        </w:tblCellMar>
        <w:tblLook w:val="04A0" w:firstRow="1" w:lastRow="0" w:firstColumn="1" w:lastColumn="0" w:noHBand="0" w:noVBand="1"/>
        <w:tblCaption w:val="Table 1.2"/>
        <w:tblDescription w:val="Real Mates Campaign "/>
      </w:tblPr>
      <w:tblGrid>
        <w:gridCol w:w="3351"/>
        <w:gridCol w:w="760"/>
        <w:gridCol w:w="709"/>
        <w:gridCol w:w="708"/>
        <w:gridCol w:w="709"/>
        <w:gridCol w:w="709"/>
      </w:tblGrid>
      <w:tr w:rsidR="00C07138" w:rsidRPr="009146F9" w:rsidTr="001F0555">
        <w:trPr>
          <w:tblHeader/>
        </w:trPr>
        <w:tc>
          <w:tcPr>
            <w:tcW w:w="3351" w:type="dxa"/>
            <w:tcBorders>
              <w:top w:val="nil"/>
              <w:left w:val="nil"/>
            </w:tcBorders>
            <w:shd w:val="clear" w:color="auto" w:fill="FFFFFF" w:themeFill="background1"/>
          </w:tcPr>
          <w:p w:rsidR="00C07138" w:rsidRPr="009146F9" w:rsidRDefault="00C07138" w:rsidP="00FC47DF">
            <w:pPr>
              <w:keepNext/>
              <w:spacing w:line="280" w:lineRule="atLeast"/>
              <w:rPr>
                <w:rFonts w:ascii="Gill Sans MT" w:hAnsi="Gill Sans MT"/>
                <w:b/>
                <w:sz w:val="18"/>
              </w:rPr>
            </w:pPr>
          </w:p>
        </w:tc>
        <w:tc>
          <w:tcPr>
            <w:tcW w:w="760"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Year 1</w:t>
            </w:r>
          </w:p>
        </w:tc>
        <w:tc>
          <w:tcPr>
            <w:tcW w:w="709"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Year 2</w:t>
            </w:r>
          </w:p>
        </w:tc>
        <w:tc>
          <w:tcPr>
            <w:tcW w:w="708"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Year 3</w:t>
            </w:r>
          </w:p>
        </w:tc>
        <w:tc>
          <w:tcPr>
            <w:tcW w:w="709"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Year 4</w:t>
            </w:r>
          </w:p>
        </w:tc>
        <w:tc>
          <w:tcPr>
            <w:tcW w:w="709"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Year 5</w:t>
            </w:r>
          </w:p>
        </w:tc>
      </w:tr>
      <w:tr w:rsidR="00C07138" w:rsidRPr="009146F9" w:rsidTr="001F0555">
        <w:trPr>
          <w:tblHeader/>
        </w:trPr>
        <w:tc>
          <w:tcPr>
            <w:tcW w:w="3351"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Material Distributed</w:t>
            </w:r>
          </w:p>
        </w:tc>
        <w:tc>
          <w:tcPr>
            <w:tcW w:w="760"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2012</w:t>
            </w:r>
          </w:p>
        </w:tc>
        <w:tc>
          <w:tcPr>
            <w:tcW w:w="709"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2013</w:t>
            </w:r>
          </w:p>
        </w:tc>
        <w:tc>
          <w:tcPr>
            <w:tcW w:w="708"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2014</w:t>
            </w:r>
          </w:p>
        </w:tc>
        <w:tc>
          <w:tcPr>
            <w:tcW w:w="709"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2015</w:t>
            </w:r>
          </w:p>
        </w:tc>
        <w:tc>
          <w:tcPr>
            <w:tcW w:w="709"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2016</w:t>
            </w:r>
          </w:p>
        </w:tc>
      </w:tr>
      <w:tr w:rsidR="00C07138" w:rsidRPr="009146F9" w:rsidTr="001B7277">
        <w:tc>
          <w:tcPr>
            <w:tcW w:w="3351"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i/>
                <w:sz w:val="20"/>
              </w:rPr>
              <w:t xml:space="preserve">Real Mates </w:t>
            </w:r>
            <w:r w:rsidRPr="009146F9">
              <w:rPr>
                <w:rFonts w:ascii="Gill Sans MT" w:hAnsi="Gill Sans MT"/>
                <w:sz w:val="20"/>
              </w:rPr>
              <w:t>Drink Bottles</w:t>
            </w:r>
          </w:p>
        </w:tc>
        <w:tc>
          <w:tcPr>
            <w:tcW w:w="760"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4000</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4000</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5000</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5000</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5000</w:t>
            </w:r>
          </w:p>
        </w:tc>
      </w:tr>
      <w:tr w:rsidR="00C07138" w:rsidRPr="009146F9" w:rsidTr="001B7277">
        <w:tc>
          <w:tcPr>
            <w:tcW w:w="3351"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i/>
                <w:sz w:val="20"/>
              </w:rPr>
              <w:t xml:space="preserve">Real Mates </w:t>
            </w:r>
            <w:r w:rsidRPr="009146F9">
              <w:rPr>
                <w:rFonts w:ascii="Gill Sans MT" w:hAnsi="Gill Sans MT"/>
                <w:sz w:val="20"/>
              </w:rPr>
              <w:t>T Shirts (final day only)</w:t>
            </w:r>
          </w:p>
        </w:tc>
        <w:tc>
          <w:tcPr>
            <w:tcW w:w="760"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200</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r>
      <w:tr w:rsidR="00C07138" w:rsidRPr="009146F9" w:rsidTr="001B7277">
        <w:tc>
          <w:tcPr>
            <w:tcW w:w="3351"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i/>
                <w:sz w:val="20"/>
              </w:rPr>
              <w:t>Real Mates Caps</w:t>
            </w:r>
            <w:r w:rsidRPr="009146F9">
              <w:rPr>
                <w:rFonts w:ascii="Gill Sans MT" w:hAnsi="Gill Sans MT"/>
                <w:sz w:val="20"/>
              </w:rPr>
              <w:t xml:space="preserve"> - (restricted limit)</w:t>
            </w:r>
          </w:p>
        </w:tc>
        <w:tc>
          <w:tcPr>
            <w:tcW w:w="760"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3000</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3000</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2500</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500</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500</w:t>
            </w:r>
          </w:p>
        </w:tc>
      </w:tr>
      <w:tr w:rsidR="00C07138" w:rsidRPr="009146F9" w:rsidTr="001B7277">
        <w:tc>
          <w:tcPr>
            <w:tcW w:w="3351"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i/>
                <w:sz w:val="20"/>
              </w:rPr>
              <w:t>Real Mates</w:t>
            </w:r>
            <w:r w:rsidRPr="009146F9">
              <w:rPr>
                <w:rFonts w:ascii="Gill Sans MT" w:hAnsi="Gill Sans MT"/>
                <w:sz w:val="20"/>
              </w:rPr>
              <w:t xml:space="preserve"> Cooler Packs</w:t>
            </w:r>
          </w:p>
        </w:tc>
        <w:tc>
          <w:tcPr>
            <w:tcW w:w="760"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8"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1000</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1000</w:t>
            </w:r>
          </w:p>
        </w:tc>
        <w:tc>
          <w:tcPr>
            <w:tcW w:w="709"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r>
      <w:tr w:rsidR="00C07138" w:rsidRPr="009146F9" w:rsidTr="00230BDD">
        <w:tc>
          <w:tcPr>
            <w:tcW w:w="3351" w:type="dxa"/>
            <w:tcBorders>
              <w:bottom w:val="single" w:sz="4" w:space="0" w:color="auto"/>
            </w:tcBorders>
          </w:tcPr>
          <w:p w:rsidR="00C07138" w:rsidRPr="009146F9" w:rsidRDefault="00C07138" w:rsidP="00FC47DF">
            <w:pPr>
              <w:keepNext/>
              <w:spacing w:line="280" w:lineRule="atLeast"/>
              <w:rPr>
                <w:rFonts w:ascii="Gill Sans MT" w:hAnsi="Gill Sans MT"/>
                <w:sz w:val="20"/>
              </w:rPr>
            </w:pPr>
            <w:r w:rsidRPr="009146F9">
              <w:rPr>
                <w:rFonts w:ascii="Gill Sans MT" w:hAnsi="Gill Sans MT"/>
                <w:i/>
                <w:sz w:val="20"/>
              </w:rPr>
              <w:t>Real Mates</w:t>
            </w:r>
            <w:r w:rsidRPr="009146F9">
              <w:rPr>
                <w:rFonts w:ascii="Gill Sans MT" w:hAnsi="Gill Sans MT"/>
                <w:sz w:val="20"/>
              </w:rPr>
              <w:t xml:space="preserve"> Ponchos</w:t>
            </w:r>
          </w:p>
        </w:tc>
        <w:tc>
          <w:tcPr>
            <w:tcW w:w="760" w:type="dxa"/>
            <w:tcBorders>
              <w:bottom w:val="single" w:sz="4" w:space="0" w:color="auto"/>
            </w:tcBorders>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Borders>
              <w:bottom w:val="single" w:sz="4" w:space="0" w:color="auto"/>
            </w:tcBorders>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8" w:type="dxa"/>
            <w:tcBorders>
              <w:bottom w:val="single" w:sz="4" w:space="0" w:color="auto"/>
            </w:tcBorders>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w:t>
            </w:r>
          </w:p>
        </w:tc>
        <w:tc>
          <w:tcPr>
            <w:tcW w:w="709" w:type="dxa"/>
            <w:tcBorders>
              <w:bottom w:val="single" w:sz="4" w:space="0" w:color="auto"/>
            </w:tcBorders>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200</w:t>
            </w:r>
          </w:p>
        </w:tc>
        <w:tc>
          <w:tcPr>
            <w:tcW w:w="709" w:type="dxa"/>
            <w:tcBorders>
              <w:bottom w:val="single" w:sz="4" w:space="0" w:color="auto"/>
            </w:tcBorders>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200</w:t>
            </w:r>
          </w:p>
        </w:tc>
      </w:tr>
      <w:tr w:rsidR="00C07138" w:rsidRPr="009146F9" w:rsidTr="00230BDD">
        <w:tc>
          <w:tcPr>
            <w:tcW w:w="6946" w:type="dxa"/>
            <w:gridSpan w:val="6"/>
            <w:tcBorders>
              <w:top w:val="single" w:sz="4" w:space="0" w:color="auto"/>
              <w:left w:val="single" w:sz="4" w:space="0" w:color="auto"/>
              <w:bottom w:val="single" w:sz="4" w:space="0" w:color="auto"/>
              <w:right w:val="single" w:sz="4" w:space="0" w:color="auto"/>
            </w:tcBorders>
          </w:tcPr>
          <w:p w:rsidR="00C07138" w:rsidRPr="009146F9" w:rsidRDefault="00C07138" w:rsidP="00FC47DF">
            <w:pPr>
              <w:keepNext/>
              <w:spacing w:line="280" w:lineRule="atLeast"/>
              <w:rPr>
                <w:rFonts w:ascii="Gill Sans MT" w:hAnsi="Gill Sans MT"/>
                <w:i/>
                <w:sz w:val="18"/>
              </w:rPr>
            </w:pPr>
            <w:r w:rsidRPr="009146F9">
              <w:rPr>
                <w:rFonts w:ascii="Gill Sans MT" w:hAnsi="Gill Sans MT"/>
                <w:i/>
                <w:sz w:val="18"/>
              </w:rPr>
              <w:t xml:space="preserve">Source: </w:t>
            </w:r>
            <w:r w:rsidRPr="009146F9">
              <w:rPr>
                <w:rFonts w:ascii="Gill Sans MT" w:hAnsi="Gill Sans MT"/>
                <w:sz w:val="18"/>
              </w:rPr>
              <w:t>Department of State Growth Road Safety Advisory Council - November 2016</w:t>
            </w:r>
          </w:p>
        </w:tc>
      </w:tr>
    </w:tbl>
    <w:p w:rsidR="002C2239" w:rsidRPr="009146F9" w:rsidRDefault="002C2239" w:rsidP="009146F9">
      <w:pPr>
        <w:pStyle w:val="Heading2"/>
      </w:pPr>
    </w:p>
    <w:p w:rsidR="00C07138" w:rsidRPr="009146F9" w:rsidRDefault="00C07138" w:rsidP="009146F9">
      <w:pPr>
        <w:pStyle w:val="Heading2"/>
      </w:pPr>
      <w:bookmarkStart w:id="10" w:name="_Toc476322098"/>
      <w:r w:rsidRPr="009146F9">
        <w:t>Key Strategy 2 - An effective system for controlling the supply of alcohol in Tasmania</w:t>
      </w:r>
      <w:bookmarkEnd w:id="10"/>
    </w:p>
    <w:p w:rsidR="00A77510" w:rsidRPr="009146F9" w:rsidRDefault="00A77510" w:rsidP="00FC47DF">
      <w:pPr>
        <w:keepNext/>
        <w:widowControl w:val="0"/>
        <w:spacing w:before="120" w:after="120" w:line="280" w:lineRule="atLeast"/>
        <w:rPr>
          <w:rFonts w:ascii="Gill Sans MT" w:hAnsi="Gill Sans MT" w:cs="Gill Sans MT"/>
          <w:lang w:eastAsia="en-AU"/>
        </w:rPr>
      </w:pPr>
      <w:r w:rsidRPr="009146F9">
        <w:rPr>
          <w:rFonts w:ascii="Gill Sans MT" w:hAnsi="Gill Sans MT" w:cs="Gill Sans MT"/>
          <w:lang w:eastAsia="en-AU"/>
        </w:rPr>
        <w:t>The identified areas for actions are:</w:t>
      </w:r>
    </w:p>
    <w:p w:rsidR="00A77510" w:rsidRPr="009146F9" w:rsidRDefault="00A77510" w:rsidP="00FC47DF">
      <w:pPr>
        <w:keepNext/>
        <w:numPr>
          <w:ilvl w:val="1"/>
          <w:numId w:val="14"/>
        </w:numPr>
        <w:spacing w:before="120" w:after="120" w:line="280" w:lineRule="atLeast"/>
        <w:ind w:left="567" w:hanging="283"/>
        <w:rPr>
          <w:rFonts w:ascii="Gill Sans MT" w:hAnsi="Gill Sans MT" w:cs="Arial"/>
        </w:rPr>
      </w:pPr>
      <w:r w:rsidRPr="009146F9">
        <w:rPr>
          <w:rFonts w:ascii="Gill Sans MT" w:hAnsi="Gill Sans MT" w:cs="Arial"/>
        </w:rPr>
        <w:t>reviewing legislation to ensure there is appropriate and consistent legislative and regulatory framework to support the control and supply of alcohol, with an effective and systematic compliance enforcement regime, including mechanisms to deal with complaints about licensee activities and breaches in a timely, appropriate and transparent manner</w:t>
      </w:r>
    </w:p>
    <w:p w:rsidR="00A77510" w:rsidRPr="009146F9" w:rsidRDefault="00A77510" w:rsidP="00FC47DF">
      <w:pPr>
        <w:keepNext/>
        <w:numPr>
          <w:ilvl w:val="1"/>
          <w:numId w:val="14"/>
        </w:numPr>
        <w:spacing w:before="120" w:after="120" w:line="280" w:lineRule="atLeast"/>
        <w:ind w:left="567" w:hanging="283"/>
        <w:rPr>
          <w:rFonts w:ascii="Gill Sans MT" w:hAnsi="Gill Sans MT" w:cs="Arial"/>
        </w:rPr>
      </w:pPr>
      <w:r w:rsidRPr="009146F9">
        <w:rPr>
          <w:rFonts w:ascii="Gill Sans MT" w:hAnsi="Gill Sans MT" w:cs="Arial"/>
        </w:rPr>
        <w:t>reviewing legislation to provide the opportunity for police, Public Health, local councils and industry to provide input and influence the licensing process</w:t>
      </w:r>
      <w:r w:rsidRPr="009146F9" w:rsidDel="00E96520">
        <w:rPr>
          <w:rFonts w:ascii="Gill Sans MT" w:hAnsi="Gill Sans MT" w:cs="Arial"/>
        </w:rPr>
        <w:t xml:space="preserve"> </w:t>
      </w:r>
      <w:r w:rsidRPr="009146F9">
        <w:rPr>
          <w:rFonts w:ascii="Gill Sans MT" w:hAnsi="Gill Sans MT" w:cs="Arial"/>
        </w:rPr>
        <w:t>to ensure that the public health and wellbeing, community safety, planning and development, and economic impact are appropriately considered in licensing decisions</w:t>
      </w:r>
    </w:p>
    <w:p w:rsidR="00A77510" w:rsidRPr="009146F9" w:rsidRDefault="00A77510" w:rsidP="00FC47DF">
      <w:pPr>
        <w:keepNext/>
        <w:numPr>
          <w:ilvl w:val="1"/>
          <w:numId w:val="14"/>
        </w:numPr>
        <w:spacing w:before="120" w:after="120" w:line="280" w:lineRule="atLeast"/>
        <w:ind w:left="567" w:hanging="283"/>
        <w:rPr>
          <w:rFonts w:ascii="Gill Sans MT" w:hAnsi="Gill Sans MT" w:cs="Arial"/>
        </w:rPr>
      </w:pPr>
      <w:r w:rsidRPr="009146F9">
        <w:rPr>
          <w:rFonts w:ascii="Gill Sans MT" w:hAnsi="Gill Sans MT" w:cs="Arial"/>
        </w:rPr>
        <w:t>supporting national initiatives aimed at reducing the levels of, and harms from intoxication, including alcohol pricing, advertising and promotion restrictions and warning label requirements</w:t>
      </w:r>
    </w:p>
    <w:p w:rsidR="00A77510" w:rsidRPr="009146F9" w:rsidRDefault="00A77510" w:rsidP="00FC47DF">
      <w:pPr>
        <w:keepNext/>
        <w:numPr>
          <w:ilvl w:val="1"/>
          <w:numId w:val="14"/>
        </w:numPr>
        <w:spacing w:before="120" w:after="120" w:line="280" w:lineRule="atLeast"/>
        <w:ind w:left="567" w:hanging="283"/>
        <w:rPr>
          <w:rFonts w:ascii="Gill Sans MT" w:hAnsi="Gill Sans MT" w:cs="Arial"/>
        </w:rPr>
      </w:pPr>
      <w:r w:rsidRPr="009146F9">
        <w:rPr>
          <w:rFonts w:ascii="Gill Sans MT" w:hAnsi="Gill Sans MT" w:cs="Arial"/>
        </w:rPr>
        <w:t>increasing the capacity of police, liquor licensing and the community to enhance enforcement of liquor licensing laws pertaining to the serving of intoxicated people</w:t>
      </w:r>
    </w:p>
    <w:p w:rsidR="00E30628" w:rsidRPr="009146F9" w:rsidRDefault="00E30628" w:rsidP="00FC47DF">
      <w:pPr>
        <w:keepNext/>
        <w:widowControl w:val="0"/>
        <w:spacing w:before="120" w:after="120" w:line="280" w:lineRule="atLeast"/>
        <w:rPr>
          <w:rFonts w:ascii="Gill Sans MT" w:hAnsi="Gill Sans MT" w:cs="Gill Sans MT"/>
          <w:lang w:eastAsia="en-AU"/>
        </w:rPr>
      </w:pPr>
      <w:r w:rsidRPr="009146F9">
        <w:rPr>
          <w:rFonts w:ascii="Gill Sans MT" w:hAnsi="Gill Sans MT" w:cs="Gill Sans MT"/>
          <w:lang w:eastAsia="en-AU"/>
        </w:rPr>
        <w:t>The following activities have been undertaken to support changing the drinking culture in Tasmania:</w:t>
      </w:r>
    </w:p>
    <w:p w:rsidR="004A47CD" w:rsidRPr="009146F9" w:rsidRDefault="004A47CD" w:rsidP="00FC47DF">
      <w:pPr>
        <w:pStyle w:val="ListParagraph"/>
        <w:keepNext/>
        <w:widowControl w:val="0"/>
        <w:numPr>
          <w:ilvl w:val="0"/>
          <w:numId w:val="16"/>
        </w:numPr>
        <w:autoSpaceDE w:val="0"/>
        <w:autoSpaceDN w:val="0"/>
        <w:adjustRightInd w:val="0"/>
        <w:spacing w:before="120" w:after="120" w:line="280" w:lineRule="atLeast"/>
        <w:contextualSpacing w:val="0"/>
        <w:rPr>
          <w:rFonts w:ascii="Gill Sans MT" w:hAnsi="Gill Sans MT" w:cs="Arial"/>
          <w:i/>
        </w:rPr>
      </w:pPr>
      <w:r w:rsidRPr="009146F9">
        <w:rPr>
          <w:rFonts w:ascii="Gill Sans MT" w:hAnsi="Gill Sans MT"/>
          <w:szCs w:val="23"/>
        </w:rPr>
        <w:t xml:space="preserve">Actions under Key Strategy No.2 of the TAAF included a review of Tasmanian legislation.  This process commenced with an independent Legislative Scoping Study of the legislative and regulatory framework dealing with the sale of alcohol and the management of alcohol related harm in Tasmania.  The scoping study was collaboratively funded by the </w:t>
      </w:r>
      <w:r w:rsidRPr="009146F9">
        <w:rPr>
          <w:rFonts w:ascii="Gill Sans MT" w:hAnsi="Gill Sans MT" w:cs="Arial"/>
        </w:rPr>
        <w:t xml:space="preserve">Department of Health and Human Services; the Department of Police, Fire and Emergency Management; the Liquor and Gaming Branch, Department of Treasury and Finance; and the Alcohol, Tobacco and Other Drugs Council (ATDC).  </w:t>
      </w:r>
    </w:p>
    <w:p w:rsidR="004A47CD" w:rsidRPr="009146F9" w:rsidRDefault="004A47CD" w:rsidP="00FC47DF">
      <w:pPr>
        <w:pStyle w:val="ListParagraph"/>
        <w:keepNext/>
        <w:widowControl w:val="0"/>
        <w:numPr>
          <w:ilvl w:val="0"/>
          <w:numId w:val="16"/>
        </w:numPr>
        <w:autoSpaceDE w:val="0"/>
        <w:autoSpaceDN w:val="0"/>
        <w:adjustRightInd w:val="0"/>
        <w:spacing w:before="120" w:after="120" w:line="280" w:lineRule="atLeast"/>
        <w:contextualSpacing w:val="0"/>
        <w:rPr>
          <w:rFonts w:ascii="Gill Sans MT" w:hAnsi="Gill Sans MT" w:cs="Arial"/>
          <w:i/>
        </w:rPr>
      </w:pPr>
      <w:r w:rsidRPr="009146F9">
        <w:rPr>
          <w:rFonts w:ascii="Gill Sans MT" w:hAnsi="Gill Sans MT" w:cs="Arial"/>
        </w:rPr>
        <w:t>Stenning and Associates were contracted to undertake the study</w:t>
      </w:r>
      <w:r w:rsidRPr="009146F9">
        <w:rPr>
          <w:rFonts w:ascii="Gill Sans MT" w:hAnsi="Gill Sans MT"/>
          <w:szCs w:val="23"/>
        </w:rPr>
        <w:t xml:space="preserve"> and the Stenning Report was released to the public in May 2013.  The Report made a number of recommendations to improve the alignment of the legislative and regulatory framework to better support the TAAF, and many of these were considered in the review of the </w:t>
      </w:r>
      <w:r w:rsidRPr="009146F9">
        <w:rPr>
          <w:rFonts w:ascii="Gill Sans MT" w:hAnsi="Gill Sans MT"/>
          <w:i/>
          <w:szCs w:val="23"/>
        </w:rPr>
        <w:t>Liquor Licensing Act 1990</w:t>
      </w:r>
      <w:r w:rsidRPr="009146F9">
        <w:rPr>
          <w:rFonts w:ascii="Gill Sans MT" w:hAnsi="Gill Sans MT"/>
          <w:szCs w:val="23"/>
        </w:rPr>
        <w:t>.</w:t>
      </w:r>
    </w:p>
    <w:p w:rsidR="004A47CD" w:rsidRPr="009146F9" w:rsidRDefault="004A47CD" w:rsidP="00FC47DF">
      <w:pPr>
        <w:pStyle w:val="ListParagraph"/>
        <w:keepNext/>
        <w:widowControl w:val="0"/>
        <w:numPr>
          <w:ilvl w:val="0"/>
          <w:numId w:val="16"/>
        </w:numPr>
        <w:autoSpaceDE w:val="0"/>
        <w:autoSpaceDN w:val="0"/>
        <w:adjustRightInd w:val="0"/>
        <w:spacing w:before="120" w:after="120" w:line="280" w:lineRule="atLeast"/>
        <w:contextualSpacing w:val="0"/>
        <w:rPr>
          <w:rFonts w:ascii="Gill Sans MT" w:hAnsi="Gill Sans MT" w:cs="Arial"/>
          <w:i/>
        </w:rPr>
      </w:pPr>
      <w:r w:rsidRPr="009146F9">
        <w:rPr>
          <w:rFonts w:ascii="Gill Sans MT" w:hAnsi="Gill Sans MT"/>
          <w:szCs w:val="23"/>
        </w:rPr>
        <w:t xml:space="preserve">The second part of the legislative review process was the review of the </w:t>
      </w:r>
      <w:r w:rsidRPr="009146F9">
        <w:rPr>
          <w:rFonts w:ascii="Gill Sans MT" w:hAnsi="Gill Sans MT"/>
          <w:i/>
          <w:szCs w:val="23"/>
        </w:rPr>
        <w:t>Liquor Licensing Act 1990</w:t>
      </w:r>
      <w:r w:rsidRPr="009146F9">
        <w:rPr>
          <w:rFonts w:ascii="Gill Sans MT" w:hAnsi="Gill Sans MT"/>
          <w:szCs w:val="23"/>
        </w:rPr>
        <w:t xml:space="preserve"> by the Department of Treasury and Finance.  This review assessed how effective the Act and its administrative functions in aligning with the aims of the TAAF and to identify areas that required change for the Tasmanian Government’s consideration.  </w:t>
      </w:r>
    </w:p>
    <w:p w:rsidR="00C07138" w:rsidRPr="009146F9" w:rsidRDefault="00C07138" w:rsidP="00FC47DF">
      <w:pPr>
        <w:pStyle w:val="ListParagraph"/>
        <w:keepNext/>
        <w:numPr>
          <w:ilvl w:val="0"/>
          <w:numId w:val="16"/>
        </w:numPr>
        <w:spacing w:before="120" w:after="120" w:line="280" w:lineRule="atLeast"/>
        <w:contextualSpacing w:val="0"/>
        <w:rPr>
          <w:rFonts w:ascii="Gill Sans MT" w:hAnsi="Gill Sans MT"/>
        </w:rPr>
      </w:pPr>
      <w:r w:rsidRPr="009146F9">
        <w:rPr>
          <w:rFonts w:ascii="Gill Sans MT" w:hAnsi="Gill Sans MT"/>
        </w:rPr>
        <w:t>On 1 September 2016, a number of important changes to the Act and its accompanying regulations came into effect in Tasmania.  A major change to the Act was the inclusion of an object provision which clarifies the context and purpose of the legislation and underlies its operation, which provides guidance to its interpretation and provides direction to decision makers.  The object provision comprises the key elements of regulation, harm minimisation and responsible development of industry.  Other major changes include:</w:t>
      </w:r>
    </w:p>
    <w:p w:rsidR="00C07138" w:rsidRPr="009146F9" w:rsidRDefault="00C07138" w:rsidP="00FC47DF">
      <w:pPr>
        <w:pStyle w:val="ListParagraph"/>
        <w:keepNext/>
        <w:numPr>
          <w:ilvl w:val="0"/>
          <w:numId w:val="17"/>
        </w:numPr>
        <w:spacing w:before="120" w:after="120" w:line="280" w:lineRule="atLeast"/>
        <w:ind w:left="1134" w:hanging="425"/>
        <w:contextualSpacing w:val="0"/>
        <w:rPr>
          <w:rFonts w:ascii="Gill Sans MT" w:hAnsi="Gill Sans MT"/>
        </w:rPr>
      </w:pPr>
      <w:r w:rsidRPr="009146F9">
        <w:rPr>
          <w:rFonts w:ascii="Gill Sans MT" w:hAnsi="Gill Sans MT"/>
        </w:rPr>
        <w:t>Clarification of the terms of ‘best interests of the community’ and ‘intoxication’.</w:t>
      </w:r>
    </w:p>
    <w:p w:rsidR="00C07138" w:rsidRPr="009146F9" w:rsidRDefault="00C07138" w:rsidP="00FC47DF">
      <w:pPr>
        <w:pStyle w:val="ListParagraph"/>
        <w:keepNext/>
        <w:numPr>
          <w:ilvl w:val="0"/>
          <w:numId w:val="17"/>
        </w:numPr>
        <w:spacing w:before="120" w:after="120" w:line="280" w:lineRule="atLeast"/>
        <w:ind w:left="1134" w:hanging="425"/>
        <w:contextualSpacing w:val="0"/>
        <w:rPr>
          <w:rFonts w:ascii="Gill Sans MT" w:hAnsi="Gill Sans MT"/>
        </w:rPr>
      </w:pPr>
      <w:r w:rsidRPr="009146F9">
        <w:rPr>
          <w:rFonts w:ascii="Gill Sans MT" w:hAnsi="Gill Sans MT"/>
        </w:rPr>
        <w:t>Requirement for licensees and permit holders to notify the Commissioner for Licensing of certain changes or events taking place within 14 days.</w:t>
      </w:r>
    </w:p>
    <w:p w:rsidR="00C07138" w:rsidRPr="009146F9" w:rsidRDefault="00C07138" w:rsidP="00FC47DF">
      <w:pPr>
        <w:pStyle w:val="ListParagraph"/>
        <w:keepNext/>
        <w:numPr>
          <w:ilvl w:val="0"/>
          <w:numId w:val="17"/>
        </w:numPr>
        <w:spacing w:before="120" w:after="120" w:line="280" w:lineRule="atLeast"/>
        <w:ind w:left="1134" w:hanging="425"/>
        <w:contextualSpacing w:val="0"/>
        <w:rPr>
          <w:rFonts w:ascii="Gill Sans MT" w:hAnsi="Gill Sans MT"/>
        </w:rPr>
      </w:pPr>
      <w:r w:rsidRPr="009146F9">
        <w:rPr>
          <w:rFonts w:ascii="Gill Sans MT" w:hAnsi="Gill Sans MT"/>
        </w:rPr>
        <w:t>Minimum age of 16 years to sell or serve liquor on licensed or permits premises.</w:t>
      </w:r>
    </w:p>
    <w:p w:rsidR="00C07138" w:rsidRPr="009146F9" w:rsidRDefault="00C07138" w:rsidP="00FC47DF">
      <w:pPr>
        <w:pStyle w:val="ListParagraph"/>
        <w:keepNext/>
        <w:numPr>
          <w:ilvl w:val="0"/>
          <w:numId w:val="17"/>
        </w:numPr>
        <w:spacing w:before="120" w:after="120" w:line="280" w:lineRule="atLeast"/>
        <w:ind w:left="1134" w:hanging="425"/>
        <w:contextualSpacing w:val="0"/>
        <w:rPr>
          <w:rFonts w:ascii="Gill Sans MT" w:hAnsi="Gill Sans MT"/>
        </w:rPr>
      </w:pPr>
      <w:r w:rsidRPr="009146F9">
        <w:rPr>
          <w:rFonts w:ascii="Gill Sans MT" w:hAnsi="Gill Sans MT"/>
        </w:rPr>
        <w:t>The ability of the Commissioner to prohibit or restrict advertising or promotion of liquor.</w:t>
      </w:r>
    </w:p>
    <w:p w:rsidR="00C07138" w:rsidRPr="009146F9" w:rsidRDefault="00C07138" w:rsidP="00FC47DF">
      <w:pPr>
        <w:pStyle w:val="ListParagraph"/>
        <w:keepNext/>
        <w:numPr>
          <w:ilvl w:val="0"/>
          <w:numId w:val="17"/>
        </w:numPr>
        <w:spacing w:before="120" w:after="120" w:line="280" w:lineRule="atLeast"/>
        <w:ind w:left="1134" w:hanging="425"/>
        <w:contextualSpacing w:val="0"/>
        <w:rPr>
          <w:rFonts w:ascii="Gill Sans MT" w:hAnsi="Gill Sans MT"/>
        </w:rPr>
      </w:pPr>
      <w:r w:rsidRPr="009146F9">
        <w:rPr>
          <w:rFonts w:ascii="Gill Sans MT" w:hAnsi="Gill Sans MT"/>
        </w:rPr>
        <w:t>The ability of the Minister to prohibit the sale of undesirable liquor products.</w:t>
      </w:r>
    </w:p>
    <w:p w:rsidR="00C07138" w:rsidRPr="009146F9" w:rsidRDefault="00C07138" w:rsidP="00FC47DF">
      <w:pPr>
        <w:pStyle w:val="ListParagraph"/>
        <w:keepNext/>
        <w:numPr>
          <w:ilvl w:val="0"/>
          <w:numId w:val="17"/>
        </w:numPr>
        <w:spacing w:before="120" w:after="120" w:line="280" w:lineRule="atLeast"/>
        <w:ind w:left="1134" w:hanging="425"/>
        <w:contextualSpacing w:val="0"/>
        <w:rPr>
          <w:rFonts w:ascii="Gill Sans MT" w:hAnsi="Gill Sans MT"/>
        </w:rPr>
      </w:pPr>
      <w:r w:rsidRPr="009146F9">
        <w:rPr>
          <w:rFonts w:ascii="Gill Sans MT" w:hAnsi="Gill Sans MT"/>
        </w:rPr>
        <w:t>Tasmania Police, licensees and permit holders can issue barring orders.</w:t>
      </w:r>
    </w:p>
    <w:p w:rsidR="00C07138" w:rsidRPr="009146F9" w:rsidRDefault="00C07138" w:rsidP="00FC47DF">
      <w:pPr>
        <w:pStyle w:val="ListParagraph"/>
        <w:keepNext/>
        <w:numPr>
          <w:ilvl w:val="0"/>
          <w:numId w:val="17"/>
        </w:numPr>
        <w:spacing w:before="120" w:after="120" w:line="280" w:lineRule="atLeast"/>
        <w:ind w:left="1134" w:hanging="425"/>
        <w:contextualSpacing w:val="0"/>
        <w:rPr>
          <w:rFonts w:ascii="Gill Sans MT" w:hAnsi="Gill Sans MT"/>
        </w:rPr>
      </w:pPr>
      <w:r w:rsidRPr="009146F9">
        <w:rPr>
          <w:rFonts w:ascii="Gill Sans MT" w:hAnsi="Gill Sans MT"/>
        </w:rPr>
        <w:t>New obligations and offences for licensees, most now also applying to permit holders.</w:t>
      </w:r>
    </w:p>
    <w:p w:rsidR="00C07138" w:rsidRPr="009146F9" w:rsidRDefault="00C07138" w:rsidP="00FC47DF">
      <w:pPr>
        <w:pStyle w:val="ListParagraph"/>
        <w:keepNext/>
        <w:numPr>
          <w:ilvl w:val="0"/>
          <w:numId w:val="17"/>
        </w:numPr>
        <w:spacing w:before="120" w:after="120" w:line="280" w:lineRule="atLeast"/>
        <w:ind w:left="1134" w:hanging="425"/>
        <w:contextualSpacing w:val="0"/>
        <w:rPr>
          <w:rFonts w:ascii="Gill Sans MT" w:hAnsi="Gill Sans MT"/>
        </w:rPr>
      </w:pPr>
      <w:r w:rsidRPr="009146F9">
        <w:rPr>
          <w:rFonts w:ascii="Gill Sans MT" w:hAnsi="Gill Sans MT"/>
        </w:rPr>
        <w:t>Requirement for certain licensees to provide wholesales liquor supply information on request of the Minister.</w:t>
      </w:r>
    </w:p>
    <w:p w:rsidR="003A2E78" w:rsidRPr="009146F9" w:rsidRDefault="003A2E78" w:rsidP="00FC47DF">
      <w:pPr>
        <w:pStyle w:val="ListParagraph"/>
        <w:keepNext/>
        <w:numPr>
          <w:ilvl w:val="0"/>
          <w:numId w:val="1"/>
        </w:numPr>
        <w:spacing w:before="120" w:after="120" w:line="280" w:lineRule="atLeast"/>
        <w:contextualSpacing w:val="0"/>
        <w:rPr>
          <w:rFonts w:ascii="Gill Sans MT" w:hAnsi="Gill Sans MT"/>
        </w:rPr>
      </w:pPr>
      <w:r w:rsidRPr="009146F9">
        <w:rPr>
          <w:rFonts w:ascii="Gill Sans MT" w:hAnsi="Gill Sans MT"/>
        </w:rPr>
        <w:t xml:space="preserve">The </w:t>
      </w:r>
      <w:r w:rsidRPr="009146F9">
        <w:rPr>
          <w:rFonts w:ascii="Gill Sans MT" w:hAnsi="Gill Sans MT"/>
          <w:i/>
        </w:rPr>
        <w:t>Liquor Licensing Act</w:t>
      </w:r>
      <w:r w:rsidRPr="009146F9">
        <w:rPr>
          <w:rFonts w:ascii="Gill Sans MT" w:hAnsi="Gill Sans MT"/>
        </w:rPr>
        <w:t xml:space="preserve"> is supported by three</w:t>
      </w:r>
      <w:r w:rsidR="00974A52" w:rsidRPr="009146F9">
        <w:rPr>
          <w:rFonts w:ascii="Gill Sans MT" w:hAnsi="Gill Sans MT"/>
        </w:rPr>
        <w:t xml:space="preserve"> </w:t>
      </w:r>
      <w:r w:rsidRPr="009146F9">
        <w:rPr>
          <w:rFonts w:ascii="Gill Sans MT" w:hAnsi="Gill Sans MT"/>
        </w:rPr>
        <w:t>sets of Regulations:</w:t>
      </w:r>
    </w:p>
    <w:p w:rsidR="003A2E78" w:rsidRPr="009146F9" w:rsidRDefault="003A2E78" w:rsidP="00FC47DF">
      <w:pPr>
        <w:pStyle w:val="ListParagraph"/>
        <w:keepNext/>
        <w:numPr>
          <w:ilvl w:val="1"/>
          <w:numId w:val="1"/>
        </w:numPr>
        <w:spacing w:before="120" w:after="120" w:line="280" w:lineRule="atLeast"/>
        <w:contextualSpacing w:val="0"/>
        <w:rPr>
          <w:rFonts w:ascii="Gill Sans MT" w:hAnsi="Gill Sans MT"/>
        </w:rPr>
      </w:pPr>
      <w:r w:rsidRPr="009146F9">
        <w:rPr>
          <w:rFonts w:ascii="Gill Sans MT" w:hAnsi="Gill Sans MT"/>
        </w:rPr>
        <w:t xml:space="preserve">The new </w:t>
      </w:r>
      <w:r w:rsidRPr="009146F9">
        <w:rPr>
          <w:rFonts w:ascii="Gill Sans MT" w:hAnsi="Gill Sans MT"/>
          <w:i/>
        </w:rPr>
        <w:t>Liquor Licensing Regulations 2016</w:t>
      </w:r>
      <w:r w:rsidRPr="009146F9">
        <w:rPr>
          <w:rFonts w:ascii="Gill Sans MT" w:hAnsi="Gill Sans MT"/>
        </w:rPr>
        <w:t xml:space="preserve"> that rescind the Liquor Licensing Regulations 2013</w:t>
      </w:r>
    </w:p>
    <w:p w:rsidR="003A2E78" w:rsidRPr="009146F9" w:rsidRDefault="003A2E78" w:rsidP="00FC47DF">
      <w:pPr>
        <w:pStyle w:val="ListParagraph"/>
        <w:keepNext/>
        <w:numPr>
          <w:ilvl w:val="1"/>
          <w:numId w:val="1"/>
        </w:numPr>
        <w:spacing w:before="120" w:after="120" w:line="280" w:lineRule="atLeast"/>
        <w:contextualSpacing w:val="0"/>
        <w:rPr>
          <w:rFonts w:ascii="Gill Sans MT" w:hAnsi="Gill Sans MT"/>
          <w:i/>
        </w:rPr>
      </w:pPr>
      <w:r w:rsidRPr="009146F9">
        <w:rPr>
          <w:rFonts w:ascii="Gill Sans MT" w:hAnsi="Gill Sans MT"/>
          <w:i/>
        </w:rPr>
        <w:t>Liquor Licensing (Fees) Regulations 2015</w:t>
      </w:r>
    </w:p>
    <w:p w:rsidR="003A2E78" w:rsidRPr="009146F9" w:rsidRDefault="003A2E78" w:rsidP="00FC47DF">
      <w:pPr>
        <w:pStyle w:val="ListParagraph"/>
        <w:keepNext/>
        <w:numPr>
          <w:ilvl w:val="1"/>
          <w:numId w:val="1"/>
        </w:numPr>
        <w:spacing w:before="120" w:after="120" w:line="280" w:lineRule="atLeast"/>
        <w:contextualSpacing w:val="0"/>
        <w:rPr>
          <w:rFonts w:ascii="Gill Sans MT" w:hAnsi="Gill Sans MT"/>
          <w:i/>
        </w:rPr>
      </w:pPr>
      <w:r w:rsidRPr="009146F9">
        <w:rPr>
          <w:rFonts w:ascii="Gill Sans MT" w:hAnsi="Gill Sans MT"/>
          <w:i/>
        </w:rPr>
        <w:t>Liquor Licensing (Infringement Notices) Regulations 2008</w:t>
      </w:r>
    </w:p>
    <w:p w:rsidR="005D25E3" w:rsidRPr="009146F9" w:rsidRDefault="005D25E3" w:rsidP="00FC47DF">
      <w:pPr>
        <w:pStyle w:val="ListParagraph"/>
        <w:keepNext/>
        <w:numPr>
          <w:ilvl w:val="0"/>
          <w:numId w:val="1"/>
        </w:numPr>
        <w:spacing w:before="120" w:after="120" w:line="280" w:lineRule="atLeast"/>
        <w:ind w:left="714" w:hanging="357"/>
        <w:contextualSpacing w:val="0"/>
        <w:rPr>
          <w:rFonts w:ascii="Gill Sans MT" w:hAnsi="Gill Sans MT"/>
        </w:rPr>
      </w:pPr>
      <w:r w:rsidRPr="009146F9">
        <w:rPr>
          <w:rFonts w:ascii="Gill Sans MT" w:hAnsi="Gill Sans MT"/>
        </w:rPr>
        <w:t>The Liquor and Gaming Branch continue to monitor compliance with the Act.  In Tasmania, from 1 July 2010 to 20 June 2016, the Branch recorded 1 031 liquor-related breaches in Tasmania.  Since 2010, 208 liquor licenses have been suspended in Tasmania, and 127 cancelled.</w:t>
      </w:r>
      <w:r w:rsidR="00974A52" w:rsidRPr="009146F9">
        <w:rPr>
          <w:rFonts w:ascii="Gill Sans MT" w:hAnsi="Gill Sans MT"/>
        </w:rPr>
        <w:t xml:space="preserve">  It should be noted that the majority of suspensions and cancellations are not as a result of serious compliance issues, but due to non-payment of annual fees and business closures.</w:t>
      </w:r>
    </w:p>
    <w:p w:rsidR="00C07138" w:rsidRPr="009146F9" w:rsidRDefault="00C07138" w:rsidP="009146F9">
      <w:pPr>
        <w:pStyle w:val="Heading2"/>
      </w:pPr>
      <w:bookmarkStart w:id="11" w:name="_Toc476322099"/>
      <w:r w:rsidRPr="009146F9">
        <w:t>Key Strategy 3 - Providing effective interventions to deal with and prevent alcohol-related harm</w:t>
      </w:r>
      <w:bookmarkEnd w:id="11"/>
    </w:p>
    <w:p w:rsidR="00A77510" w:rsidRPr="009146F9" w:rsidRDefault="00A77510" w:rsidP="00FC47DF">
      <w:pPr>
        <w:keepNext/>
        <w:widowControl w:val="0"/>
        <w:spacing w:before="120" w:after="120" w:line="280" w:lineRule="atLeast"/>
        <w:ind w:left="360" w:hanging="360"/>
        <w:rPr>
          <w:rFonts w:ascii="Gill Sans MT" w:hAnsi="Gill Sans MT" w:cs="Gill Sans MT"/>
          <w:lang w:eastAsia="en-AU"/>
        </w:rPr>
      </w:pPr>
      <w:r w:rsidRPr="009146F9">
        <w:rPr>
          <w:rFonts w:ascii="Gill Sans MT" w:hAnsi="Gill Sans MT" w:cs="Gill Sans MT"/>
          <w:lang w:eastAsia="en-AU"/>
        </w:rPr>
        <w:t>The identified areas for actions are:</w:t>
      </w:r>
    </w:p>
    <w:p w:rsidR="00A77510" w:rsidRPr="009146F9" w:rsidRDefault="00A77510" w:rsidP="00FC47DF">
      <w:pPr>
        <w:keepNext/>
        <w:numPr>
          <w:ilvl w:val="1"/>
          <w:numId w:val="15"/>
        </w:numPr>
        <w:spacing w:before="120" w:after="120" w:line="280" w:lineRule="atLeast"/>
        <w:ind w:left="568" w:hanging="284"/>
        <w:rPr>
          <w:rFonts w:ascii="Gill Sans MT" w:hAnsi="Gill Sans MT" w:cs="Arial"/>
        </w:rPr>
      </w:pPr>
      <w:r w:rsidRPr="009146F9">
        <w:rPr>
          <w:rFonts w:ascii="Gill Sans MT" w:hAnsi="Gill Sans MT" w:cs="Arial"/>
        </w:rPr>
        <w:t>developing and enhancing strategies to address social determinants for risky drinking behaviour, including prevention and early intervention strategies and initiatives to identify and address risk factors for harmful alcohol use to mitigate the emergence or escalation of risky drinking behaviours</w:t>
      </w:r>
    </w:p>
    <w:p w:rsidR="00A77510" w:rsidRPr="009146F9" w:rsidRDefault="00A77510" w:rsidP="00FC47DF">
      <w:pPr>
        <w:keepNext/>
        <w:numPr>
          <w:ilvl w:val="1"/>
          <w:numId w:val="15"/>
        </w:numPr>
        <w:spacing w:before="120" w:after="120" w:line="280" w:lineRule="atLeast"/>
        <w:ind w:left="568" w:hanging="284"/>
        <w:rPr>
          <w:rFonts w:ascii="Gill Sans MT" w:hAnsi="Gill Sans MT" w:cs="Arial"/>
        </w:rPr>
      </w:pPr>
      <w:r w:rsidRPr="009146F9">
        <w:rPr>
          <w:rFonts w:ascii="Gill Sans MT" w:hAnsi="Gill Sans MT" w:cs="Arial"/>
        </w:rPr>
        <w:t>establishing appropriate prevention and intervention strategies targeting high-risk groups and high-risk behaviours</w:t>
      </w:r>
    </w:p>
    <w:p w:rsidR="00A77510" w:rsidRPr="009146F9" w:rsidRDefault="00A77510" w:rsidP="00FC47DF">
      <w:pPr>
        <w:keepNext/>
        <w:numPr>
          <w:ilvl w:val="1"/>
          <w:numId w:val="15"/>
        </w:numPr>
        <w:spacing w:before="120" w:after="120" w:line="280" w:lineRule="atLeast"/>
        <w:ind w:left="568" w:hanging="284"/>
        <w:rPr>
          <w:rFonts w:ascii="Gill Sans MT" w:hAnsi="Gill Sans MT" w:cs="Arial"/>
        </w:rPr>
      </w:pPr>
      <w:r w:rsidRPr="009146F9">
        <w:rPr>
          <w:rFonts w:ascii="Gill Sans MT" w:hAnsi="Gill Sans MT" w:cs="Arial"/>
        </w:rPr>
        <w:t xml:space="preserve">ensuring there are strategies and measures to prevent and reduce alcohol-related injuries including road injuries; and workplace injuries </w:t>
      </w:r>
    </w:p>
    <w:p w:rsidR="00A77510" w:rsidRPr="009146F9" w:rsidRDefault="00A77510" w:rsidP="00FC47DF">
      <w:pPr>
        <w:keepNext/>
        <w:numPr>
          <w:ilvl w:val="1"/>
          <w:numId w:val="15"/>
        </w:numPr>
        <w:spacing w:before="120" w:after="120" w:line="280" w:lineRule="atLeast"/>
        <w:ind w:left="567" w:hanging="283"/>
        <w:rPr>
          <w:rFonts w:ascii="Gill Sans MT" w:hAnsi="Gill Sans MT" w:cs="Arial"/>
        </w:rPr>
      </w:pPr>
      <w:r w:rsidRPr="009146F9">
        <w:rPr>
          <w:rFonts w:ascii="Gill Sans MT" w:hAnsi="Gill Sans MT" w:cs="Arial"/>
        </w:rPr>
        <w:t xml:space="preserve">supporting and implementing specific projects such as environmental improvement strategies, e.g. improved lighting, visibility and thoroughfare; and the promotion of practical strategies to avoid drink-driving, e.g. increased transportation, planning ahead, designated driver </w:t>
      </w:r>
    </w:p>
    <w:p w:rsidR="00A77510" w:rsidRPr="009146F9" w:rsidRDefault="00A77510" w:rsidP="00FC47DF">
      <w:pPr>
        <w:keepNext/>
        <w:numPr>
          <w:ilvl w:val="1"/>
          <w:numId w:val="15"/>
        </w:numPr>
        <w:spacing w:before="120" w:after="120" w:line="280" w:lineRule="atLeast"/>
        <w:ind w:left="567" w:hanging="283"/>
        <w:rPr>
          <w:rFonts w:ascii="Gill Sans MT" w:hAnsi="Gill Sans MT" w:cs="Arial"/>
        </w:rPr>
      </w:pPr>
      <w:r w:rsidRPr="009146F9">
        <w:rPr>
          <w:rFonts w:ascii="Gill Sans MT" w:hAnsi="Gill Sans MT" w:cs="Arial"/>
        </w:rPr>
        <w:t>developing innovative problem-solving court and sentencing approaches to reduce the cycle of alcohol-related offending behaviour and to address the challenges of repeat drink-driving offenders</w:t>
      </w:r>
    </w:p>
    <w:p w:rsidR="00A77510" w:rsidRPr="009146F9" w:rsidRDefault="00A77510" w:rsidP="00FC47DF">
      <w:pPr>
        <w:keepNext/>
        <w:numPr>
          <w:ilvl w:val="1"/>
          <w:numId w:val="15"/>
        </w:numPr>
        <w:spacing w:before="120" w:after="120" w:line="280" w:lineRule="atLeast"/>
        <w:ind w:left="567" w:hanging="283"/>
        <w:rPr>
          <w:rFonts w:ascii="Gill Sans MT" w:hAnsi="Gill Sans MT" w:cs="Arial"/>
        </w:rPr>
      </w:pPr>
      <w:r w:rsidRPr="009146F9">
        <w:rPr>
          <w:rFonts w:ascii="Gill Sans MT" w:hAnsi="Gill Sans MT" w:cs="Arial"/>
        </w:rPr>
        <w:t>ensuring there is an appropriate range and mix of treatment and other services available to ensure people in need of assistance have realistic opportunities to receive advice about a service that is right and accessible for them</w:t>
      </w:r>
    </w:p>
    <w:p w:rsidR="00A77510" w:rsidRPr="009146F9" w:rsidRDefault="00A77510" w:rsidP="00FC47DF">
      <w:pPr>
        <w:keepNext/>
        <w:numPr>
          <w:ilvl w:val="1"/>
          <w:numId w:val="15"/>
        </w:numPr>
        <w:spacing w:before="120" w:after="120" w:line="280" w:lineRule="atLeast"/>
        <w:ind w:left="567" w:hanging="283"/>
        <w:rPr>
          <w:rFonts w:ascii="Gill Sans MT" w:hAnsi="Gill Sans MT" w:cs="Arial"/>
        </w:rPr>
      </w:pPr>
      <w:proofErr w:type="gramStart"/>
      <w:r w:rsidRPr="009146F9">
        <w:rPr>
          <w:rFonts w:ascii="Gill Sans MT" w:hAnsi="Gill Sans MT" w:cs="Arial"/>
        </w:rPr>
        <w:t>improving</w:t>
      </w:r>
      <w:proofErr w:type="gramEnd"/>
      <w:r w:rsidRPr="009146F9">
        <w:rPr>
          <w:rFonts w:ascii="Gill Sans MT" w:hAnsi="Gill Sans MT" w:cs="Arial"/>
        </w:rPr>
        <w:t xml:space="preserve"> and encouraging service system and workforce development responses that operate across the primary, secondary and tertiary treatment continuum.  This means increasing the capacity of the service system to undertake promotion, prevention and early intervention strategies and to undertake alcohol-related harm screening and risk assessment.  This also means enhanced integration of alcohol and other drug interventions within primary health care, correctional primary health and other relevant services to improve linkages and referral mechanisms</w:t>
      </w:r>
    </w:p>
    <w:p w:rsidR="00A77510" w:rsidRPr="009146F9" w:rsidRDefault="00A77510" w:rsidP="00FC47DF">
      <w:pPr>
        <w:keepNext/>
        <w:widowControl w:val="0"/>
        <w:spacing w:before="120" w:after="120" w:line="280" w:lineRule="atLeast"/>
        <w:rPr>
          <w:rFonts w:ascii="Gill Sans MT" w:hAnsi="Gill Sans MT" w:cs="Gill Sans MT"/>
          <w:lang w:eastAsia="en-AU"/>
        </w:rPr>
      </w:pPr>
      <w:r w:rsidRPr="009146F9">
        <w:rPr>
          <w:rFonts w:ascii="Gill Sans MT" w:hAnsi="Gill Sans MT" w:cs="Gill Sans MT"/>
          <w:lang w:eastAsia="en-AU"/>
        </w:rPr>
        <w:t xml:space="preserve">The following activities </w:t>
      </w:r>
      <w:r w:rsidR="00E30628" w:rsidRPr="009146F9">
        <w:rPr>
          <w:rFonts w:ascii="Gill Sans MT" w:hAnsi="Gill Sans MT" w:cs="Gill Sans MT"/>
          <w:lang w:eastAsia="en-AU"/>
        </w:rPr>
        <w:t>have been</w:t>
      </w:r>
      <w:r w:rsidRPr="009146F9">
        <w:rPr>
          <w:rFonts w:ascii="Gill Sans MT" w:hAnsi="Gill Sans MT" w:cs="Gill Sans MT"/>
          <w:lang w:eastAsia="en-AU"/>
        </w:rPr>
        <w:t xml:space="preserve"> undertaken to help provide effective interventions to deal with and prevent alcohol-related harm:</w:t>
      </w:r>
    </w:p>
    <w:p w:rsidR="00C07138" w:rsidRPr="009146F9" w:rsidRDefault="00C07138" w:rsidP="00FC47DF">
      <w:pPr>
        <w:pStyle w:val="ListParagraph"/>
        <w:keepNext/>
        <w:numPr>
          <w:ilvl w:val="0"/>
          <w:numId w:val="9"/>
        </w:numPr>
        <w:spacing w:before="120" w:after="120" w:line="280" w:lineRule="atLeast"/>
        <w:contextualSpacing w:val="0"/>
        <w:rPr>
          <w:rFonts w:ascii="Gill Sans MT" w:hAnsi="Gill Sans MT"/>
        </w:rPr>
      </w:pPr>
      <w:r w:rsidRPr="009146F9">
        <w:rPr>
          <w:rFonts w:ascii="Gill Sans MT" w:hAnsi="Gill Sans MT"/>
        </w:rPr>
        <w:t xml:space="preserve">The Tasmanian Early Intervention Program (TEIP) was </w:t>
      </w:r>
      <w:r w:rsidR="00DB1DAD" w:rsidRPr="009146F9">
        <w:rPr>
          <w:rFonts w:ascii="Gill Sans MT" w:hAnsi="Gill Sans MT"/>
        </w:rPr>
        <w:t xml:space="preserve">introduced </w:t>
      </w:r>
      <w:r w:rsidRPr="009146F9">
        <w:rPr>
          <w:rFonts w:ascii="Gill Sans MT" w:hAnsi="Gill Sans MT"/>
        </w:rPr>
        <w:t>in 201</w:t>
      </w:r>
      <w:r w:rsidR="00F84EAB" w:rsidRPr="009146F9">
        <w:rPr>
          <w:rFonts w:ascii="Gill Sans MT" w:hAnsi="Gill Sans MT"/>
        </w:rPr>
        <w:t>1</w:t>
      </w:r>
      <w:r w:rsidR="00B131F2" w:rsidRPr="009146F9">
        <w:rPr>
          <w:rFonts w:ascii="Gill Sans MT" w:hAnsi="Gill Sans MT"/>
        </w:rPr>
        <w:t xml:space="preserve"> under the Australian Government </w:t>
      </w:r>
      <w:r w:rsidR="00B131F2" w:rsidRPr="009146F9">
        <w:rPr>
          <w:rFonts w:ascii="Gill Sans MT" w:hAnsi="Gill Sans MT"/>
          <w:i/>
        </w:rPr>
        <w:t>N</w:t>
      </w:r>
      <w:r w:rsidR="00F84EAB" w:rsidRPr="009146F9">
        <w:rPr>
          <w:rFonts w:ascii="Gill Sans MT" w:hAnsi="Gill Sans MT"/>
          <w:i/>
        </w:rPr>
        <w:t>ational Binge Drinking Strategy</w:t>
      </w:r>
      <w:r w:rsidR="00F84EAB" w:rsidRPr="009146F9">
        <w:rPr>
          <w:rFonts w:ascii="Gill Sans MT" w:hAnsi="Gill Sans MT"/>
        </w:rPr>
        <w:t xml:space="preserve">. </w:t>
      </w:r>
      <w:r w:rsidR="00283D38" w:rsidRPr="009146F9">
        <w:rPr>
          <w:rFonts w:ascii="Gill Sans MT" w:hAnsi="Gill Sans MT"/>
        </w:rPr>
        <w:t>TEIP is now core business for Tasmania Police and Alcohol and Drug Service (ADS) and t</w:t>
      </w:r>
      <w:r w:rsidR="00F84EAB" w:rsidRPr="009146F9">
        <w:rPr>
          <w:rFonts w:ascii="Gill Sans MT" w:hAnsi="Gill Sans MT"/>
        </w:rPr>
        <w:t>argets young people, under the age of 18 years, who have been apprehended for the possession or consumption of alcohol in a public p</w:t>
      </w:r>
      <w:r w:rsidR="00283D38" w:rsidRPr="009146F9">
        <w:rPr>
          <w:rFonts w:ascii="Gill Sans MT" w:hAnsi="Gill Sans MT"/>
        </w:rPr>
        <w:t xml:space="preserve">lace. </w:t>
      </w:r>
      <w:r w:rsidRPr="009146F9">
        <w:rPr>
          <w:rFonts w:ascii="Gill Sans MT" w:hAnsi="Gill Sans MT"/>
        </w:rPr>
        <w:t xml:space="preserve">Police can issue an informal or formal caution for these offences, and under a formal caution the young offender is referred to the ADS for assessment, information and education intervention.  </w:t>
      </w:r>
      <w:r w:rsidR="005A5256" w:rsidRPr="009146F9">
        <w:rPr>
          <w:rFonts w:ascii="Gill Sans MT" w:hAnsi="Gill Sans MT"/>
        </w:rPr>
        <w:t>As part of the pilot program the following outputs were also delivered:</w:t>
      </w:r>
    </w:p>
    <w:p w:rsidR="00C07138" w:rsidRPr="009146F9" w:rsidRDefault="00C07138" w:rsidP="00FC47DF">
      <w:pPr>
        <w:pStyle w:val="ListParagraph"/>
        <w:keepNext/>
        <w:widowControl w:val="0"/>
        <w:numPr>
          <w:ilvl w:val="0"/>
          <w:numId w:val="18"/>
        </w:numPr>
        <w:spacing w:before="120" w:after="120" w:line="280" w:lineRule="atLeast"/>
        <w:ind w:left="1134" w:hanging="425"/>
        <w:contextualSpacing w:val="0"/>
        <w:rPr>
          <w:rFonts w:ascii="Gill Sans MT" w:hAnsi="Gill Sans MT"/>
          <w:lang w:eastAsia="en-AU"/>
        </w:rPr>
      </w:pPr>
      <w:r w:rsidRPr="009146F9">
        <w:rPr>
          <w:rFonts w:ascii="Gill Sans MT" w:hAnsi="Gill Sans MT"/>
          <w:lang w:val="en-US"/>
        </w:rPr>
        <w:t xml:space="preserve">Funding </w:t>
      </w:r>
      <w:r w:rsidR="005A5256" w:rsidRPr="009146F9">
        <w:rPr>
          <w:rFonts w:ascii="Gill Sans MT" w:hAnsi="Gill Sans MT"/>
          <w:lang w:val="en-US"/>
        </w:rPr>
        <w:t xml:space="preserve">for </w:t>
      </w:r>
      <w:r w:rsidRPr="009146F9">
        <w:rPr>
          <w:rFonts w:ascii="Gill Sans MT" w:hAnsi="Gill Sans MT"/>
          <w:lang w:val="en-US"/>
        </w:rPr>
        <w:t>the purchase</w:t>
      </w:r>
      <w:r w:rsidR="00283D38" w:rsidRPr="009146F9">
        <w:rPr>
          <w:rFonts w:ascii="Gill Sans MT" w:hAnsi="Gill Sans MT"/>
          <w:lang w:val="en-US"/>
        </w:rPr>
        <w:t xml:space="preserve"> and distribution</w:t>
      </w:r>
      <w:r w:rsidRPr="009146F9">
        <w:rPr>
          <w:rFonts w:ascii="Gill Sans MT" w:hAnsi="Gill Sans MT"/>
          <w:lang w:val="en-US"/>
        </w:rPr>
        <w:t xml:space="preserve"> of School Health and Alcohol Harm Reduction Project (SHAHRP) teacher resource kits.  </w:t>
      </w:r>
      <w:r w:rsidR="00283D38" w:rsidRPr="009146F9">
        <w:rPr>
          <w:rFonts w:ascii="Gill Sans MT" w:hAnsi="Gill Sans MT"/>
          <w:lang w:eastAsia="en-AU"/>
        </w:rPr>
        <w:t xml:space="preserve">SHAHRP is a school-based curriculum program that aims to reduce alcohol-related harm that young people experience in alcohol use situations, utilising a harm minimisation approach. </w:t>
      </w:r>
      <w:r w:rsidR="00283D38" w:rsidRPr="009146F9">
        <w:rPr>
          <w:rFonts w:ascii="Gill Sans MT" w:hAnsi="Gill Sans MT"/>
          <w:lang w:val="en-US"/>
        </w:rPr>
        <w:t>SHARP k</w:t>
      </w:r>
      <w:r w:rsidRPr="009146F9">
        <w:rPr>
          <w:rFonts w:ascii="Gill Sans MT" w:hAnsi="Gill Sans MT"/>
          <w:lang w:val="en-US"/>
        </w:rPr>
        <w:t xml:space="preserve">its </w:t>
      </w:r>
      <w:r w:rsidR="00EC10CA" w:rsidRPr="009146F9">
        <w:rPr>
          <w:rFonts w:ascii="Gill Sans MT" w:hAnsi="Gill Sans MT"/>
          <w:lang w:val="en-US"/>
        </w:rPr>
        <w:t xml:space="preserve">were </w:t>
      </w:r>
      <w:r w:rsidRPr="009146F9">
        <w:rPr>
          <w:rFonts w:ascii="Gill Sans MT" w:hAnsi="Gill Sans MT"/>
          <w:lang w:val="en-US"/>
        </w:rPr>
        <w:t xml:space="preserve">distributed to all Tasmanian </w:t>
      </w:r>
      <w:r w:rsidR="00283D38" w:rsidRPr="009146F9">
        <w:rPr>
          <w:rFonts w:ascii="Gill Sans MT" w:hAnsi="Gill Sans MT"/>
          <w:lang w:val="en-US"/>
        </w:rPr>
        <w:t>h</w:t>
      </w:r>
      <w:r w:rsidRPr="009146F9">
        <w:rPr>
          <w:rFonts w:ascii="Gill Sans MT" w:hAnsi="Gill Sans MT"/>
          <w:lang w:val="en-US"/>
        </w:rPr>
        <w:t xml:space="preserve">igh </w:t>
      </w:r>
      <w:r w:rsidR="00283D38" w:rsidRPr="009146F9">
        <w:rPr>
          <w:rFonts w:ascii="Gill Sans MT" w:hAnsi="Gill Sans MT"/>
          <w:lang w:val="en-US"/>
        </w:rPr>
        <w:t>s</w:t>
      </w:r>
      <w:r w:rsidRPr="009146F9">
        <w:rPr>
          <w:rFonts w:ascii="Gill Sans MT" w:hAnsi="Gill Sans MT"/>
          <w:lang w:val="en-US"/>
        </w:rPr>
        <w:t>chools</w:t>
      </w:r>
      <w:r w:rsidR="00283D38" w:rsidRPr="009146F9">
        <w:rPr>
          <w:rFonts w:ascii="Gill Sans MT" w:hAnsi="Gill Sans MT"/>
          <w:lang w:val="en-US"/>
        </w:rPr>
        <w:t xml:space="preserve"> in 2013</w:t>
      </w:r>
      <w:r w:rsidR="006A04F1" w:rsidRPr="009146F9">
        <w:rPr>
          <w:rFonts w:ascii="Gill Sans MT" w:hAnsi="Gill Sans MT"/>
          <w:lang w:val="en-US"/>
        </w:rPr>
        <w:t>.</w:t>
      </w:r>
    </w:p>
    <w:p w:rsidR="00C07138" w:rsidRPr="009146F9" w:rsidRDefault="00C07138" w:rsidP="00FC47DF">
      <w:pPr>
        <w:keepNext/>
        <w:numPr>
          <w:ilvl w:val="0"/>
          <w:numId w:val="10"/>
        </w:numPr>
        <w:tabs>
          <w:tab w:val="left" w:pos="1110"/>
        </w:tabs>
        <w:spacing w:before="120" w:after="120" w:line="280" w:lineRule="atLeast"/>
        <w:ind w:left="1134" w:hanging="425"/>
        <w:rPr>
          <w:rFonts w:ascii="Gill Sans MT" w:hAnsi="Gill Sans MT"/>
          <w:lang w:val="en-US"/>
        </w:rPr>
      </w:pPr>
      <w:r w:rsidRPr="009146F9">
        <w:rPr>
          <w:rFonts w:ascii="Gill Sans MT" w:hAnsi="Gill Sans MT"/>
          <w:lang w:val="en-US"/>
        </w:rPr>
        <w:t>Development of the DRINK THING website</w:t>
      </w:r>
      <w:r w:rsidR="00F31EFB" w:rsidRPr="009146F9">
        <w:rPr>
          <w:rFonts w:ascii="Gill Sans MT" w:hAnsi="Gill Sans MT"/>
          <w:lang w:val="en-US"/>
        </w:rPr>
        <w:t xml:space="preserve">, which went live in May 2016, </w:t>
      </w:r>
      <w:r w:rsidRPr="009146F9">
        <w:rPr>
          <w:rFonts w:ascii="Gill Sans MT" w:hAnsi="Gill Sans MT"/>
          <w:lang w:val="en-US"/>
        </w:rPr>
        <w:t>to provide an early intervention and screening tool for young people aged 12 to 17 years of age to manage their alcohol consumption.  In October 2016, there were 2 632 page views registered to the website with 318 (58.9 per cent) being from the Hobart area.</w:t>
      </w:r>
    </w:p>
    <w:p w:rsidR="00C07138" w:rsidRPr="009146F9" w:rsidRDefault="00C07138" w:rsidP="00FC47DF">
      <w:pPr>
        <w:keepNext/>
        <w:numPr>
          <w:ilvl w:val="0"/>
          <w:numId w:val="1"/>
        </w:numPr>
        <w:tabs>
          <w:tab w:val="left" w:pos="1110"/>
        </w:tabs>
        <w:spacing w:before="120" w:after="120" w:line="280" w:lineRule="atLeast"/>
        <w:rPr>
          <w:rFonts w:ascii="Gill Sans MT" w:hAnsi="Gill Sans MT"/>
          <w:lang w:val="en-US"/>
        </w:rPr>
      </w:pPr>
      <w:r w:rsidRPr="009146F9">
        <w:rPr>
          <w:rFonts w:ascii="Gill Sans MT" w:hAnsi="Gill Sans MT"/>
          <w:lang w:val="en-US"/>
        </w:rPr>
        <w:t xml:space="preserve">The </w:t>
      </w:r>
      <w:r w:rsidRPr="009146F9">
        <w:rPr>
          <w:rFonts w:ascii="Gill Sans MT" w:hAnsi="Gill Sans MT"/>
          <w:i/>
          <w:lang w:val="en-US"/>
        </w:rPr>
        <w:t>Mandatory Alcohol Interlock Program</w:t>
      </w:r>
      <w:r w:rsidRPr="009146F9">
        <w:rPr>
          <w:rFonts w:ascii="Gill Sans MT" w:hAnsi="Gill Sans MT"/>
          <w:lang w:val="en-US"/>
        </w:rPr>
        <w:t xml:space="preserve"> (MAIP) was implemented in 2013.  The aim of the MAIP is to stop motor vehicle drivers convicted of repeat or high-level drinking offences from driving a motor vehicle if alcohol is present in their system.  In 2015-16, 1 535 people were eligible for the MAIP with 798 (52 per cent) of these people completing the program.</w:t>
      </w:r>
    </w:p>
    <w:p w:rsidR="00C07138" w:rsidRPr="009146F9" w:rsidRDefault="00C07138" w:rsidP="00FC47DF">
      <w:pPr>
        <w:pStyle w:val="ListParagraph"/>
        <w:keepNext/>
        <w:numPr>
          <w:ilvl w:val="0"/>
          <w:numId w:val="1"/>
        </w:numPr>
        <w:spacing w:before="120" w:after="120" w:line="280" w:lineRule="atLeast"/>
        <w:ind w:left="714" w:hanging="357"/>
        <w:contextualSpacing w:val="0"/>
        <w:rPr>
          <w:rFonts w:ascii="Gill Sans MT" w:hAnsi="Gill Sans MT"/>
        </w:rPr>
      </w:pPr>
      <w:r w:rsidRPr="009146F9">
        <w:rPr>
          <w:rFonts w:ascii="Gill Sans MT" w:hAnsi="Gill Sans MT"/>
        </w:rPr>
        <w:t>The RSAC has conducted free breath testing services at the Falls Festival every year since its inception in 2001 and various other events in the past such as the Taste of Tasmania and Festivale in Launceston.  This is a community service which allows patrons to ascertain their Blood Alcohol Concentration (BAC) levels to avoid driving a motor vehicle over the legally prescribed limit of 0.05 (50 milligrams of alcohol per 100 mg of blood) for fully licensed drivers and 0.00 (0 milligrams) for provisional licence holders.   The Falls Festival presents an opportunity to screen the ‘captive’ audience of 17-25 year old males using breath testing technology that aligns with Tasmania Police units to ensure accuracy of the testing.  The testing numbers at the Falls Festival have steadily increased since 2013-14 (Table 3.1).</w:t>
      </w:r>
    </w:p>
    <w:p w:rsidR="00C07138" w:rsidRPr="009146F9" w:rsidRDefault="00C07138" w:rsidP="00FC47DF">
      <w:pPr>
        <w:keepNext/>
        <w:spacing w:before="120" w:after="120" w:line="280" w:lineRule="atLeast"/>
        <w:ind w:left="720"/>
        <w:rPr>
          <w:rFonts w:ascii="Gill Sans MT" w:hAnsi="Gill Sans MT"/>
          <w:sz w:val="20"/>
        </w:rPr>
      </w:pPr>
      <w:r w:rsidRPr="009146F9">
        <w:rPr>
          <w:rFonts w:ascii="Gill Sans MT" w:hAnsi="Gill Sans MT"/>
          <w:b/>
          <w:sz w:val="20"/>
        </w:rPr>
        <w:t>Table 3.1:</w:t>
      </w:r>
      <w:r w:rsidRPr="009146F9">
        <w:rPr>
          <w:rFonts w:ascii="Gill Sans MT" w:hAnsi="Gill Sans MT"/>
          <w:sz w:val="20"/>
        </w:rPr>
        <w:t xml:space="preserve"> Number of breath tests undertaken by RSAC - Hobart Festivals 2013-14 to 2015-16</w:t>
      </w:r>
    </w:p>
    <w:tbl>
      <w:tblPr>
        <w:tblStyle w:val="TableGrid"/>
        <w:tblW w:w="0" w:type="auto"/>
        <w:tblInd w:w="760" w:type="dxa"/>
        <w:tblCellMar>
          <w:top w:w="57" w:type="dxa"/>
          <w:left w:w="57" w:type="dxa"/>
          <w:bottom w:w="57" w:type="dxa"/>
          <w:right w:w="57" w:type="dxa"/>
        </w:tblCellMar>
        <w:tblLook w:val="04A0" w:firstRow="1" w:lastRow="0" w:firstColumn="1" w:lastColumn="0" w:noHBand="0" w:noVBand="1"/>
        <w:tblCaption w:val="Table 3.1"/>
        <w:tblDescription w:val="Number of Patrons Tested"/>
      </w:tblPr>
      <w:tblGrid>
        <w:gridCol w:w="1322"/>
        <w:gridCol w:w="2364"/>
        <w:gridCol w:w="2977"/>
      </w:tblGrid>
      <w:tr w:rsidR="00C07138" w:rsidRPr="009146F9" w:rsidTr="00FA751D">
        <w:trPr>
          <w:tblHeader/>
        </w:trPr>
        <w:tc>
          <w:tcPr>
            <w:tcW w:w="1322"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Financial Year</w:t>
            </w:r>
          </w:p>
        </w:tc>
        <w:tc>
          <w:tcPr>
            <w:tcW w:w="2364"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Number of Patrons Tested</w:t>
            </w:r>
          </w:p>
        </w:tc>
        <w:tc>
          <w:tcPr>
            <w:tcW w:w="2977"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Percentage of Attending Patrons</w:t>
            </w:r>
          </w:p>
        </w:tc>
      </w:tr>
      <w:tr w:rsidR="00C07138" w:rsidRPr="009146F9" w:rsidTr="00F31EFB">
        <w:tc>
          <w:tcPr>
            <w:tcW w:w="1322"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2013-14</w:t>
            </w:r>
          </w:p>
        </w:tc>
        <w:tc>
          <w:tcPr>
            <w:tcW w:w="2364"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3 400</w:t>
            </w:r>
          </w:p>
        </w:tc>
        <w:tc>
          <w:tcPr>
            <w:tcW w:w="2977"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 xml:space="preserve">28 per cent </w:t>
            </w:r>
          </w:p>
        </w:tc>
      </w:tr>
      <w:tr w:rsidR="00C07138" w:rsidRPr="009146F9" w:rsidTr="00F31EFB">
        <w:tc>
          <w:tcPr>
            <w:tcW w:w="1322"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2014-15</w:t>
            </w:r>
          </w:p>
        </w:tc>
        <w:tc>
          <w:tcPr>
            <w:tcW w:w="2364"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3 727</w:t>
            </w:r>
          </w:p>
        </w:tc>
        <w:tc>
          <w:tcPr>
            <w:tcW w:w="2977" w:type="dxa"/>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 xml:space="preserve">28 per cent </w:t>
            </w:r>
          </w:p>
        </w:tc>
      </w:tr>
      <w:tr w:rsidR="00C07138" w:rsidRPr="009146F9" w:rsidTr="00230BDD">
        <w:tc>
          <w:tcPr>
            <w:tcW w:w="1322" w:type="dxa"/>
            <w:tcBorders>
              <w:bottom w:val="single" w:sz="4" w:space="0" w:color="auto"/>
            </w:tcBorders>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2015-16</w:t>
            </w:r>
          </w:p>
        </w:tc>
        <w:tc>
          <w:tcPr>
            <w:tcW w:w="2364" w:type="dxa"/>
            <w:tcBorders>
              <w:bottom w:val="single" w:sz="4" w:space="0" w:color="auto"/>
            </w:tcBorders>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4 208</w:t>
            </w:r>
          </w:p>
        </w:tc>
        <w:tc>
          <w:tcPr>
            <w:tcW w:w="2977" w:type="dxa"/>
            <w:tcBorders>
              <w:bottom w:val="single" w:sz="4" w:space="0" w:color="auto"/>
            </w:tcBorders>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 xml:space="preserve">38 per cent </w:t>
            </w:r>
          </w:p>
        </w:tc>
      </w:tr>
      <w:tr w:rsidR="00C07138" w:rsidRPr="009146F9" w:rsidTr="00230BDD">
        <w:tc>
          <w:tcPr>
            <w:tcW w:w="6663" w:type="dxa"/>
            <w:gridSpan w:val="3"/>
            <w:tcBorders>
              <w:top w:val="single" w:sz="4" w:space="0" w:color="auto"/>
              <w:left w:val="single" w:sz="4" w:space="0" w:color="auto"/>
              <w:bottom w:val="single" w:sz="4" w:space="0" w:color="auto"/>
              <w:right w:val="single" w:sz="4" w:space="0" w:color="auto"/>
            </w:tcBorders>
          </w:tcPr>
          <w:p w:rsidR="00C07138" w:rsidRPr="009146F9" w:rsidRDefault="00C07138" w:rsidP="00FC47DF">
            <w:pPr>
              <w:keepNext/>
              <w:spacing w:line="280" w:lineRule="atLeast"/>
              <w:rPr>
                <w:rFonts w:ascii="Gill Sans MT" w:hAnsi="Gill Sans MT"/>
                <w:i/>
                <w:sz w:val="18"/>
              </w:rPr>
            </w:pPr>
            <w:r w:rsidRPr="009146F9">
              <w:rPr>
                <w:rFonts w:ascii="Gill Sans MT" w:hAnsi="Gill Sans MT"/>
                <w:i/>
                <w:sz w:val="18"/>
              </w:rPr>
              <w:t xml:space="preserve">Source: </w:t>
            </w:r>
            <w:r w:rsidRPr="009146F9">
              <w:rPr>
                <w:rFonts w:ascii="Gill Sans MT" w:hAnsi="Gill Sans MT"/>
                <w:sz w:val="18"/>
              </w:rPr>
              <w:t>Department of State Growth Road Safety Advisory Council - November 2016</w:t>
            </w:r>
          </w:p>
        </w:tc>
      </w:tr>
    </w:tbl>
    <w:p w:rsidR="005D5B57" w:rsidRPr="009146F9" w:rsidRDefault="005D5B57" w:rsidP="005D5B57">
      <w:pPr>
        <w:pStyle w:val="ListParagraph"/>
        <w:keepNext/>
        <w:numPr>
          <w:ilvl w:val="0"/>
          <w:numId w:val="1"/>
        </w:numPr>
        <w:spacing w:before="120" w:after="120" w:line="280" w:lineRule="atLeast"/>
        <w:ind w:left="714" w:hanging="357"/>
        <w:contextualSpacing w:val="0"/>
        <w:rPr>
          <w:rFonts w:ascii="Gill Sans MT" w:hAnsi="Gill Sans MT"/>
        </w:rPr>
      </w:pPr>
      <w:r w:rsidRPr="009146F9">
        <w:rPr>
          <w:rFonts w:ascii="Gill Sans MT" w:hAnsi="Gill Sans MT"/>
        </w:rPr>
        <w:t xml:space="preserve">Since 2009, a Memorandum of Understanding (MoU) between the Motor Accident Insurance Board (MAIB), DPFEM and Department of State Growth has provided a framework for cooperation, implementation and monitoring of road safety education and enforcement programs, aimed at reducing the number of serious motor vehicle crashes on Tasmania’s roads. Tasmania Police </w:t>
      </w:r>
      <w:r w:rsidR="007F42E8" w:rsidRPr="009146F9">
        <w:rPr>
          <w:rFonts w:ascii="Gill Sans MT" w:hAnsi="Gill Sans MT"/>
        </w:rPr>
        <w:t xml:space="preserve">continue </w:t>
      </w:r>
      <w:r w:rsidRPr="009146F9">
        <w:rPr>
          <w:rFonts w:ascii="Gill Sans MT" w:hAnsi="Gill Sans MT"/>
        </w:rPr>
        <w:t>focus</w:t>
      </w:r>
      <w:r w:rsidR="007F42E8" w:rsidRPr="009146F9">
        <w:rPr>
          <w:rFonts w:ascii="Gill Sans MT" w:hAnsi="Gill Sans MT"/>
        </w:rPr>
        <w:t>sed</w:t>
      </w:r>
      <w:r w:rsidRPr="009146F9">
        <w:rPr>
          <w:rFonts w:ascii="Gill Sans MT" w:hAnsi="Gill Sans MT"/>
        </w:rPr>
        <w:t xml:space="preserve"> enforcement on the five major causes of motor vehicle crashes: speed, seatbelts, fatigue, distraction and drink/drug driving.</w:t>
      </w:r>
    </w:p>
    <w:p w:rsidR="00C07138" w:rsidRPr="009146F9" w:rsidRDefault="00C07138" w:rsidP="00FC47DF">
      <w:pPr>
        <w:pStyle w:val="ListParagraph"/>
        <w:keepNext/>
        <w:numPr>
          <w:ilvl w:val="0"/>
          <w:numId w:val="1"/>
        </w:numPr>
        <w:spacing w:before="120" w:after="120" w:line="280" w:lineRule="atLeast"/>
        <w:ind w:left="714" w:hanging="357"/>
        <w:contextualSpacing w:val="0"/>
        <w:rPr>
          <w:rFonts w:ascii="Gill Sans MT" w:hAnsi="Gill Sans MT"/>
        </w:rPr>
      </w:pPr>
      <w:r w:rsidRPr="009146F9">
        <w:rPr>
          <w:rFonts w:ascii="Gill Sans MT" w:hAnsi="Gill Sans MT"/>
        </w:rPr>
        <w:t xml:space="preserve">Community Corrections continues to deliver its </w:t>
      </w:r>
      <w:r w:rsidRPr="009146F9">
        <w:rPr>
          <w:rFonts w:ascii="Gill Sans MT" w:hAnsi="Gill Sans MT"/>
          <w:i/>
        </w:rPr>
        <w:t>Sober Driver</w:t>
      </w:r>
      <w:r w:rsidRPr="009146F9">
        <w:rPr>
          <w:rFonts w:ascii="Gill Sans MT" w:hAnsi="Gill Sans MT"/>
        </w:rPr>
        <w:t xml:space="preserve"> program.  The nine-week program aims to education adult repeat drink drive offenders about issues relating to the physical effects of alcohol, safe driving skills and the social implications of </w:t>
      </w:r>
      <w:proofErr w:type="spellStart"/>
      <w:r w:rsidRPr="009146F9">
        <w:rPr>
          <w:rFonts w:ascii="Gill Sans MT" w:hAnsi="Gill Sans MT"/>
        </w:rPr>
        <w:t>drink</w:t>
      </w:r>
      <w:proofErr w:type="spellEnd"/>
      <w:r w:rsidRPr="009146F9">
        <w:rPr>
          <w:rFonts w:ascii="Gill Sans MT" w:hAnsi="Gill Sans MT"/>
        </w:rPr>
        <w:t xml:space="preserve"> driving.  The participation rates for this program have increased from 174 eligible participants with 85 per cent (136 participants) completion rate in 2013-14 to 186 eligible participants decreasing to a 79 per cent (155) completion rate in 2015-16.</w:t>
      </w:r>
    </w:p>
    <w:p w:rsidR="00C07138" w:rsidRPr="009146F9" w:rsidRDefault="00C07138" w:rsidP="00FC47DF">
      <w:pPr>
        <w:pStyle w:val="ListParagraph"/>
        <w:keepNext/>
        <w:numPr>
          <w:ilvl w:val="0"/>
          <w:numId w:val="1"/>
        </w:numPr>
        <w:spacing w:before="120" w:after="120" w:line="280" w:lineRule="atLeast"/>
        <w:ind w:left="714" w:hanging="357"/>
        <w:contextualSpacing w:val="0"/>
        <w:rPr>
          <w:rFonts w:ascii="Gill Sans MT" w:hAnsi="Gill Sans MT"/>
        </w:rPr>
      </w:pPr>
      <w:r w:rsidRPr="009146F9">
        <w:rPr>
          <w:rFonts w:ascii="Gill Sans MT" w:hAnsi="Gill Sans MT"/>
        </w:rPr>
        <w:t xml:space="preserve">Tasmania Police continued to target drink driving offences by conducting 469 610 random breath tests in 2015-16.  Of these, 51 per cent were in the South, 27 per cent were in the North and 21 per cent in the West.  The data in the table below shows </w:t>
      </w:r>
      <w:r w:rsidR="003F7A20" w:rsidRPr="009146F9">
        <w:rPr>
          <w:rFonts w:ascii="Gill Sans MT" w:hAnsi="Gill Sans MT"/>
        </w:rPr>
        <w:t>the number of random breath tests and driving offe</w:t>
      </w:r>
      <w:r w:rsidR="00DF39E7" w:rsidRPr="009146F9">
        <w:rPr>
          <w:rFonts w:ascii="Gill Sans MT" w:hAnsi="Gill Sans MT"/>
        </w:rPr>
        <w:t>nces recorded from 2010 to 2016 compared with drugs-related testing and offences for the same period.</w:t>
      </w:r>
    </w:p>
    <w:p w:rsidR="00C07138" w:rsidRPr="009146F9" w:rsidRDefault="00C07138" w:rsidP="00FC47DF">
      <w:pPr>
        <w:keepNext/>
        <w:spacing w:before="120" w:after="120" w:line="280" w:lineRule="atLeast"/>
        <w:ind w:left="720"/>
        <w:rPr>
          <w:rFonts w:ascii="Gill Sans MT" w:hAnsi="Gill Sans MT"/>
          <w:sz w:val="20"/>
        </w:rPr>
      </w:pPr>
      <w:r w:rsidRPr="009146F9">
        <w:rPr>
          <w:rFonts w:ascii="Gill Sans MT" w:hAnsi="Gill Sans MT"/>
          <w:b/>
          <w:sz w:val="20"/>
        </w:rPr>
        <w:t xml:space="preserve">Table 3.2: </w:t>
      </w:r>
      <w:r w:rsidR="002A0079" w:rsidRPr="009146F9">
        <w:rPr>
          <w:rFonts w:ascii="Gill Sans MT" w:hAnsi="Gill Sans MT"/>
          <w:sz w:val="20"/>
        </w:rPr>
        <w:t>Number of R</w:t>
      </w:r>
      <w:r w:rsidRPr="009146F9">
        <w:rPr>
          <w:rFonts w:ascii="Gill Sans MT" w:hAnsi="Gill Sans MT"/>
          <w:sz w:val="20"/>
        </w:rPr>
        <w:t xml:space="preserve">andom Breath Tests (Alcohol) </w:t>
      </w:r>
      <w:r w:rsidR="002A0079" w:rsidRPr="009146F9">
        <w:rPr>
          <w:rFonts w:ascii="Gill Sans MT" w:hAnsi="Gill Sans MT"/>
          <w:sz w:val="20"/>
        </w:rPr>
        <w:t xml:space="preserve">and Oral Fluid Tests (Drugs) </w:t>
      </w:r>
      <w:r w:rsidRPr="009146F9">
        <w:rPr>
          <w:rFonts w:ascii="Gill Sans MT" w:hAnsi="Gill Sans MT"/>
          <w:sz w:val="20"/>
        </w:rPr>
        <w:t>conducted</w:t>
      </w:r>
      <w:r w:rsidR="002A0079" w:rsidRPr="009146F9">
        <w:rPr>
          <w:rFonts w:ascii="Gill Sans MT" w:hAnsi="Gill Sans MT"/>
          <w:sz w:val="20"/>
        </w:rPr>
        <w:t xml:space="preserve"> and related </w:t>
      </w:r>
      <w:r w:rsidRPr="009146F9">
        <w:rPr>
          <w:rFonts w:ascii="Gill Sans MT" w:hAnsi="Gill Sans MT"/>
          <w:sz w:val="20"/>
        </w:rPr>
        <w:t>driving offe</w:t>
      </w:r>
      <w:r w:rsidR="002A0079" w:rsidRPr="009146F9">
        <w:rPr>
          <w:rFonts w:ascii="Gill Sans MT" w:hAnsi="Gill Sans MT"/>
          <w:sz w:val="20"/>
        </w:rPr>
        <w:t xml:space="preserve">nces </w:t>
      </w:r>
      <w:r w:rsidRPr="009146F9">
        <w:rPr>
          <w:rFonts w:ascii="Gill Sans MT" w:hAnsi="Gill Sans MT"/>
          <w:sz w:val="20"/>
        </w:rPr>
        <w:t>detected by Tasmania Police - 2010-2016</w:t>
      </w:r>
    </w:p>
    <w:tbl>
      <w:tblPr>
        <w:tblStyle w:val="TableGrid"/>
        <w:tblW w:w="0" w:type="auto"/>
        <w:tblInd w:w="720" w:type="dxa"/>
        <w:tblLook w:val="04A0" w:firstRow="1" w:lastRow="0" w:firstColumn="1" w:lastColumn="0" w:noHBand="0" w:noVBand="1"/>
        <w:tblCaption w:val="Table 3.2"/>
        <w:tblDescription w:val="Number of Random Breath Tests "/>
      </w:tblPr>
      <w:tblGrid>
        <w:gridCol w:w="1668"/>
        <w:gridCol w:w="1731"/>
        <w:gridCol w:w="1680"/>
        <w:gridCol w:w="1719"/>
        <w:gridCol w:w="1724"/>
      </w:tblGrid>
      <w:tr w:rsidR="00C87C6E" w:rsidRPr="009146F9" w:rsidTr="00FA751D">
        <w:trPr>
          <w:tblHeader/>
        </w:trPr>
        <w:tc>
          <w:tcPr>
            <w:tcW w:w="1668" w:type="dxa"/>
            <w:vMerge w:val="restart"/>
            <w:shd w:val="clear" w:color="auto" w:fill="F2F2F2" w:themeFill="background1" w:themeFillShade="F2"/>
            <w:vAlign w:val="center"/>
          </w:tcPr>
          <w:p w:rsidR="00C87C6E" w:rsidRPr="009146F9" w:rsidRDefault="00C87C6E" w:rsidP="00FC47DF">
            <w:pPr>
              <w:keepNext/>
              <w:spacing w:before="120" w:after="120" w:line="280" w:lineRule="atLeast"/>
              <w:rPr>
                <w:rFonts w:ascii="Gill Sans MT" w:hAnsi="Gill Sans MT"/>
                <w:b/>
                <w:sz w:val="18"/>
                <w:szCs w:val="18"/>
              </w:rPr>
            </w:pPr>
            <w:r w:rsidRPr="009146F9">
              <w:rPr>
                <w:rFonts w:ascii="Gill Sans MT" w:hAnsi="Gill Sans MT"/>
                <w:b/>
                <w:sz w:val="18"/>
                <w:szCs w:val="18"/>
              </w:rPr>
              <w:t>Year</w:t>
            </w:r>
          </w:p>
        </w:tc>
        <w:tc>
          <w:tcPr>
            <w:tcW w:w="3411" w:type="dxa"/>
            <w:gridSpan w:val="2"/>
            <w:shd w:val="clear" w:color="auto" w:fill="F2F2F2" w:themeFill="background1" w:themeFillShade="F2"/>
          </w:tcPr>
          <w:p w:rsidR="00C87C6E" w:rsidRPr="009146F9" w:rsidRDefault="00C87C6E" w:rsidP="00FC47DF">
            <w:pPr>
              <w:keepNext/>
              <w:spacing w:before="120" w:after="120" w:line="240" w:lineRule="atLeast"/>
              <w:rPr>
                <w:rFonts w:ascii="Gill Sans MT" w:hAnsi="Gill Sans MT"/>
                <w:sz w:val="18"/>
                <w:szCs w:val="18"/>
              </w:rPr>
            </w:pPr>
            <w:r w:rsidRPr="009146F9">
              <w:rPr>
                <w:rFonts w:ascii="Gill Sans MT" w:hAnsi="Gill Sans MT"/>
                <w:sz w:val="18"/>
                <w:szCs w:val="18"/>
              </w:rPr>
              <w:t>Random Breath Tests &amp; Oral Fluid Tests (OFTs) conducted</w:t>
            </w:r>
          </w:p>
        </w:tc>
        <w:tc>
          <w:tcPr>
            <w:tcW w:w="3443" w:type="dxa"/>
            <w:gridSpan w:val="2"/>
            <w:shd w:val="clear" w:color="auto" w:fill="F2F2F2" w:themeFill="background1" w:themeFillShade="F2"/>
          </w:tcPr>
          <w:p w:rsidR="00C87C6E" w:rsidRPr="009146F9" w:rsidRDefault="00C87C6E" w:rsidP="00FC47DF">
            <w:pPr>
              <w:keepNext/>
              <w:spacing w:before="120" w:after="120" w:line="240" w:lineRule="atLeast"/>
              <w:rPr>
                <w:rFonts w:ascii="Gill Sans MT" w:hAnsi="Gill Sans MT"/>
                <w:sz w:val="18"/>
                <w:szCs w:val="18"/>
              </w:rPr>
            </w:pPr>
            <w:r w:rsidRPr="009146F9">
              <w:rPr>
                <w:rFonts w:ascii="Gill Sans MT" w:hAnsi="Gill Sans MT"/>
                <w:sz w:val="18"/>
                <w:szCs w:val="18"/>
              </w:rPr>
              <w:t>Driving Offences Detected</w:t>
            </w:r>
          </w:p>
        </w:tc>
      </w:tr>
      <w:tr w:rsidR="00C87C6E" w:rsidRPr="009146F9" w:rsidTr="00FA751D">
        <w:trPr>
          <w:tblHeader/>
        </w:trPr>
        <w:tc>
          <w:tcPr>
            <w:tcW w:w="1668" w:type="dxa"/>
            <w:vMerge/>
            <w:shd w:val="clear" w:color="auto" w:fill="auto"/>
          </w:tcPr>
          <w:p w:rsidR="00C87C6E" w:rsidRPr="009146F9" w:rsidRDefault="00C87C6E" w:rsidP="00FC47DF">
            <w:pPr>
              <w:keepNext/>
              <w:spacing w:line="280" w:lineRule="atLeast"/>
              <w:rPr>
                <w:rFonts w:ascii="Gill Sans MT" w:hAnsi="Gill Sans MT"/>
                <w:b/>
                <w:sz w:val="18"/>
                <w:szCs w:val="18"/>
              </w:rPr>
            </w:pPr>
          </w:p>
        </w:tc>
        <w:tc>
          <w:tcPr>
            <w:tcW w:w="1731" w:type="dxa"/>
            <w:shd w:val="clear" w:color="auto" w:fill="D9D9D9" w:themeFill="background1" w:themeFillShade="D9"/>
          </w:tcPr>
          <w:p w:rsidR="00C87C6E" w:rsidRPr="009146F9" w:rsidRDefault="00C87C6E" w:rsidP="00FC47DF">
            <w:pPr>
              <w:keepNext/>
              <w:spacing w:line="280" w:lineRule="atLeast"/>
              <w:rPr>
                <w:rFonts w:ascii="Gill Sans MT" w:hAnsi="Gill Sans MT"/>
                <w:b/>
                <w:sz w:val="18"/>
                <w:szCs w:val="18"/>
              </w:rPr>
            </w:pPr>
            <w:r w:rsidRPr="009146F9">
              <w:rPr>
                <w:rFonts w:ascii="Gill Sans MT" w:hAnsi="Gill Sans MT"/>
                <w:b/>
                <w:sz w:val="18"/>
                <w:szCs w:val="18"/>
              </w:rPr>
              <w:t>Alcohol Tests</w:t>
            </w:r>
          </w:p>
        </w:tc>
        <w:tc>
          <w:tcPr>
            <w:tcW w:w="1680" w:type="dxa"/>
            <w:shd w:val="clear" w:color="auto" w:fill="F2F2F2" w:themeFill="background1" w:themeFillShade="F2"/>
          </w:tcPr>
          <w:p w:rsidR="00C87C6E" w:rsidRPr="009146F9" w:rsidRDefault="00C87C6E" w:rsidP="00FC47DF">
            <w:pPr>
              <w:keepNext/>
              <w:spacing w:line="280" w:lineRule="atLeast"/>
              <w:rPr>
                <w:rFonts w:ascii="Gill Sans MT" w:hAnsi="Gill Sans MT"/>
                <w:b/>
                <w:sz w:val="18"/>
                <w:szCs w:val="18"/>
              </w:rPr>
            </w:pPr>
            <w:r w:rsidRPr="009146F9">
              <w:rPr>
                <w:rFonts w:ascii="Gill Sans MT" w:hAnsi="Gill Sans MT"/>
                <w:b/>
                <w:sz w:val="18"/>
                <w:szCs w:val="18"/>
              </w:rPr>
              <w:t>Drug Tests</w:t>
            </w:r>
          </w:p>
        </w:tc>
        <w:tc>
          <w:tcPr>
            <w:tcW w:w="1719" w:type="dxa"/>
            <w:shd w:val="clear" w:color="auto" w:fill="D9D9D9" w:themeFill="background1" w:themeFillShade="D9"/>
          </w:tcPr>
          <w:p w:rsidR="00C87C6E" w:rsidRPr="009146F9" w:rsidRDefault="00C87C6E" w:rsidP="00FC47DF">
            <w:pPr>
              <w:keepNext/>
              <w:spacing w:line="280" w:lineRule="atLeast"/>
              <w:rPr>
                <w:rFonts w:ascii="Gill Sans MT" w:hAnsi="Gill Sans MT"/>
                <w:b/>
                <w:sz w:val="18"/>
                <w:szCs w:val="18"/>
              </w:rPr>
            </w:pPr>
            <w:r w:rsidRPr="009146F9">
              <w:rPr>
                <w:rFonts w:ascii="Gill Sans MT" w:hAnsi="Gill Sans MT"/>
                <w:b/>
                <w:sz w:val="18"/>
                <w:szCs w:val="18"/>
              </w:rPr>
              <w:t>Drink Driving</w:t>
            </w:r>
          </w:p>
        </w:tc>
        <w:tc>
          <w:tcPr>
            <w:tcW w:w="1724" w:type="dxa"/>
            <w:shd w:val="clear" w:color="auto" w:fill="F2F2F2" w:themeFill="background1" w:themeFillShade="F2"/>
          </w:tcPr>
          <w:p w:rsidR="00C87C6E" w:rsidRPr="009146F9" w:rsidRDefault="00C87C6E" w:rsidP="00FC47DF">
            <w:pPr>
              <w:keepNext/>
              <w:spacing w:line="280" w:lineRule="atLeast"/>
              <w:rPr>
                <w:rFonts w:ascii="Gill Sans MT" w:hAnsi="Gill Sans MT"/>
                <w:b/>
                <w:sz w:val="18"/>
                <w:szCs w:val="18"/>
              </w:rPr>
            </w:pPr>
            <w:r w:rsidRPr="009146F9">
              <w:rPr>
                <w:rFonts w:ascii="Gill Sans MT" w:hAnsi="Gill Sans MT"/>
                <w:b/>
                <w:sz w:val="18"/>
                <w:szCs w:val="18"/>
              </w:rPr>
              <w:t>Drug Driving</w:t>
            </w:r>
          </w:p>
        </w:tc>
      </w:tr>
      <w:tr w:rsidR="00230BDD" w:rsidRPr="009146F9" w:rsidTr="00FA751D">
        <w:trPr>
          <w:tblHeader/>
        </w:trPr>
        <w:tc>
          <w:tcPr>
            <w:tcW w:w="1668" w:type="dxa"/>
          </w:tcPr>
          <w:p w:rsidR="00230BDD" w:rsidRPr="009146F9" w:rsidRDefault="00230BDD" w:rsidP="00FC47DF">
            <w:pPr>
              <w:keepNext/>
              <w:spacing w:line="280" w:lineRule="atLeast"/>
              <w:rPr>
                <w:rFonts w:ascii="Gill Sans MT" w:hAnsi="Gill Sans MT"/>
                <w:sz w:val="18"/>
                <w:szCs w:val="18"/>
              </w:rPr>
            </w:pPr>
            <w:r w:rsidRPr="009146F9">
              <w:rPr>
                <w:rFonts w:ascii="Gill Sans MT" w:hAnsi="Gill Sans MT"/>
                <w:sz w:val="18"/>
                <w:szCs w:val="18"/>
              </w:rPr>
              <w:t>2010-11</w:t>
            </w:r>
          </w:p>
        </w:tc>
        <w:tc>
          <w:tcPr>
            <w:tcW w:w="1731"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606 991</w:t>
            </w:r>
          </w:p>
        </w:tc>
        <w:tc>
          <w:tcPr>
            <w:tcW w:w="1680"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325</w:t>
            </w:r>
          </w:p>
        </w:tc>
        <w:tc>
          <w:tcPr>
            <w:tcW w:w="1719"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3 903</w:t>
            </w:r>
          </w:p>
        </w:tc>
        <w:tc>
          <w:tcPr>
            <w:tcW w:w="1724"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325</w:t>
            </w:r>
          </w:p>
        </w:tc>
      </w:tr>
      <w:tr w:rsidR="00230BDD" w:rsidRPr="009146F9" w:rsidTr="00FA751D">
        <w:trPr>
          <w:tblHeader/>
        </w:trPr>
        <w:tc>
          <w:tcPr>
            <w:tcW w:w="1668" w:type="dxa"/>
          </w:tcPr>
          <w:p w:rsidR="00230BDD" w:rsidRPr="009146F9" w:rsidRDefault="00230BDD" w:rsidP="00FC47DF">
            <w:pPr>
              <w:keepNext/>
              <w:spacing w:line="280" w:lineRule="atLeast"/>
              <w:rPr>
                <w:rFonts w:ascii="Gill Sans MT" w:hAnsi="Gill Sans MT"/>
                <w:sz w:val="18"/>
                <w:szCs w:val="18"/>
              </w:rPr>
            </w:pPr>
            <w:r w:rsidRPr="009146F9">
              <w:rPr>
                <w:rFonts w:ascii="Gill Sans MT" w:hAnsi="Gill Sans MT"/>
                <w:sz w:val="18"/>
                <w:szCs w:val="18"/>
              </w:rPr>
              <w:t>2011-12</w:t>
            </w:r>
          </w:p>
        </w:tc>
        <w:tc>
          <w:tcPr>
            <w:tcW w:w="1731"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554 886</w:t>
            </w:r>
          </w:p>
        </w:tc>
        <w:tc>
          <w:tcPr>
            <w:tcW w:w="1680"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1 687</w:t>
            </w:r>
          </w:p>
        </w:tc>
        <w:tc>
          <w:tcPr>
            <w:tcW w:w="1719"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3561</w:t>
            </w:r>
          </w:p>
        </w:tc>
        <w:tc>
          <w:tcPr>
            <w:tcW w:w="1724"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349</w:t>
            </w:r>
          </w:p>
        </w:tc>
      </w:tr>
      <w:tr w:rsidR="00230BDD" w:rsidRPr="009146F9" w:rsidTr="00FA751D">
        <w:trPr>
          <w:tblHeader/>
        </w:trPr>
        <w:tc>
          <w:tcPr>
            <w:tcW w:w="1668" w:type="dxa"/>
          </w:tcPr>
          <w:p w:rsidR="00230BDD" w:rsidRPr="009146F9" w:rsidRDefault="00230BDD" w:rsidP="00FC47DF">
            <w:pPr>
              <w:keepNext/>
              <w:spacing w:line="280" w:lineRule="atLeast"/>
              <w:rPr>
                <w:rFonts w:ascii="Gill Sans MT" w:hAnsi="Gill Sans MT"/>
                <w:sz w:val="18"/>
                <w:szCs w:val="18"/>
              </w:rPr>
            </w:pPr>
            <w:r w:rsidRPr="009146F9">
              <w:rPr>
                <w:rFonts w:ascii="Gill Sans MT" w:hAnsi="Gill Sans MT"/>
                <w:sz w:val="18"/>
                <w:szCs w:val="18"/>
              </w:rPr>
              <w:t>2012-13</w:t>
            </w:r>
          </w:p>
        </w:tc>
        <w:tc>
          <w:tcPr>
            <w:tcW w:w="1731"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550 354</w:t>
            </w:r>
          </w:p>
        </w:tc>
        <w:tc>
          <w:tcPr>
            <w:tcW w:w="1680"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1 698</w:t>
            </w:r>
          </w:p>
        </w:tc>
        <w:tc>
          <w:tcPr>
            <w:tcW w:w="1719"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2 894</w:t>
            </w:r>
          </w:p>
        </w:tc>
        <w:tc>
          <w:tcPr>
            <w:tcW w:w="1724"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454</w:t>
            </w:r>
          </w:p>
        </w:tc>
      </w:tr>
      <w:tr w:rsidR="00230BDD" w:rsidRPr="009146F9" w:rsidTr="00FA751D">
        <w:trPr>
          <w:tblHeader/>
        </w:trPr>
        <w:tc>
          <w:tcPr>
            <w:tcW w:w="1668" w:type="dxa"/>
          </w:tcPr>
          <w:p w:rsidR="00230BDD" w:rsidRPr="009146F9" w:rsidRDefault="00230BDD" w:rsidP="00FC47DF">
            <w:pPr>
              <w:keepNext/>
              <w:spacing w:line="280" w:lineRule="atLeast"/>
              <w:rPr>
                <w:rFonts w:ascii="Gill Sans MT" w:hAnsi="Gill Sans MT"/>
                <w:sz w:val="18"/>
                <w:szCs w:val="18"/>
              </w:rPr>
            </w:pPr>
            <w:r w:rsidRPr="009146F9">
              <w:rPr>
                <w:rFonts w:ascii="Gill Sans MT" w:hAnsi="Gill Sans MT"/>
                <w:sz w:val="18"/>
                <w:szCs w:val="18"/>
              </w:rPr>
              <w:t>2013-14</w:t>
            </w:r>
          </w:p>
        </w:tc>
        <w:tc>
          <w:tcPr>
            <w:tcW w:w="1731"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551 444</w:t>
            </w:r>
          </w:p>
        </w:tc>
        <w:tc>
          <w:tcPr>
            <w:tcW w:w="1680"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1 819</w:t>
            </w:r>
          </w:p>
        </w:tc>
        <w:tc>
          <w:tcPr>
            <w:tcW w:w="1719"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2 731</w:t>
            </w:r>
          </w:p>
        </w:tc>
        <w:tc>
          <w:tcPr>
            <w:tcW w:w="1724"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619</w:t>
            </w:r>
          </w:p>
        </w:tc>
      </w:tr>
      <w:tr w:rsidR="00230BDD" w:rsidRPr="009146F9" w:rsidTr="00FA751D">
        <w:trPr>
          <w:tblHeader/>
        </w:trPr>
        <w:tc>
          <w:tcPr>
            <w:tcW w:w="1668" w:type="dxa"/>
          </w:tcPr>
          <w:p w:rsidR="00230BDD" w:rsidRPr="009146F9" w:rsidRDefault="00230BDD" w:rsidP="00FC47DF">
            <w:pPr>
              <w:keepNext/>
              <w:spacing w:line="280" w:lineRule="atLeast"/>
              <w:rPr>
                <w:rFonts w:ascii="Gill Sans MT" w:hAnsi="Gill Sans MT"/>
                <w:sz w:val="18"/>
                <w:szCs w:val="18"/>
              </w:rPr>
            </w:pPr>
            <w:r w:rsidRPr="009146F9">
              <w:rPr>
                <w:rFonts w:ascii="Gill Sans MT" w:hAnsi="Gill Sans MT"/>
                <w:sz w:val="18"/>
                <w:szCs w:val="18"/>
              </w:rPr>
              <w:t>2014-25</w:t>
            </w:r>
          </w:p>
        </w:tc>
        <w:tc>
          <w:tcPr>
            <w:tcW w:w="1731"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475 510</w:t>
            </w:r>
          </w:p>
        </w:tc>
        <w:tc>
          <w:tcPr>
            <w:tcW w:w="1680"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3 431</w:t>
            </w:r>
          </w:p>
        </w:tc>
        <w:tc>
          <w:tcPr>
            <w:tcW w:w="1719"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2 571</w:t>
            </w:r>
          </w:p>
        </w:tc>
        <w:tc>
          <w:tcPr>
            <w:tcW w:w="1724"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1 739</w:t>
            </w:r>
          </w:p>
        </w:tc>
      </w:tr>
      <w:tr w:rsidR="00230BDD" w:rsidRPr="009146F9" w:rsidTr="00FA751D">
        <w:trPr>
          <w:tblHeader/>
        </w:trPr>
        <w:tc>
          <w:tcPr>
            <w:tcW w:w="1668" w:type="dxa"/>
          </w:tcPr>
          <w:p w:rsidR="00230BDD" w:rsidRPr="009146F9" w:rsidRDefault="00230BDD" w:rsidP="00FC47DF">
            <w:pPr>
              <w:keepNext/>
              <w:spacing w:line="280" w:lineRule="atLeast"/>
              <w:rPr>
                <w:rFonts w:ascii="Gill Sans MT" w:hAnsi="Gill Sans MT"/>
                <w:sz w:val="18"/>
                <w:szCs w:val="18"/>
              </w:rPr>
            </w:pPr>
            <w:r w:rsidRPr="009146F9">
              <w:rPr>
                <w:rFonts w:ascii="Gill Sans MT" w:hAnsi="Gill Sans MT"/>
                <w:sz w:val="18"/>
                <w:szCs w:val="18"/>
              </w:rPr>
              <w:t>2015-26</w:t>
            </w:r>
          </w:p>
        </w:tc>
        <w:tc>
          <w:tcPr>
            <w:tcW w:w="1731"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469 610</w:t>
            </w:r>
          </w:p>
        </w:tc>
        <w:tc>
          <w:tcPr>
            <w:tcW w:w="1680"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3 738</w:t>
            </w:r>
          </w:p>
        </w:tc>
        <w:tc>
          <w:tcPr>
            <w:tcW w:w="1719"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2 309</w:t>
            </w:r>
          </w:p>
        </w:tc>
        <w:tc>
          <w:tcPr>
            <w:tcW w:w="1724" w:type="dxa"/>
          </w:tcPr>
          <w:p w:rsidR="00230BDD" w:rsidRPr="009146F9" w:rsidRDefault="00230BDD" w:rsidP="00FC47DF">
            <w:pPr>
              <w:keepNext/>
              <w:spacing w:line="280" w:lineRule="atLeast"/>
              <w:jc w:val="center"/>
              <w:rPr>
                <w:rFonts w:ascii="Gill Sans MT" w:hAnsi="Gill Sans MT"/>
                <w:sz w:val="18"/>
                <w:szCs w:val="18"/>
              </w:rPr>
            </w:pPr>
            <w:r w:rsidRPr="009146F9">
              <w:rPr>
                <w:rFonts w:ascii="Gill Sans MT" w:hAnsi="Gill Sans MT"/>
                <w:sz w:val="18"/>
                <w:szCs w:val="18"/>
              </w:rPr>
              <w:t>1 920</w:t>
            </w:r>
          </w:p>
        </w:tc>
      </w:tr>
      <w:tr w:rsidR="00230BDD" w:rsidRPr="009146F9" w:rsidTr="00FA751D">
        <w:trPr>
          <w:tblHeader/>
        </w:trPr>
        <w:tc>
          <w:tcPr>
            <w:tcW w:w="8522" w:type="dxa"/>
            <w:gridSpan w:val="5"/>
          </w:tcPr>
          <w:p w:rsidR="00230BDD" w:rsidRPr="009146F9" w:rsidRDefault="00230BDD" w:rsidP="00FC47DF">
            <w:pPr>
              <w:keepNext/>
              <w:spacing w:line="280" w:lineRule="atLeast"/>
              <w:rPr>
                <w:rFonts w:ascii="Gill Sans MT" w:hAnsi="Gill Sans MT"/>
                <w:sz w:val="18"/>
                <w:szCs w:val="18"/>
              </w:rPr>
            </w:pPr>
            <w:r w:rsidRPr="009146F9">
              <w:rPr>
                <w:rFonts w:ascii="Gill Sans MT" w:hAnsi="Gill Sans MT"/>
                <w:i/>
                <w:sz w:val="18"/>
                <w:szCs w:val="18"/>
              </w:rPr>
              <w:t>Source: Tasmania Police Corporate Performance Report 2010-2016.</w:t>
            </w:r>
          </w:p>
        </w:tc>
      </w:tr>
    </w:tbl>
    <w:p w:rsidR="00C07138" w:rsidRPr="009146F9" w:rsidRDefault="00C07138" w:rsidP="00FC47DF">
      <w:pPr>
        <w:pStyle w:val="ListParagraph"/>
        <w:keepNext/>
        <w:numPr>
          <w:ilvl w:val="0"/>
          <w:numId w:val="1"/>
        </w:numPr>
        <w:spacing w:before="120" w:after="120" w:line="280" w:lineRule="atLeast"/>
        <w:ind w:left="714" w:hanging="357"/>
        <w:contextualSpacing w:val="0"/>
        <w:rPr>
          <w:rFonts w:ascii="Gill Sans MT" w:hAnsi="Gill Sans MT"/>
        </w:rPr>
      </w:pPr>
      <w:r w:rsidRPr="009146F9">
        <w:rPr>
          <w:rFonts w:ascii="Gill Sans MT" w:hAnsi="Gill Sans MT"/>
        </w:rPr>
        <w:t>Tasmania Police Marine Services continue to patrol Tasmanian waterways with 5 672 hours being allocated to patrols in 2015-16</w:t>
      </w:r>
      <w:r w:rsidRPr="009146F9">
        <w:rPr>
          <w:rStyle w:val="FootnoteReference"/>
          <w:rFonts w:ascii="Gill Sans MT" w:hAnsi="Gill Sans MT"/>
        </w:rPr>
        <w:footnoteReference w:id="7"/>
      </w:r>
      <w:r w:rsidRPr="009146F9">
        <w:rPr>
          <w:rFonts w:ascii="Gill Sans MT" w:hAnsi="Gill Sans MT"/>
        </w:rPr>
        <w:t>.</w:t>
      </w:r>
    </w:p>
    <w:p w:rsidR="00C07138" w:rsidRPr="009146F9" w:rsidRDefault="00C07138" w:rsidP="00FC47DF">
      <w:pPr>
        <w:pStyle w:val="ListParagraph"/>
        <w:keepNext/>
        <w:numPr>
          <w:ilvl w:val="0"/>
          <w:numId w:val="1"/>
        </w:numPr>
        <w:spacing w:before="120" w:after="120" w:line="280" w:lineRule="atLeast"/>
        <w:ind w:left="714" w:hanging="357"/>
        <w:contextualSpacing w:val="0"/>
        <w:rPr>
          <w:rFonts w:ascii="Gill Sans MT" w:hAnsi="Gill Sans MT"/>
        </w:rPr>
      </w:pPr>
      <w:r w:rsidRPr="009146F9">
        <w:rPr>
          <w:rFonts w:ascii="Gill Sans MT" w:hAnsi="Gill Sans MT"/>
        </w:rPr>
        <w:t xml:space="preserve">In 2015-16, Tasmania Police </w:t>
      </w:r>
      <w:r w:rsidR="005D5B57" w:rsidRPr="009146F9">
        <w:rPr>
          <w:rFonts w:ascii="Gill Sans MT" w:hAnsi="Gill Sans MT"/>
        </w:rPr>
        <w:t xml:space="preserve">recorded </w:t>
      </w:r>
      <w:r w:rsidRPr="009146F9">
        <w:rPr>
          <w:rFonts w:ascii="Gill Sans MT" w:hAnsi="Gill Sans MT"/>
        </w:rPr>
        <w:t xml:space="preserve">13 089 public order </w:t>
      </w:r>
      <w:r w:rsidR="005D5B57" w:rsidRPr="009146F9">
        <w:rPr>
          <w:rFonts w:ascii="Gill Sans MT" w:hAnsi="Gill Sans MT"/>
        </w:rPr>
        <w:t xml:space="preserve">activities </w:t>
      </w:r>
      <w:r w:rsidRPr="009146F9">
        <w:rPr>
          <w:rFonts w:ascii="Gill Sans MT" w:hAnsi="Gill Sans MT"/>
        </w:rPr>
        <w:t>relating to alcohol which is an increase from 11 338 reported in 2010-11</w:t>
      </w:r>
      <w:r w:rsidRPr="009146F9">
        <w:rPr>
          <w:rStyle w:val="FootnoteReference"/>
          <w:rFonts w:ascii="Gill Sans MT" w:hAnsi="Gill Sans MT"/>
        </w:rPr>
        <w:footnoteReference w:id="8"/>
      </w:r>
      <w:r w:rsidRPr="009146F9">
        <w:rPr>
          <w:rFonts w:ascii="Gill Sans MT" w:hAnsi="Gill Sans MT"/>
        </w:rPr>
        <w:t>.</w:t>
      </w:r>
    </w:p>
    <w:p w:rsidR="00C07138" w:rsidRPr="009146F9" w:rsidRDefault="00C07138" w:rsidP="00FC47DF">
      <w:pPr>
        <w:keepNext/>
        <w:spacing w:before="120" w:after="120" w:line="280" w:lineRule="atLeast"/>
        <w:ind w:left="720"/>
        <w:rPr>
          <w:rFonts w:ascii="Gill Sans MT" w:hAnsi="Gill Sans MT"/>
          <w:sz w:val="20"/>
        </w:rPr>
      </w:pPr>
      <w:r w:rsidRPr="009146F9">
        <w:rPr>
          <w:rFonts w:ascii="Gill Sans MT" w:hAnsi="Gill Sans MT"/>
          <w:b/>
          <w:sz w:val="20"/>
        </w:rPr>
        <w:t>Table 3.3:</w:t>
      </w:r>
      <w:r w:rsidRPr="009146F9">
        <w:rPr>
          <w:rFonts w:ascii="Gill Sans MT" w:hAnsi="Gill Sans MT"/>
          <w:sz w:val="20"/>
        </w:rPr>
        <w:t xml:space="preserve"> Public Order </w:t>
      </w:r>
      <w:r w:rsidR="005D5B57" w:rsidRPr="009146F9">
        <w:rPr>
          <w:rFonts w:ascii="Gill Sans MT" w:hAnsi="Gill Sans MT"/>
          <w:sz w:val="20"/>
        </w:rPr>
        <w:t>Activities</w:t>
      </w:r>
      <w:r w:rsidRPr="009146F9">
        <w:rPr>
          <w:rFonts w:ascii="Gill Sans MT" w:hAnsi="Gill Sans MT"/>
          <w:sz w:val="20"/>
        </w:rPr>
        <w:t xml:space="preserve"> - Tasmania 2010 - 2016</w:t>
      </w:r>
    </w:p>
    <w:tbl>
      <w:tblPr>
        <w:tblStyle w:val="TableGrid"/>
        <w:tblW w:w="0" w:type="auto"/>
        <w:tblInd w:w="817" w:type="dxa"/>
        <w:tblLayout w:type="fixed"/>
        <w:tblCellMar>
          <w:top w:w="57" w:type="dxa"/>
          <w:left w:w="57" w:type="dxa"/>
          <w:bottom w:w="57" w:type="dxa"/>
          <w:right w:w="57" w:type="dxa"/>
        </w:tblCellMar>
        <w:tblLook w:val="04A0" w:firstRow="1" w:lastRow="0" w:firstColumn="1" w:lastColumn="0" w:noHBand="0" w:noVBand="1"/>
        <w:tblCaption w:val="Table 3.3"/>
        <w:tblDescription w:val="Public Order Activities"/>
      </w:tblPr>
      <w:tblGrid>
        <w:gridCol w:w="2501"/>
        <w:gridCol w:w="850"/>
        <w:gridCol w:w="992"/>
        <w:gridCol w:w="993"/>
        <w:gridCol w:w="992"/>
        <w:gridCol w:w="992"/>
        <w:gridCol w:w="992"/>
      </w:tblGrid>
      <w:tr w:rsidR="00C07138" w:rsidRPr="009146F9" w:rsidTr="00FA751D">
        <w:trPr>
          <w:tblHeader/>
        </w:trPr>
        <w:tc>
          <w:tcPr>
            <w:tcW w:w="2501"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 xml:space="preserve">Public Order </w:t>
            </w:r>
            <w:r w:rsidR="005D5B57" w:rsidRPr="009146F9">
              <w:rPr>
                <w:rFonts w:ascii="Gill Sans MT" w:hAnsi="Gill Sans MT"/>
                <w:sz w:val="20"/>
              </w:rPr>
              <w:t>Activities</w:t>
            </w:r>
          </w:p>
        </w:tc>
        <w:tc>
          <w:tcPr>
            <w:tcW w:w="850"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2010-11</w:t>
            </w:r>
          </w:p>
        </w:tc>
        <w:tc>
          <w:tcPr>
            <w:tcW w:w="992"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2011-12</w:t>
            </w:r>
          </w:p>
        </w:tc>
        <w:tc>
          <w:tcPr>
            <w:tcW w:w="993"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2012-13</w:t>
            </w:r>
          </w:p>
        </w:tc>
        <w:tc>
          <w:tcPr>
            <w:tcW w:w="992"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2013-14</w:t>
            </w:r>
          </w:p>
        </w:tc>
        <w:tc>
          <w:tcPr>
            <w:tcW w:w="992" w:type="dxa"/>
            <w:shd w:val="clear" w:color="auto" w:fill="D9D9D9" w:themeFill="background1" w:themeFillShade="D9"/>
          </w:tcPr>
          <w:p w:rsidR="00C07138" w:rsidRPr="009146F9" w:rsidRDefault="00C07138" w:rsidP="00FC47DF">
            <w:pPr>
              <w:keepNext/>
              <w:spacing w:line="280" w:lineRule="atLeast"/>
              <w:rPr>
                <w:rFonts w:ascii="Gill Sans MT" w:hAnsi="Gill Sans MT"/>
                <w:sz w:val="20"/>
              </w:rPr>
            </w:pPr>
            <w:r w:rsidRPr="009146F9">
              <w:rPr>
                <w:rFonts w:ascii="Gill Sans MT" w:hAnsi="Gill Sans MT"/>
                <w:sz w:val="20"/>
              </w:rPr>
              <w:t>2014-15</w:t>
            </w:r>
          </w:p>
        </w:tc>
        <w:tc>
          <w:tcPr>
            <w:tcW w:w="992" w:type="dxa"/>
            <w:shd w:val="clear" w:color="auto" w:fill="D9D9D9" w:themeFill="background1" w:themeFillShade="D9"/>
          </w:tcPr>
          <w:p w:rsidR="00C07138" w:rsidRPr="009146F9" w:rsidRDefault="00C07138" w:rsidP="00FC47DF">
            <w:pPr>
              <w:keepNext/>
              <w:spacing w:line="280" w:lineRule="atLeast"/>
              <w:rPr>
                <w:rFonts w:ascii="Gill Sans MT" w:hAnsi="Gill Sans MT"/>
                <w:sz w:val="20"/>
                <w:vertAlign w:val="superscript"/>
              </w:rPr>
            </w:pPr>
            <w:r w:rsidRPr="009146F9">
              <w:rPr>
                <w:rFonts w:ascii="Gill Sans MT" w:hAnsi="Gill Sans MT"/>
                <w:sz w:val="20"/>
              </w:rPr>
              <w:t>2015-2016</w:t>
            </w:r>
          </w:p>
        </w:tc>
      </w:tr>
      <w:tr w:rsidR="00C07138" w:rsidRPr="009146F9" w:rsidTr="00FA751D">
        <w:trPr>
          <w:tblHeader/>
        </w:trPr>
        <w:tc>
          <w:tcPr>
            <w:tcW w:w="2501" w:type="dxa"/>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Custody - Public Drunkenness</w:t>
            </w:r>
          </w:p>
        </w:tc>
        <w:tc>
          <w:tcPr>
            <w:tcW w:w="850"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44</w:t>
            </w:r>
          </w:p>
        </w:tc>
        <w:tc>
          <w:tcPr>
            <w:tcW w:w="992"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54</w:t>
            </w:r>
          </w:p>
        </w:tc>
        <w:tc>
          <w:tcPr>
            <w:tcW w:w="993"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w:t>
            </w:r>
          </w:p>
        </w:tc>
        <w:tc>
          <w:tcPr>
            <w:tcW w:w="992"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82</w:t>
            </w:r>
          </w:p>
        </w:tc>
        <w:tc>
          <w:tcPr>
            <w:tcW w:w="992"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76</w:t>
            </w:r>
          </w:p>
        </w:tc>
        <w:tc>
          <w:tcPr>
            <w:tcW w:w="992"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102</w:t>
            </w:r>
          </w:p>
        </w:tc>
      </w:tr>
      <w:tr w:rsidR="00C07138" w:rsidRPr="009146F9" w:rsidTr="00FA751D">
        <w:trPr>
          <w:tblHeader/>
        </w:trPr>
        <w:tc>
          <w:tcPr>
            <w:tcW w:w="2501" w:type="dxa"/>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Licensed Premise Visits</w:t>
            </w:r>
          </w:p>
        </w:tc>
        <w:tc>
          <w:tcPr>
            <w:tcW w:w="850"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7 644</w:t>
            </w:r>
          </w:p>
        </w:tc>
        <w:tc>
          <w:tcPr>
            <w:tcW w:w="992"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5 975</w:t>
            </w:r>
          </w:p>
        </w:tc>
        <w:tc>
          <w:tcPr>
            <w:tcW w:w="993"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w:t>
            </w:r>
          </w:p>
        </w:tc>
        <w:tc>
          <w:tcPr>
            <w:tcW w:w="992"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9 581</w:t>
            </w:r>
          </w:p>
        </w:tc>
        <w:tc>
          <w:tcPr>
            <w:tcW w:w="992"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10 782</w:t>
            </w:r>
          </w:p>
        </w:tc>
        <w:tc>
          <w:tcPr>
            <w:tcW w:w="992" w:type="dxa"/>
            <w:vAlign w:val="center"/>
          </w:tcPr>
          <w:p w:rsidR="00C07138" w:rsidRPr="009146F9" w:rsidRDefault="00C07138" w:rsidP="00FC47DF">
            <w:pPr>
              <w:keepNext/>
              <w:spacing w:line="280" w:lineRule="atLeast"/>
              <w:rPr>
                <w:rFonts w:ascii="Gill Sans MT" w:hAnsi="Gill Sans MT"/>
                <w:sz w:val="18"/>
              </w:rPr>
            </w:pPr>
            <w:r w:rsidRPr="009146F9">
              <w:rPr>
                <w:rFonts w:ascii="Gill Sans MT" w:hAnsi="Gill Sans MT"/>
                <w:sz w:val="18"/>
              </w:rPr>
              <w:t>11 600</w:t>
            </w:r>
          </w:p>
        </w:tc>
      </w:tr>
      <w:tr w:rsidR="00C07138" w:rsidRPr="009146F9" w:rsidTr="00FA751D">
        <w:trPr>
          <w:tblHeader/>
        </w:trPr>
        <w:tc>
          <w:tcPr>
            <w:tcW w:w="2501" w:type="dxa"/>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Liquor Confiscations</w:t>
            </w:r>
          </w:p>
        </w:tc>
        <w:tc>
          <w:tcPr>
            <w:tcW w:w="850" w:type="dxa"/>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1 530</w:t>
            </w:r>
          </w:p>
        </w:tc>
        <w:tc>
          <w:tcPr>
            <w:tcW w:w="992" w:type="dxa"/>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1 040</w:t>
            </w:r>
          </w:p>
        </w:tc>
        <w:tc>
          <w:tcPr>
            <w:tcW w:w="993" w:type="dxa"/>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w:t>
            </w:r>
          </w:p>
        </w:tc>
        <w:tc>
          <w:tcPr>
            <w:tcW w:w="992" w:type="dxa"/>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229</w:t>
            </w:r>
          </w:p>
        </w:tc>
        <w:tc>
          <w:tcPr>
            <w:tcW w:w="992" w:type="dxa"/>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296</w:t>
            </w:r>
          </w:p>
        </w:tc>
        <w:tc>
          <w:tcPr>
            <w:tcW w:w="992" w:type="dxa"/>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357</w:t>
            </w:r>
          </w:p>
        </w:tc>
      </w:tr>
      <w:tr w:rsidR="00C07138" w:rsidRPr="009146F9" w:rsidTr="00FA751D">
        <w:trPr>
          <w:tblHeader/>
        </w:trPr>
        <w:tc>
          <w:tcPr>
            <w:tcW w:w="2501" w:type="dxa"/>
            <w:tcBorders>
              <w:bottom w:val="single" w:sz="4" w:space="0" w:color="auto"/>
            </w:tcBorders>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Liquor Infringement Notices</w:t>
            </w:r>
          </w:p>
        </w:tc>
        <w:tc>
          <w:tcPr>
            <w:tcW w:w="850" w:type="dxa"/>
            <w:tcBorders>
              <w:bottom w:val="single" w:sz="4" w:space="0" w:color="auto"/>
            </w:tcBorders>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2 120</w:t>
            </w:r>
          </w:p>
        </w:tc>
        <w:tc>
          <w:tcPr>
            <w:tcW w:w="992" w:type="dxa"/>
            <w:tcBorders>
              <w:bottom w:val="single" w:sz="4" w:space="0" w:color="auto"/>
            </w:tcBorders>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2 495</w:t>
            </w:r>
          </w:p>
        </w:tc>
        <w:tc>
          <w:tcPr>
            <w:tcW w:w="993" w:type="dxa"/>
            <w:tcBorders>
              <w:bottom w:val="single" w:sz="4" w:space="0" w:color="auto"/>
            </w:tcBorders>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3 548</w:t>
            </w:r>
          </w:p>
        </w:tc>
        <w:tc>
          <w:tcPr>
            <w:tcW w:w="992" w:type="dxa"/>
            <w:tcBorders>
              <w:bottom w:val="single" w:sz="4" w:space="0" w:color="auto"/>
            </w:tcBorders>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2 696</w:t>
            </w:r>
          </w:p>
        </w:tc>
        <w:tc>
          <w:tcPr>
            <w:tcW w:w="992" w:type="dxa"/>
            <w:tcBorders>
              <w:bottom w:val="single" w:sz="4" w:space="0" w:color="auto"/>
            </w:tcBorders>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976</w:t>
            </w:r>
          </w:p>
        </w:tc>
        <w:tc>
          <w:tcPr>
            <w:tcW w:w="992" w:type="dxa"/>
            <w:tcBorders>
              <w:bottom w:val="single" w:sz="4" w:space="0" w:color="auto"/>
            </w:tcBorders>
            <w:vAlign w:val="center"/>
          </w:tcPr>
          <w:p w:rsidR="00C07138" w:rsidRPr="009146F9" w:rsidRDefault="00C07138" w:rsidP="00FC47DF">
            <w:pPr>
              <w:keepNext/>
              <w:spacing w:line="280" w:lineRule="atLeast"/>
              <w:rPr>
                <w:rFonts w:ascii="Gill Sans MT" w:hAnsi="Gill Sans MT"/>
                <w:sz w:val="18"/>
                <w:szCs w:val="18"/>
              </w:rPr>
            </w:pPr>
            <w:r w:rsidRPr="009146F9">
              <w:rPr>
                <w:rFonts w:ascii="Gill Sans MT" w:hAnsi="Gill Sans MT"/>
                <w:sz w:val="18"/>
                <w:szCs w:val="18"/>
              </w:rPr>
              <w:t>1 030</w:t>
            </w:r>
          </w:p>
        </w:tc>
      </w:tr>
      <w:tr w:rsidR="00C07138" w:rsidRPr="009146F9" w:rsidTr="00FA751D">
        <w:trPr>
          <w:tblHeader/>
        </w:trPr>
        <w:tc>
          <w:tcPr>
            <w:tcW w:w="8312" w:type="dxa"/>
            <w:gridSpan w:val="7"/>
            <w:tcBorders>
              <w:top w:val="single" w:sz="4" w:space="0" w:color="auto"/>
              <w:left w:val="single" w:sz="4" w:space="0" w:color="auto"/>
              <w:bottom w:val="single" w:sz="4" w:space="0" w:color="auto"/>
              <w:right w:val="single" w:sz="4" w:space="0" w:color="auto"/>
            </w:tcBorders>
          </w:tcPr>
          <w:p w:rsidR="00C07138" w:rsidRPr="009146F9" w:rsidRDefault="00C07138" w:rsidP="00FC47DF">
            <w:pPr>
              <w:keepNext/>
              <w:spacing w:line="280" w:lineRule="atLeast"/>
              <w:rPr>
                <w:rFonts w:ascii="Gill Sans MT" w:hAnsi="Gill Sans MT"/>
                <w:sz w:val="18"/>
              </w:rPr>
            </w:pPr>
            <w:r w:rsidRPr="009146F9">
              <w:rPr>
                <w:rFonts w:ascii="Gill Sans MT" w:hAnsi="Gill Sans MT"/>
                <w:i/>
                <w:sz w:val="18"/>
              </w:rPr>
              <w:t xml:space="preserve">Source: </w:t>
            </w:r>
            <w:r w:rsidRPr="009146F9">
              <w:rPr>
                <w:rFonts w:ascii="Gill Sans MT" w:hAnsi="Gill Sans MT"/>
                <w:sz w:val="18"/>
              </w:rPr>
              <w:t xml:space="preserve">Tasmania Police Corporate Performance Reports 2010-2016. </w:t>
            </w:r>
          </w:p>
          <w:p w:rsidR="00711AC9" w:rsidRPr="009146F9" w:rsidRDefault="00711AC9" w:rsidP="00FC47DF">
            <w:pPr>
              <w:keepNext/>
              <w:spacing w:line="280" w:lineRule="atLeast"/>
              <w:rPr>
                <w:rFonts w:ascii="Gill Sans MT" w:hAnsi="Gill Sans MT"/>
                <w:sz w:val="18"/>
                <w:szCs w:val="18"/>
              </w:rPr>
            </w:pPr>
            <w:r w:rsidRPr="009146F9">
              <w:rPr>
                <w:rFonts w:ascii="Gill Sans MT" w:hAnsi="Gill Sans MT"/>
                <w:sz w:val="18"/>
              </w:rPr>
              <w:t>*Data not available for this time period.</w:t>
            </w:r>
          </w:p>
        </w:tc>
      </w:tr>
    </w:tbl>
    <w:p w:rsidR="00C07138" w:rsidRPr="009146F9" w:rsidRDefault="002E766D" w:rsidP="00FC47DF">
      <w:pPr>
        <w:pStyle w:val="ListParagraph"/>
        <w:keepNext/>
        <w:numPr>
          <w:ilvl w:val="0"/>
          <w:numId w:val="1"/>
        </w:numPr>
        <w:spacing w:before="120" w:after="120" w:line="280" w:lineRule="atLeast"/>
        <w:rPr>
          <w:rFonts w:ascii="Gill Sans MT" w:hAnsi="Gill Sans MT"/>
        </w:rPr>
      </w:pPr>
      <w:r w:rsidRPr="009146F9">
        <w:rPr>
          <w:rFonts w:ascii="Gill Sans MT" w:hAnsi="Gill Sans MT"/>
        </w:rPr>
        <w:t xml:space="preserve">The table below shows the number of family violence incidents reported </w:t>
      </w:r>
      <w:r w:rsidR="00AC0470" w:rsidRPr="009146F9">
        <w:rPr>
          <w:rFonts w:ascii="Gill Sans MT" w:hAnsi="Gill Sans MT"/>
        </w:rPr>
        <w:t>where</w:t>
      </w:r>
      <w:r w:rsidRPr="009146F9">
        <w:rPr>
          <w:rFonts w:ascii="Gill Sans MT" w:hAnsi="Gill Sans MT"/>
        </w:rPr>
        <w:t xml:space="preserve"> offenders and</w:t>
      </w:r>
      <w:r w:rsidR="00AC0470" w:rsidRPr="009146F9">
        <w:rPr>
          <w:rFonts w:ascii="Gill Sans MT" w:hAnsi="Gill Sans MT"/>
        </w:rPr>
        <w:t>/or</w:t>
      </w:r>
      <w:r w:rsidRPr="009146F9">
        <w:rPr>
          <w:rFonts w:ascii="Gill Sans MT" w:hAnsi="Gill Sans MT"/>
        </w:rPr>
        <w:t xml:space="preserve"> victims </w:t>
      </w:r>
      <w:r w:rsidR="00AC0470" w:rsidRPr="009146F9">
        <w:rPr>
          <w:rFonts w:ascii="Gill Sans MT" w:hAnsi="Gill Sans MT"/>
        </w:rPr>
        <w:t xml:space="preserve">were </w:t>
      </w:r>
      <w:r w:rsidRPr="009146F9">
        <w:rPr>
          <w:rFonts w:ascii="Gill Sans MT" w:hAnsi="Gill Sans MT"/>
        </w:rPr>
        <w:t>affected by alcohol.</w:t>
      </w:r>
      <w:r w:rsidR="00C07138" w:rsidRPr="009146F9">
        <w:rPr>
          <w:rFonts w:ascii="Gill Sans MT" w:hAnsi="Gill Sans MT"/>
        </w:rPr>
        <w:t xml:space="preserve"> </w:t>
      </w:r>
    </w:p>
    <w:p w:rsidR="00C07138" w:rsidRPr="009146F9" w:rsidRDefault="00C07138" w:rsidP="00FC47DF">
      <w:pPr>
        <w:keepNext/>
        <w:spacing w:before="120" w:after="120" w:line="280" w:lineRule="atLeast"/>
        <w:ind w:left="720"/>
        <w:rPr>
          <w:rFonts w:ascii="Gill Sans MT" w:hAnsi="Gill Sans MT"/>
          <w:sz w:val="20"/>
        </w:rPr>
      </w:pPr>
      <w:r w:rsidRPr="009146F9">
        <w:rPr>
          <w:rFonts w:ascii="Gill Sans MT" w:hAnsi="Gill Sans MT"/>
          <w:b/>
          <w:sz w:val="20"/>
        </w:rPr>
        <w:t>Table 3.4:</w:t>
      </w:r>
      <w:r w:rsidRPr="009146F9">
        <w:rPr>
          <w:rFonts w:ascii="Gill Sans MT" w:hAnsi="Gill Sans MT"/>
          <w:sz w:val="20"/>
        </w:rPr>
        <w:t xml:space="preserve"> </w:t>
      </w:r>
      <w:r w:rsidR="005D7369" w:rsidRPr="009146F9">
        <w:rPr>
          <w:rFonts w:ascii="Gill Sans MT" w:hAnsi="Gill Sans MT"/>
          <w:sz w:val="20"/>
        </w:rPr>
        <w:t>Family Violence</w:t>
      </w:r>
      <w:r w:rsidRPr="009146F9">
        <w:rPr>
          <w:rFonts w:ascii="Gill Sans MT" w:hAnsi="Gill Sans MT"/>
          <w:sz w:val="20"/>
        </w:rPr>
        <w:t xml:space="preserve"> Incidents - Offender and Victim affected by Alcohol 2010 - 2016</w:t>
      </w:r>
    </w:p>
    <w:tbl>
      <w:tblPr>
        <w:tblStyle w:val="TableGrid"/>
        <w:tblW w:w="0" w:type="auto"/>
        <w:tblInd w:w="817" w:type="dxa"/>
        <w:tblCellMar>
          <w:top w:w="57" w:type="dxa"/>
          <w:left w:w="57" w:type="dxa"/>
          <w:bottom w:w="57" w:type="dxa"/>
          <w:right w:w="57" w:type="dxa"/>
        </w:tblCellMar>
        <w:tblLook w:val="04A0" w:firstRow="1" w:lastRow="0" w:firstColumn="1" w:lastColumn="0" w:noHBand="0" w:noVBand="1"/>
        <w:tblCaption w:val="Table 3.4"/>
        <w:tblDescription w:val="Family Violence Incidence"/>
      </w:tblPr>
      <w:tblGrid>
        <w:gridCol w:w="914"/>
        <w:gridCol w:w="2525"/>
        <w:gridCol w:w="2514"/>
      </w:tblGrid>
      <w:tr w:rsidR="00773D3A" w:rsidRPr="009146F9" w:rsidTr="00FA751D">
        <w:trPr>
          <w:tblHeader/>
        </w:trPr>
        <w:tc>
          <w:tcPr>
            <w:tcW w:w="914" w:type="dxa"/>
            <w:shd w:val="clear" w:color="auto" w:fill="D9D9D9" w:themeFill="background1" w:themeFillShade="D9"/>
          </w:tcPr>
          <w:p w:rsidR="00773D3A" w:rsidRPr="009146F9" w:rsidRDefault="00773D3A" w:rsidP="00FC47DF">
            <w:pPr>
              <w:keepNext/>
              <w:spacing w:line="280" w:lineRule="atLeast"/>
              <w:rPr>
                <w:rFonts w:ascii="Gill Sans MT" w:hAnsi="Gill Sans MT"/>
                <w:color w:val="FFFFFF" w:themeColor="background1"/>
                <w:sz w:val="20"/>
              </w:rPr>
            </w:pPr>
            <w:r w:rsidRPr="009146F9">
              <w:rPr>
                <w:rFonts w:ascii="Gill Sans MT" w:hAnsi="Gill Sans MT"/>
                <w:sz w:val="20"/>
              </w:rPr>
              <w:t>Year</w:t>
            </w:r>
          </w:p>
        </w:tc>
        <w:tc>
          <w:tcPr>
            <w:tcW w:w="2525" w:type="dxa"/>
            <w:shd w:val="clear" w:color="auto" w:fill="D9D9D9" w:themeFill="background1" w:themeFillShade="D9"/>
          </w:tcPr>
          <w:p w:rsidR="00773D3A" w:rsidRPr="009146F9" w:rsidRDefault="00773D3A" w:rsidP="00FC47DF">
            <w:pPr>
              <w:keepNext/>
              <w:spacing w:line="280" w:lineRule="atLeast"/>
              <w:rPr>
                <w:rFonts w:ascii="Gill Sans MT" w:hAnsi="Gill Sans MT"/>
                <w:sz w:val="20"/>
              </w:rPr>
            </w:pPr>
            <w:r w:rsidRPr="009146F9">
              <w:rPr>
                <w:rFonts w:ascii="Gill Sans MT" w:hAnsi="Gill Sans MT"/>
                <w:sz w:val="20"/>
              </w:rPr>
              <w:t>Offender Affected by Alcohol</w:t>
            </w:r>
          </w:p>
        </w:tc>
        <w:tc>
          <w:tcPr>
            <w:tcW w:w="2514" w:type="dxa"/>
            <w:shd w:val="clear" w:color="auto" w:fill="D9D9D9" w:themeFill="background1" w:themeFillShade="D9"/>
          </w:tcPr>
          <w:p w:rsidR="00773D3A" w:rsidRPr="009146F9" w:rsidRDefault="00773D3A" w:rsidP="00FC47DF">
            <w:pPr>
              <w:keepNext/>
              <w:spacing w:line="280" w:lineRule="atLeast"/>
              <w:rPr>
                <w:rFonts w:ascii="Gill Sans MT" w:hAnsi="Gill Sans MT"/>
                <w:sz w:val="20"/>
              </w:rPr>
            </w:pPr>
            <w:r w:rsidRPr="009146F9">
              <w:rPr>
                <w:rFonts w:ascii="Gill Sans MT" w:hAnsi="Gill Sans MT"/>
                <w:sz w:val="20"/>
              </w:rPr>
              <w:t>Victim Affected by Alcohol</w:t>
            </w:r>
          </w:p>
        </w:tc>
      </w:tr>
      <w:tr w:rsidR="00773D3A" w:rsidRPr="009146F9" w:rsidTr="00FA751D">
        <w:trPr>
          <w:tblHeader/>
        </w:trPr>
        <w:tc>
          <w:tcPr>
            <w:tcW w:w="914" w:type="dxa"/>
          </w:tcPr>
          <w:p w:rsidR="00773D3A" w:rsidRPr="009146F9" w:rsidRDefault="00773D3A" w:rsidP="00FC47DF">
            <w:pPr>
              <w:keepNext/>
              <w:spacing w:line="280" w:lineRule="atLeast"/>
              <w:rPr>
                <w:rFonts w:ascii="Gill Sans MT" w:hAnsi="Gill Sans MT"/>
              </w:rPr>
            </w:pPr>
            <w:r w:rsidRPr="009146F9">
              <w:rPr>
                <w:rFonts w:ascii="Gill Sans MT" w:hAnsi="Gill Sans MT"/>
              </w:rPr>
              <w:t>2010-11</w:t>
            </w:r>
          </w:p>
        </w:tc>
        <w:tc>
          <w:tcPr>
            <w:tcW w:w="2525" w:type="dxa"/>
          </w:tcPr>
          <w:p w:rsidR="00773D3A" w:rsidRPr="009146F9" w:rsidRDefault="00773D3A" w:rsidP="00FC47DF">
            <w:pPr>
              <w:keepNext/>
              <w:spacing w:line="280" w:lineRule="atLeast"/>
              <w:rPr>
                <w:rFonts w:ascii="Gill Sans MT" w:hAnsi="Gill Sans MT"/>
              </w:rPr>
            </w:pPr>
            <w:r w:rsidRPr="009146F9">
              <w:rPr>
                <w:rFonts w:ascii="Gill Sans MT" w:hAnsi="Gill Sans MT"/>
              </w:rPr>
              <w:t>825</w:t>
            </w:r>
          </w:p>
        </w:tc>
        <w:tc>
          <w:tcPr>
            <w:tcW w:w="2514" w:type="dxa"/>
          </w:tcPr>
          <w:p w:rsidR="00773D3A" w:rsidRPr="009146F9" w:rsidRDefault="00773D3A" w:rsidP="00FC47DF">
            <w:pPr>
              <w:keepNext/>
              <w:spacing w:line="280" w:lineRule="atLeast"/>
              <w:rPr>
                <w:rFonts w:ascii="Gill Sans MT" w:hAnsi="Gill Sans MT"/>
              </w:rPr>
            </w:pPr>
            <w:r w:rsidRPr="009146F9">
              <w:rPr>
                <w:rFonts w:ascii="Gill Sans MT" w:hAnsi="Gill Sans MT"/>
              </w:rPr>
              <w:t>370</w:t>
            </w:r>
          </w:p>
        </w:tc>
      </w:tr>
      <w:tr w:rsidR="00773D3A" w:rsidRPr="009146F9" w:rsidTr="00FA751D">
        <w:trPr>
          <w:tblHeader/>
        </w:trPr>
        <w:tc>
          <w:tcPr>
            <w:tcW w:w="914" w:type="dxa"/>
          </w:tcPr>
          <w:p w:rsidR="00773D3A" w:rsidRPr="009146F9" w:rsidRDefault="00773D3A" w:rsidP="00FC47DF">
            <w:pPr>
              <w:keepNext/>
              <w:spacing w:line="280" w:lineRule="atLeast"/>
              <w:rPr>
                <w:rFonts w:ascii="Gill Sans MT" w:hAnsi="Gill Sans MT"/>
              </w:rPr>
            </w:pPr>
            <w:r w:rsidRPr="009146F9">
              <w:rPr>
                <w:rFonts w:ascii="Gill Sans MT" w:hAnsi="Gill Sans MT"/>
              </w:rPr>
              <w:t>2011-12</w:t>
            </w:r>
          </w:p>
        </w:tc>
        <w:tc>
          <w:tcPr>
            <w:tcW w:w="2525" w:type="dxa"/>
          </w:tcPr>
          <w:p w:rsidR="00773D3A" w:rsidRPr="009146F9" w:rsidRDefault="00773D3A" w:rsidP="00FC47DF">
            <w:pPr>
              <w:keepNext/>
              <w:spacing w:line="280" w:lineRule="atLeast"/>
              <w:rPr>
                <w:rFonts w:ascii="Gill Sans MT" w:hAnsi="Gill Sans MT"/>
              </w:rPr>
            </w:pPr>
            <w:r w:rsidRPr="009146F9">
              <w:rPr>
                <w:rFonts w:ascii="Gill Sans MT" w:hAnsi="Gill Sans MT"/>
              </w:rPr>
              <w:t>783</w:t>
            </w:r>
          </w:p>
        </w:tc>
        <w:tc>
          <w:tcPr>
            <w:tcW w:w="2514" w:type="dxa"/>
          </w:tcPr>
          <w:p w:rsidR="00773D3A" w:rsidRPr="009146F9" w:rsidRDefault="00773D3A" w:rsidP="00FC47DF">
            <w:pPr>
              <w:keepNext/>
              <w:spacing w:line="280" w:lineRule="atLeast"/>
              <w:rPr>
                <w:rFonts w:ascii="Gill Sans MT" w:hAnsi="Gill Sans MT"/>
              </w:rPr>
            </w:pPr>
            <w:r w:rsidRPr="009146F9">
              <w:rPr>
                <w:rFonts w:ascii="Gill Sans MT" w:hAnsi="Gill Sans MT"/>
              </w:rPr>
              <w:t>302</w:t>
            </w:r>
          </w:p>
        </w:tc>
      </w:tr>
      <w:tr w:rsidR="00773D3A" w:rsidRPr="009146F9" w:rsidTr="00FA751D">
        <w:trPr>
          <w:tblHeader/>
        </w:trPr>
        <w:tc>
          <w:tcPr>
            <w:tcW w:w="914" w:type="dxa"/>
          </w:tcPr>
          <w:p w:rsidR="00773D3A" w:rsidRPr="009146F9" w:rsidRDefault="00773D3A" w:rsidP="00FC47DF">
            <w:pPr>
              <w:keepNext/>
              <w:spacing w:line="280" w:lineRule="atLeast"/>
              <w:rPr>
                <w:rFonts w:ascii="Gill Sans MT" w:hAnsi="Gill Sans MT"/>
              </w:rPr>
            </w:pPr>
            <w:r w:rsidRPr="009146F9">
              <w:rPr>
                <w:rFonts w:ascii="Gill Sans MT" w:hAnsi="Gill Sans MT"/>
              </w:rPr>
              <w:t>2012-13</w:t>
            </w:r>
          </w:p>
        </w:tc>
        <w:tc>
          <w:tcPr>
            <w:tcW w:w="2525" w:type="dxa"/>
          </w:tcPr>
          <w:p w:rsidR="00773D3A" w:rsidRPr="009146F9" w:rsidRDefault="00773D3A" w:rsidP="00FC47DF">
            <w:pPr>
              <w:keepNext/>
              <w:spacing w:line="280" w:lineRule="atLeast"/>
              <w:rPr>
                <w:rFonts w:ascii="Gill Sans MT" w:hAnsi="Gill Sans MT"/>
              </w:rPr>
            </w:pPr>
            <w:r w:rsidRPr="009146F9">
              <w:rPr>
                <w:rFonts w:ascii="Gill Sans MT" w:hAnsi="Gill Sans MT"/>
              </w:rPr>
              <w:t>759</w:t>
            </w:r>
          </w:p>
        </w:tc>
        <w:tc>
          <w:tcPr>
            <w:tcW w:w="2514" w:type="dxa"/>
          </w:tcPr>
          <w:p w:rsidR="00773D3A" w:rsidRPr="009146F9" w:rsidRDefault="00773D3A" w:rsidP="00FC47DF">
            <w:pPr>
              <w:keepNext/>
              <w:spacing w:line="280" w:lineRule="atLeast"/>
              <w:rPr>
                <w:rFonts w:ascii="Gill Sans MT" w:hAnsi="Gill Sans MT"/>
              </w:rPr>
            </w:pPr>
            <w:r w:rsidRPr="009146F9">
              <w:rPr>
                <w:rFonts w:ascii="Gill Sans MT" w:hAnsi="Gill Sans MT"/>
              </w:rPr>
              <w:t>228</w:t>
            </w:r>
          </w:p>
        </w:tc>
      </w:tr>
      <w:tr w:rsidR="00773D3A" w:rsidRPr="009146F9" w:rsidTr="00FA751D">
        <w:trPr>
          <w:tblHeader/>
        </w:trPr>
        <w:tc>
          <w:tcPr>
            <w:tcW w:w="914" w:type="dxa"/>
          </w:tcPr>
          <w:p w:rsidR="00773D3A" w:rsidRPr="009146F9" w:rsidRDefault="00773D3A" w:rsidP="00FC47DF">
            <w:pPr>
              <w:keepNext/>
              <w:spacing w:line="280" w:lineRule="atLeast"/>
              <w:rPr>
                <w:rFonts w:ascii="Gill Sans MT" w:hAnsi="Gill Sans MT"/>
              </w:rPr>
            </w:pPr>
            <w:r w:rsidRPr="009146F9">
              <w:rPr>
                <w:rFonts w:ascii="Gill Sans MT" w:hAnsi="Gill Sans MT"/>
              </w:rPr>
              <w:t>2013-14</w:t>
            </w:r>
          </w:p>
        </w:tc>
        <w:tc>
          <w:tcPr>
            <w:tcW w:w="2525" w:type="dxa"/>
          </w:tcPr>
          <w:p w:rsidR="00773D3A" w:rsidRPr="009146F9" w:rsidRDefault="00773D3A" w:rsidP="00FC47DF">
            <w:pPr>
              <w:keepNext/>
              <w:spacing w:line="280" w:lineRule="atLeast"/>
              <w:rPr>
                <w:rFonts w:ascii="Gill Sans MT" w:hAnsi="Gill Sans MT"/>
              </w:rPr>
            </w:pPr>
            <w:r w:rsidRPr="009146F9">
              <w:rPr>
                <w:rFonts w:ascii="Gill Sans MT" w:hAnsi="Gill Sans MT"/>
              </w:rPr>
              <w:t>715</w:t>
            </w:r>
          </w:p>
        </w:tc>
        <w:tc>
          <w:tcPr>
            <w:tcW w:w="2514" w:type="dxa"/>
          </w:tcPr>
          <w:p w:rsidR="00773D3A" w:rsidRPr="009146F9" w:rsidRDefault="00773D3A" w:rsidP="00FC47DF">
            <w:pPr>
              <w:keepNext/>
              <w:spacing w:line="280" w:lineRule="atLeast"/>
              <w:rPr>
                <w:rFonts w:ascii="Gill Sans MT" w:hAnsi="Gill Sans MT"/>
              </w:rPr>
            </w:pPr>
            <w:r w:rsidRPr="009146F9">
              <w:rPr>
                <w:rFonts w:ascii="Gill Sans MT" w:hAnsi="Gill Sans MT"/>
              </w:rPr>
              <w:t>239</w:t>
            </w:r>
          </w:p>
        </w:tc>
      </w:tr>
      <w:tr w:rsidR="00773D3A" w:rsidRPr="009146F9" w:rsidTr="00FA751D">
        <w:trPr>
          <w:tblHeader/>
        </w:trPr>
        <w:tc>
          <w:tcPr>
            <w:tcW w:w="914" w:type="dxa"/>
          </w:tcPr>
          <w:p w:rsidR="00773D3A" w:rsidRPr="009146F9" w:rsidRDefault="00773D3A" w:rsidP="00FC47DF">
            <w:pPr>
              <w:keepNext/>
              <w:spacing w:line="280" w:lineRule="atLeast"/>
              <w:rPr>
                <w:rFonts w:ascii="Gill Sans MT" w:hAnsi="Gill Sans MT"/>
              </w:rPr>
            </w:pPr>
            <w:r w:rsidRPr="009146F9">
              <w:rPr>
                <w:rFonts w:ascii="Gill Sans MT" w:hAnsi="Gill Sans MT"/>
              </w:rPr>
              <w:t>2014-15</w:t>
            </w:r>
          </w:p>
        </w:tc>
        <w:tc>
          <w:tcPr>
            <w:tcW w:w="2525" w:type="dxa"/>
          </w:tcPr>
          <w:p w:rsidR="00773D3A" w:rsidRPr="009146F9" w:rsidRDefault="00773D3A" w:rsidP="00FC47DF">
            <w:pPr>
              <w:keepNext/>
              <w:spacing w:line="280" w:lineRule="atLeast"/>
              <w:rPr>
                <w:rFonts w:ascii="Gill Sans MT" w:hAnsi="Gill Sans MT"/>
              </w:rPr>
            </w:pPr>
            <w:r w:rsidRPr="009146F9">
              <w:rPr>
                <w:rFonts w:ascii="Gill Sans MT" w:hAnsi="Gill Sans MT"/>
              </w:rPr>
              <w:t>619</w:t>
            </w:r>
          </w:p>
        </w:tc>
        <w:tc>
          <w:tcPr>
            <w:tcW w:w="2514" w:type="dxa"/>
          </w:tcPr>
          <w:p w:rsidR="00773D3A" w:rsidRPr="009146F9" w:rsidRDefault="00773D3A" w:rsidP="00FC47DF">
            <w:pPr>
              <w:keepNext/>
              <w:spacing w:line="280" w:lineRule="atLeast"/>
              <w:rPr>
                <w:rFonts w:ascii="Gill Sans MT" w:hAnsi="Gill Sans MT"/>
              </w:rPr>
            </w:pPr>
            <w:r w:rsidRPr="009146F9">
              <w:rPr>
                <w:rFonts w:ascii="Gill Sans MT" w:hAnsi="Gill Sans MT"/>
              </w:rPr>
              <w:t>220</w:t>
            </w:r>
          </w:p>
        </w:tc>
      </w:tr>
      <w:tr w:rsidR="00773D3A" w:rsidRPr="009146F9" w:rsidTr="00FA751D">
        <w:trPr>
          <w:tblHeader/>
        </w:trPr>
        <w:tc>
          <w:tcPr>
            <w:tcW w:w="914" w:type="dxa"/>
          </w:tcPr>
          <w:p w:rsidR="00773D3A" w:rsidRPr="009146F9" w:rsidRDefault="00773D3A" w:rsidP="00FC47DF">
            <w:pPr>
              <w:keepNext/>
              <w:spacing w:line="280" w:lineRule="atLeast"/>
              <w:rPr>
                <w:rFonts w:ascii="Gill Sans MT" w:hAnsi="Gill Sans MT"/>
              </w:rPr>
            </w:pPr>
            <w:r w:rsidRPr="009146F9">
              <w:rPr>
                <w:rFonts w:ascii="Gill Sans MT" w:hAnsi="Gill Sans MT"/>
              </w:rPr>
              <w:t>2015-16</w:t>
            </w:r>
          </w:p>
        </w:tc>
        <w:tc>
          <w:tcPr>
            <w:tcW w:w="2525" w:type="dxa"/>
          </w:tcPr>
          <w:p w:rsidR="00773D3A" w:rsidRPr="009146F9" w:rsidRDefault="00773D3A" w:rsidP="00FC47DF">
            <w:pPr>
              <w:keepNext/>
              <w:spacing w:line="280" w:lineRule="atLeast"/>
              <w:rPr>
                <w:rFonts w:ascii="Gill Sans MT" w:hAnsi="Gill Sans MT"/>
              </w:rPr>
            </w:pPr>
            <w:r w:rsidRPr="009146F9">
              <w:rPr>
                <w:rFonts w:ascii="Gill Sans MT" w:hAnsi="Gill Sans MT"/>
              </w:rPr>
              <w:t>761</w:t>
            </w:r>
          </w:p>
        </w:tc>
        <w:tc>
          <w:tcPr>
            <w:tcW w:w="2514" w:type="dxa"/>
          </w:tcPr>
          <w:p w:rsidR="00773D3A" w:rsidRPr="009146F9" w:rsidRDefault="00773D3A" w:rsidP="00FC47DF">
            <w:pPr>
              <w:keepNext/>
              <w:spacing w:line="280" w:lineRule="atLeast"/>
              <w:rPr>
                <w:rFonts w:ascii="Gill Sans MT" w:hAnsi="Gill Sans MT"/>
              </w:rPr>
            </w:pPr>
            <w:r w:rsidRPr="009146F9">
              <w:rPr>
                <w:rFonts w:ascii="Gill Sans MT" w:hAnsi="Gill Sans MT"/>
              </w:rPr>
              <w:t>271</w:t>
            </w:r>
          </w:p>
        </w:tc>
      </w:tr>
      <w:tr w:rsidR="0001587D" w:rsidRPr="009146F9" w:rsidTr="00FA751D">
        <w:trPr>
          <w:tblHeader/>
        </w:trPr>
        <w:tc>
          <w:tcPr>
            <w:tcW w:w="5953" w:type="dxa"/>
            <w:gridSpan w:val="3"/>
            <w:tcBorders>
              <w:bottom w:val="single" w:sz="4" w:space="0" w:color="auto"/>
            </w:tcBorders>
          </w:tcPr>
          <w:p w:rsidR="0001587D" w:rsidRPr="009146F9" w:rsidRDefault="0001587D" w:rsidP="00FC47DF">
            <w:pPr>
              <w:pStyle w:val="ListParagraph"/>
              <w:keepNext/>
              <w:spacing w:line="280" w:lineRule="atLeast"/>
              <w:ind w:left="34"/>
              <w:contextualSpacing w:val="0"/>
              <w:jc w:val="both"/>
              <w:rPr>
                <w:rFonts w:ascii="Gill Sans MT" w:hAnsi="Gill Sans MT"/>
              </w:rPr>
            </w:pPr>
            <w:r w:rsidRPr="009146F9">
              <w:rPr>
                <w:rFonts w:ascii="Gill Sans MT" w:hAnsi="Gill Sans MT"/>
                <w:i/>
                <w:sz w:val="18"/>
              </w:rPr>
              <w:t xml:space="preserve">Source: </w:t>
            </w:r>
            <w:r w:rsidRPr="009146F9">
              <w:rPr>
                <w:rFonts w:ascii="Gill Sans MT" w:hAnsi="Gill Sans MT"/>
                <w:sz w:val="18"/>
              </w:rPr>
              <w:t>Tasmania Police Corporate Performance Reports 2010-2016.</w:t>
            </w:r>
          </w:p>
        </w:tc>
      </w:tr>
    </w:tbl>
    <w:p w:rsidR="00C07138" w:rsidRPr="009146F9" w:rsidRDefault="00C8438C" w:rsidP="00FC47DF">
      <w:pPr>
        <w:pStyle w:val="ListParagraph"/>
        <w:keepNext/>
        <w:numPr>
          <w:ilvl w:val="0"/>
          <w:numId w:val="1"/>
        </w:numPr>
        <w:spacing w:before="120" w:after="120" w:line="280" w:lineRule="atLeast"/>
        <w:ind w:left="714" w:hanging="357"/>
        <w:contextualSpacing w:val="0"/>
        <w:rPr>
          <w:rFonts w:ascii="Gill Sans MT" w:hAnsi="Gill Sans MT"/>
        </w:rPr>
      </w:pPr>
      <w:r w:rsidRPr="009146F9">
        <w:rPr>
          <w:rFonts w:ascii="Gill Sans MT" w:hAnsi="Gill Sans MT"/>
        </w:rPr>
        <w:t xml:space="preserve">Tasmania Police </w:t>
      </w:r>
      <w:r w:rsidR="00805564" w:rsidRPr="009146F9">
        <w:rPr>
          <w:rFonts w:ascii="Gill Sans MT" w:hAnsi="Gill Sans MT"/>
        </w:rPr>
        <w:t>conducted</w:t>
      </w:r>
      <w:r w:rsidRPr="009146F9">
        <w:rPr>
          <w:rFonts w:ascii="Gill Sans MT" w:hAnsi="Gill Sans MT"/>
        </w:rPr>
        <w:t xml:space="preserve"> </w:t>
      </w:r>
      <w:r w:rsidR="00C07138" w:rsidRPr="009146F9">
        <w:rPr>
          <w:rFonts w:ascii="Gill Sans MT" w:hAnsi="Gill Sans MT"/>
          <w:i/>
        </w:rPr>
        <w:t xml:space="preserve">Operation Unite </w:t>
      </w:r>
      <w:r w:rsidRPr="009146F9">
        <w:rPr>
          <w:rFonts w:ascii="Gill Sans MT" w:hAnsi="Gill Sans MT"/>
          <w:i/>
        </w:rPr>
        <w:t>– a Blitz on Drunken</w:t>
      </w:r>
      <w:r w:rsidRPr="009146F9">
        <w:rPr>
          <w:rFonts w:ascii="Gill Sans MT" w:hAnsi="Gill Sans MT"/>
        </w:rPr>
        <w:t xml:space="preserve"> </w:t>
      </w:r>
      <w:r w:rsidRPr="009146F9">
        <w:rPr>
          <w:rFonts w:ascii="Gill Sans MT" w:hAnsi="Gill Sans MT"/>
          <w:i/>
        </w:rPr>
        <w:t>Violence</w:t>
      </w:r>
      <w:r w:rsidRPr="009146F9">
        <w:rPr>
          <w:rFonts w:ascii="Gill Sans MT" w:hAnsi="Gill Sans MT"/>
        </w:rPr>
        <w:t xml:space="preserve"> </w:t>
      </w:r>
      <w:r w:rsidR="003D3D7F" w:rsidRPr="009146F9">
        <w:rPr>
          <w:rFonts w:ascii="Gill Sans MT" w:hAnsi="Gill Sans MT"/>
        </w:rPr>
        <w:t xml:space="preserve">statewide on a </w:t>
      </w:r>
      <w:r w:rsidR="00805564" w:rsidRPr="009146F9">
        <w:rPr>
          <w:rFonts w:ascii="Gill Sans MT" w:hAnsi="Gill Sans MT"/>
        </w:rPr>
        <w:t xml:space="preserve">number of occasions </w:t>
      </w:r>
      <w:r w:rsidRPr="009146F9">
        <w:rPr>
          <w:rFonts w:ascii="Gill Sans MT" w:hAnsi="Gill Sans MT"/>
        </w:rPr>
        <w:t xml:space="preserve">during </w:t>
      </w:r>
      <w:r w:rsidR="00805564" w:rsidRPr="009146F9">
        <w:rPr>
          <w:rFonts w:ascii="Gill Sans MT" w:hAnsi="Gill Sans MT"/>
        </w:rPr>
        <w:t xml:space="preserve">2010 – 2013. The cross-jurisdictional policing initiative aimed to </w:t>
      </w:r>
      <w:r w:rsidR="001512D2" w:rsidRPr="009146F9">
        <w:rPr>
          <w:rFonts w:ascii="Gill Sans MT" w:hAnsi="Gill Sans MT"/>
        </w:rPr>
        <w:t>heighten</w:t>
      </w:r>
      <w:r w:rsidR="00805564" w:rsidRPr="009146F9">
        <w:rPr>
          <w:rFonts w:ascii="Gill Sans MT" w:hAnsi="Gill Sans MT"/>
        </w:rPr>
        <w:t xml:space="preserve"> community awareness of the issues associated with excessive alcohol consumption and related harm.</w:t>
      </w:r>
    </w:p>
    <w:p w:rsidR="00C732B4" w:rsidRPr="009146F9" w:rsidRDefault="00C732B4" w:rsidP="00FC47DF">
      <w:pPr>
        <w:pStyle w:val="Level2DiscussionAction"/>
        <w:keepNext/>
        <w:numPr>
          <w:ilvl w:val="0"/>
          <w:numId w:val="37"/>
        </w:numPr>
        <w:tabs>
          <w:tab w:val="clear" w:pos="567"/>
          <w:tab w:val="left" w:pos="709"/>
        </w:tabs>
        <w:spacing w:before="120" w:after="120" w:line="280" w:lineRule="atLeast"/>
      </w:pPr>
      <w:r w:rsidRPr="009146F9">
        <w:t>As part of its research agenda, the National Drug and Law Enforcement Research Fund (NDLERF) funded a partnership project involving Deakin University, the Australian Institute of Criminology and the University of Tasmania, the Drug and Alcohol intoxication and Subsequent Harm in night-time Entertainment Districts (DASHED) study. DASHED investigated harms associated with alcohol in the night-time economy in Canberra and Hobart between April and December 2015. The study used a combination of interviews with patrons in night-time entertainment precincts, covert observations in and around licensed establishments, and examination of administrative data sources such as alcohol and substance related ambulance attendances, alcohol related presentations in emergency department, recorded alcohol-related offence data and liquor licence enforcement actions.  In Hobart the project was undertaken from 10pm to 2am (Friday and Saturday nights) outside entertainment venues, with 738 patrons participating, and almost 150 hours of structured observation in licenced venues in this time. The DASHED report was released in November 2016</w:t>
      </w:r>
      <w:r w:rsidR="00EB7DDA" w:rsidRPr="009146F9">
        <w:rPr>
          <w:rStyle w:val="FootnoteReference"/>
        </w:rPr>
        <w:footnoteReference w:id="9"/>
      </w:r>
      <w:r w:rsidRPr="009146F9">
        <w:t>. In Hobart:</w:t>
      </w:r>
    </w:p>
    <w:p w:rsidR="00C732B4" w:rsidRPr="009146F9" w:rsidRDefault="00C732B4" w:rsidP="00FC47DF">
      <w:pPr>
        <w:pStyle w:val="ListParagraph"/>
        <w:keepNext/>
        <w:numPr>
          <w:ilvl w:val="0"/>
          <w:numId w:val="36"/>
        </w:numPr>
        <w:spacing w:before="120" w:after="120" w:line="280" w:lineRule="atLeast"/>
        <w:ind w:left="1134" w:hanging="425"/>
        <w:contextualSpacing w:val="0"/>
        <w:rPr>
          <w:rFonts w:ascii="Gill Sans MT" w:hAnsi="Gill Sans MT"/>
        </w:rPr>
      </w:pPr>
      <w:r w:rsidRPr="009146F9">
        <w:rPr>
          <w:rFonts w:ascii="Gill Sans MT" w:hAnsi="Gill Sans MT"/>
        </w:rPr>
        <w:t>Two-thirds of people interviewed consumed alcohol (pre-drinking) before attending licensed venues; this rate was equal amongst males and females but was greater among younger age groups; and typically an average of 4 standard drinks were consumed prior to attending venues</w:t>
      </w:r>
    </w:p>
    <w:p w:rsidR="00C732B4" w:rsidRPr="009146F9" w:rsidRDefault="00C732B4" w:rsidP="00FC47DF">
      <w:pPr>
        <w:pStyle w:val="ListParagraph"/>
        <w:keepNext/>
        <w:numPr>
          <w:ilvl w:val="0"/>
          <w:numId w:val="36"/>
        </w:numPr>
        <w:spacing w:before="120" w:after="120" w:line="280" w:lineRule="atLeast"/>
        <w:ind w:left="1134" w:hanging="425"/>
        <w:contextualSpacing w:val="0"/>
        <w:rPr>
          <w:rFonts w:ascii="Gill Sans MT" w:hAnsi="Gill Sans MT"/>
        </w:rPr>
      </w:pPr>
      <w:r w:rsidRPr="009146F9">
        <w:rPr>
          <w:rFonts w:ascii="Gill Sans MT" w:hAnsi="Gill Sans MT"/>
        </w:rPr>
        <w:t>Around one quarter of those interviewed between 10</w:t>
      </w:r>
      <w:r w:rsidR="00011835" w:rsidRPr="009146F9">
        <w:rPr>
          <w:rFonts w:ascii="Gill Sans MT" w:hAnsi="Gill Sans MT"/>
        </w:rPr>
        <w:t xml:space="preserve"> </w:t>
      </w:r>
      <w:r w:rsidRPr="009146F9">
        <w:rPr>
          <w:rFonts w:ascii="Gill Sans MT" w:hAnsi="Gill Sans MT"/>
        </w:rPr>
        <w:t>PM and midnight had breath alcohol levels of 0.1 or greater; and after midnight approximately</w:t>
      </w:r>
      <w:r w:rsidR="00011835" w:rsidRPr="009146F9">
        <w:rPr>
          <w:rFonts w:ascii="Gill Sans MT" w:hAnsi="Gill Sans MT"/>
        </w:rPr>
        <w:t xml:space="preserve"> one</w:t>
      </w:r>
      <w:r w:rsidRPr="009146F9">
        <w:rPr>
          <w:rFonts w:ascii="Gill Sans MT" w:hAnsi="Gill Sans MT"/>
        </w:rPr>
        <w:t xml:space="preserve"> in </w:t>
      </w:r>
      <w:r w:rsidR="00011835" w:rsidRPr="009146F9">
        <w:rPr>
          <w:rFonts w:ascii="Gill Sans MT" w:hAnsi="Gill Sans MT"/>
        </w:rPr>
        <w:t xml:space="preserve">six </w:t>
      </w:r>
      <w:r w:rsidRPr="009146F9">
        <w:rPr>
          <w:rFonts w:ascii="Gill Sans MT" w:hAnsi="Gill Sans MT"/>
        </w:rPr>
        <w:t>had such h</w:t>
      </w:r>
      <w:r w:rsidR="00011835" w:rsidRPr="009146F9">
        <w:rPr>
          <w:rFonts w:ascii="Gill Sans MT" w:hAnsi="Gill Sans MT"/>
        </w:rPr>
        <w:t>igh b</w:t>
      </w:r>
      <w:r w:rsidRPr="009146F9">
        <w:rPr>
          <w:rFonts w:ascii="Gill Sans MT" w:hAnsi="Gill Sans MT"/>
        </w:rPr>
        <w:t>reath alcohol readings</w:t>
      </w:r>
    </w:p>
    <w:p w:rsidR="00C732B4" w:rsidRPr="009146F9" w:rsidRDefault="00C732B4" w:rsidP="00FC47DF">
      <w:pPr>
        <w:pStyle w:val="ListParagraph"/>
        <w:keepNext/>
        <w:numPr>
          <w:ilvl w:val="0"/>
          <w:numId w:val="36"/>
        </w:numPr>
        <w:spacing w:before="120" w:after="120" w:line="280" w:lineRule="atLeast"/>
        <w:ind w:left="1134" w:hanging="425"/>
        <w:contextualSpacing w:val="0"/>
        <w:rPr>
          <w:rFonts w:ascii="Gill Sans MT" w:hAnsi="Gill Sans MT"/>
        </w:rPr>
      </w:pPr>
      <w:r w:rsidRPr="009146F9">
        <w:rPr>
          <w:rFonts w:ascii="Gill Sans MT" w:hAnsi="Gill Sans MT"/>
        </w:rPr>
        <w:t xml:space="preserve">Around </w:t>
      </w:r>
      <w:r w:rsidR="00011835" w:rsidRPr="009146F9">
        <w:rPr>
          <w:rFonts w:ascii="Gill Sans MT" w:hAnsi="Gill Sans MT"/>
        </w:rPr>
        <w:t>1</w:t>
      </w:r>
      <w:r w:rsidRPr="009146F9">
        <w:rPr>
          <w:rFonts w:ascii="Gill Sans MT" w:hAnsi="Gill Sans MT"/>
        </w:rPr>
        <w:t xml:space="preserve"> in 10 reported using substances other than alcohol (excluding tobacco) during the night they were interviewed</w:t>
      </w:r>
    </w:p>
    <w:p w:rsidR="00C732B4" w:rsidRPr="009146F9" w:rsidRDefault="00C732B4" w:rsidP="00FC47DF">
      <w:pPr>
        <w:pStyle w:val="ListParagraph"/>
        <w:keepNext/>
        <w:numPr>
          <w:ilvl w:val="0"/>
          <w:numId w:val="36"/>
        </w:numPr>
        <w:spacing w:before="120" w:after="120" w:line="280" w:lineRule="atLeast"/>
        <w:ind w:left="1134" w:hanging="425"/>
        <w:contextualSpacing w:val="0"/>
        <w:rPr>
          <w:rFonts w:ascii="Gill Sans MT" w:hAnsi="Gill Sans MT"/>
        </w:rPr>
      </w:pPr>
      <w:r w:rsidRPr="009146F9">
        <w:rPr>
          <w:rFonts w:ascii="Gill Sans MT" w:hAnsi="Gill Sans MT"/>
        </w:rPr>
        <w:t xml:space="preserve">Half of those interviewed had experienced </w:t>
      </w:r>
      <w:r w:rsidR="00011835" w:rsidRPr="009146F9">
        <w:rPr>
          <w:rFonts w:ascii="Gill Sans MT" w:hAnsi="Gill Sans MT"/>
        </w:rPr>
        <w:t xml:space="preserve">some </w:t>
      </w:r>
      <w:r w:rsidRPr="009146F9">
        <w:rPr>
          <w:rFonts w:ascii="Gill Sans MT" w:hAnsi="Gill Sans MT"/>
        </w:rPr>
        <w:t>kind of aggression around licensed venues in past three months – 33 per cent verbal aggression, 26 per</w:t>
      </w:r>
      <w:r w:rsidR="00011835" w:rsidRPr="009146F9">
        <w:rPr>
          <w:rFonts w:ascii="Gill Sans MT" w:hAnsi="Gill Sans MT"/>
        </w:rPr>
        <w:t xml:space="preserve"> </w:t>
      </w:r>
      <w:r w:rsidRPr="009146F9">
        <w:rPr>
          <w:rFonts w:ascii="Gill Sans MT" w:hAnsi="Gill Sans MT"/>
        </w:rPr>
        <w:t>cent unwanted sexual attention and 16 per</w:t>
      </w:r>
      <w:r w:rsidR="00011835" w:rsidRPr="009146F9">
        <w:rPr>
          <w:rFonts w:ascii="Gill Sans MT" w:hAnsi="Gill Sans MT"/>
        </w:rPr>
        <w:t xml:space="preserve"> </w:t>
      </w:r>
      <w:r w:rsidRPr="009146F9">
        <w:rPr>
          <w:rFonts w:ascii="Gill Sans MT" w:hAnsi="Gill Sans MT"/>
        </w:rPr>
        <w:t xml:space="preserve">cent physical aggression; but it is notable that participants had high ratings of perceived safety both in and around the venues </w:t>
      </w:r>
      <w:r w:rsidR="00011835" w:rsidRPr="009146F9">
        <w:rPr>
          <w:rFonts w:ascii="Gill Sans MT" w:hAnsi="Gill Sans MT"/>
        </w:rPr>
        <w:t>where they were interviewed</w:t>
      </w:r>
    </w:p>
    <w:p w:rsidR="00C732B4" w:rsidRPr="009146F9" w:rsidRDefault="00C732B4" w:rsidP="00FC47DF">
      <w:pPr>
        <w:pStyle w:val="ListParagraph"/>
        <w:keepNext/>
        <w:numPr>
          <w:ilvl w:val="0"/>
          <w:numId w:val="36"/>
        </w:numPr>
        <w:spacing w:before="120" w:after="120" w:line="280" w:lineRule="atLeast"/>
        <w:ind w:left="1134" w:hanging="425"/>
        <w:contextualSpacing w:val="0"/>
        <w:rPr>
          <w:rFonts w:ascii="Gill Sans MT" w:hAnsi="Gill Sans MT"/>
        </w:rPr>
      </w:pPr>
      <w:r w:rsidRPr="009146F9">
        <w:rPr>
          <w:rFonts w:ascii="Gill Sans MT" w:hAnsi="Gill Sans MT"/>
        </w:rPr>
        <w:t xml:space="preserve">One in twenty reported being refused service in a licenced venue in the past three months, however, in venue observations when people were displaying clear indications </w:t>
      </w:r>
      <w:r w:rsidR="00011835" w:rsidRPr="009146F9">
        <w:rPr>
          <w:rFonts w:ascii="Gill Sans MT" w:hAnsi="Gill Sans MT"/>
        </w:rPr>
        <w:t>of intoxication, only around 10 per cent</w:t>
      </w:r>
      <w:r w:rsidRPr="009146F9">
        <w:rPr>
          <w:rFonts w:ascii="Gill Sans MT" w:hAnsi="Gill Sans MT"/>
        </w:rPr>
        <w:t xml:space="preserve"> of these people were refused service</w:t>
      </w:r>
    </w:p>
    <w:p w:rsidR="00EC030D" w:rsidRPr="009146F9" w:rsidRDefault="00EC030D" w:rsidP="00FC47DF">
      <w:pPr>
        <w:pStyle w:val="ListParagraph"/>
        <w:keepNext/>
        <w:numPr>
          <w:ilvl w:val="0"/>
          <w:numId w:val="33"/>
        </w:numPr>
        <w:spacing w:before="120" w:after="120" w:line="280" w:lineRule="atLeast"/>
        <w:contextualSpacing w:val="0"/>
        <w:rPr>
          <w:rFonts w:ascii="Gill Sans MT" w:hAnsi="Gill Sans MT"/>
        </w:rPr>
      </w:pPr>
      <w:r w:rsidRPr="009146F9">
        <w:rPr>
          <w:rFonts w:ascii="Gill Sans MT" w:hAnsi="Gill Sans MT"/>
        </w:rPr>
        <w:t xml:space="preserve">The Tasmania Prison Service continued to provide its Getting Smart (until it was replaced by the Equips – Addiction program in May 2016) and Pathways programs. Between the 1 January 2010 and 12 January 2017: </w:t>
      </w:r>
    </w:p>
    <w:p w:rsidR="00EC030D" w:rsidRPr="009146F9" w:rsidRDefault="00EC030D" w:rsidP="00FC47DF">
      <w:pPr>
        <w:pStyle w:val="ListParagraph"/>
        <w:keepNext/>
        <w:numPr>
          <w:ilvl w:val="0"/>
          <w:numId w:val="35"/>
        </w:numPr>
        <w:spacing w:before="120" w:after="120" w:line="280" w:lineRule="atLeast"/>
        <w:ind w:left="1134" w:hanging="357"/>
        <w:contextualSpacing w:val="0"/>
        <w:rPr>
          <w:rFonts w:ascii="Gill Sans MT" w:hAnsi="Gill Sans MT"/>
        </w:rPr>
      </w:pPr>
      <w:r w:rsidRPr="009146F9">
        <w:rPr>
          <w:rFonts w:ascii="Gill Sans MT" w:hAnsi="Gill Sans MT"/>
        </w:rPr>
        <w:t>the Getting Smart program had 385 commencements and 295 completions;</w:t>
      </w:r>
    </w:p>
    <w:p w:rsidR="00EC030D" w:rsidRPr="009146F9" w:rsidRDefault="00EC030D" w:rsidP="00FC47DF">
      <w:pPr>
        <w:pStyle w:val="ListParagraph"/>
        <w:keepNext/>
        <w:numPr>
          <w:ilvl w:val="0"/>
          <w:numId w:val="35"/>
        </w:numPr>
        <w:spacing w:before="120" w:after="120" w:line="280" w:lineRule="atLeast"/>
        <w:ind w:left="1134" w:hanging="357"/>
        <w:contextualSpacing w:val="0"/>
        <w:rPr>
          <w:rFonts w:ascii="Gill Sans MT" w:hAnsi="Gill Sans MT"/>
        </w:rPr>
      </w:pPr>
      <w:r w:rsidRPr="009146F9">
        <w:rPr>
          <w:rFonts w:ascii="Gill Sans MT" w:hAnsi="Gill Sans MT"/>
        </w:rPr>
        <w:t>the Pathways program had 166 commencements and 103 completions; and</w:t>
      </w:r>
    </w:p>
    <w:p w:rsidR="00EC030D" w:rsidRPr="009146F9" w:rsidRDefault="00EC030D" w:rsidP="00FC47DF">
      <w:pPr>
        <w:pStyle w:val="ListParagraph"/>
        <w:keepNext/>
        <w:numPr>
          <w:ilvl w:val="0"/>
          <w:numId w:val="35"/>
        </w:numPr>
        <w:spacing w:before="120" w:after="120" w:line="280" w:lineRule="atLeast"/>
        <w:ind w:left="1134" w:hanging="357"/>
        <w:contextualSpacing w:val="0"/>
        <w:rPr>
          <w:rFonts w:ascii="Gill Sans MT" w:hAnsi="Gill Sans MT"/>
        </w:rPr>
      </w:pPr>
      <w:proofErr w:type="gramStart"/>
      <w:r w:rsidRPr="009146F9">
        <w:rPr>
          <w:rFonts w:ascii="Gill Sans MT" w:hAnsi="Gill Sans MT"/>
        </w:rPr>
        <w:t>the</w:t>
      </w:r>
      <w:proofErr w:type="gramEnd"/>
      <w:r w:rsidRPr="009146F9">
        <w:rPr>
          <w:rFonts w:ascii="Gill Sans MT" w:hAnsi="Gill Sans MT"/>
        </w:rPr>
        <w:t xml:space="preserve"> Equips – Addiction program had 51 commencements and 24 completions.</w:t>
      </w:r>
    </w:p>
    <w:p w:rsidR="00213CEE" w:rsidRPr="009146F9" w:rsidRDefault="00213CEE" w:rsidP="00FC47DF">
      <w:pPr>
        <w:pStyle w:val="ListParagraph"/>
        <w:keepNext/>
        <w:numPr>
          <w:ilvl w:val="0"/>
          <w:numId w:val="34"/>
        </w:numPr>
        <w:spacing w:before="120" w:after="120" w:line="280" w:lineRule="atLeast"/>
        <w:ind w:left="709" w:hanging="425"/>
        <w:contextualSpacing w:val="0"/>
        <w:rPr>
          <w:rFonts w:ascii="Gill Sans MT" w:hAnsi="Gill Sans MT"/>
        </w:rPr>
      </w:pPr>
      <w:r w:rsidRPr="009146F9">
        <w:rPr>
          <w:rFonts w:ascii="Gill Sans MT" w:hAnsi="Gill Sans MT"/>
        </w:rPr>
        <w:t>The residential-style alcohol and drug treatment program began operating in mid-July 2015 from the Tasmanian Prison Service. It supports prisoners with ongoing and long-term alcohol and drug use issues to address the underlying thoughts, feelings and behaviours that contribute to their criminal behaviour. External service providers such as Holyoake delivered additional group-based treatment to prisoners at the Ron Barwick Minimum Security Prison. The Salvation Army’s X-Cell program provided individual alcohol and drug treatment throughout the Tasmanian Prison Service.</w:t>
      </w:r>
    </w:p>
    <w:p w:rsidR="00C07138" w:rsidRPr="009146F9" w:rsidRDefault="00C07138" w:rsidP="00BA74FA">
      <w:pPr>
        <w:pStyle w:val="Heading3"/>
      </w:pPr>
      <w:bookmarkStart w:id="12" w:name="_Toc476322100"/>
      <w:r w:rsidRPr="009146F9">
        <w:t>Government-Funded AOD Treatment Services</w:t>
      </w:r>
      <w:bookmarkEnd w:id="12"/>
    </w:p>
    <w:p w:rsidR="000A7D31" w:rsidRPr="009146F9" w:rsidRDefault="000A7D31" w:rsidP="00FC47DF">
      <w:pPr>
        <w:keepNext/>
        <w:tabs>
          <w:tab w:val="left" w:pos="1110"/>
        </w:tabs>
        <w:spacing w:before="120" w:after="120" w:line="280" w:lineRule="atLeast"/>
        <w:rPr>
          <w:rFonts w:ascii="Gill Sans MT" w:hAnsi="Gill Sans MT"/>
        </w:rPr>
      </w:pPr>
      <w:r w:rsidRPr="009146F9">
        <w:rPr>
          <w:rFonts w:ascii="Gill Sans MT" w:hAnsi="Gill Sans MT"/>
        </w:rPr>
        <w:t xml:space="preserve">A range of Government and non-Government alcohol, tobacco and other drug treatment services are provided across Tasmania. </w:t>
      </w:r>
    </w:p>
    <w:p w:rsidR="000A7D31" w:rsidRPr="009146F9" w:rsidRDefault="000A7D31" w:rsidP="00FC47DF">
      <w:pPr>
        <w:keepNext/>
        <w:tabs>
          <w:tab w:val="left" w:pos="1110"/>
        </w:tabs>
        <w:spacing w:before="120" w:after="120" w:line="280" w:lineRule="atLeast"/>
        <w:rPr>
          <w:rFonts w:ascii="Gill Sans MT" w:hAnsi="Gill Sans MT"/>
        </w:rPr>
      </w:pPr>
      <w:r w:rsidRPr="009146F9">
        <w:rPr>
          <w:rFonts w:ascii="Gill Sans MT" w:hAnsi="Gill Sans MT"/>
        </w:rPr>
        <w:t>The State Government current invests approximately $17.6 million in alcohol and drug services. This includes $12 million for specialist alcohol and drug services delivered through the Tasmanian Health Service (THS) and $5.6 million for alcohol and drug services provided by community sector organisations (CSOs).  In addition to this the Government has provided further funding of $4.8 million over four years to implement recommendations from the review into drug use in the North West.</w:t>
      </w:r>
    </w:p>
    <w:p w:rsidR="000A7D31" w:rsidRPr="009146F9" w:rsidRDefault="000A7D31" w:rsidP="00FC47DF">
      <w:pPr>
        <w:keepNext/>
        <w:tabs>
          <w:tab w:val="left" w:pos="1110"/>
        </w:tabs>
        <w:spacing w:before="120" w:after="120" w:line="280" w:lineRule="atLeast"/>
        <w:rPr>
          <w:rFonts w:ascii="Gill Sans MT" w:hAnsi="Gill Sans MT"/>
        </w:rPr>
      </w:pPr>
      <w:r w:rsidRPr="009146F9">
        <w:rPr>
          <w:rFonts w:ascii="Gill Sans MT" w:hAnsi="Gill Sans MT"/>
        </w:rPr>
        <w:t>Specialist clinical alcohol and drug services and community sector services support people with alcohol misuse issues.  Alcohol is consistently the most common principal drug of concern for clients seeking treatment from alcohol and drug</w:t>
      </w:r>
      <w:r w:rsidR="00213CEE" w:rsidRPr="009146F9">
        <w:rPr>
          <w:rFonts w:ascii="Gill Sans MT" w:hAnsi="Gill Sans MT"/>
        </w:rPr>
        <w:t xml:space="preserve"> services – averaging around 40 per cent</w:t>
      </w:r>
      <w:r w:rsidRPr="009146F9">
        <w:rPr>
          <w:rFonts w:ascii="Gill Sans MT" w:hAnsi="Gill Sans MT"/>
        </w:rPr>
        <w:t xml:space="preserve"> of closed episodes of treatment each year.   </w:t>
      </w:r>
    </w:p>
    <w:p w:rsidR="000A7D31" w:rsidRPr="009146F9" w:rsidRDefault="000A7D31" w:rsidP="00FC47DF">
      <w:pPr>
        <w:keepNext/>
        <w:tabs>
          <w:tab w:val="left" w:pos="1110"/>
        </w:tabs>
        <w:spacing w:before="120" w:after="120" w:line="280" w:lineRule="atLeast"/>
        <w:rPr>
          <w:rFonts w:ascii="Gill Sans MT" w:hAnsi="Gill Sans MT"/>
        </w:rPr>
      </w:pPr>
      <w:r w:rsidRPr="009146F9">
        <w:rPr>
          <w:rFonts w:ascii="Gill Sans MT" w:hAnsi="Gill Sans MT"/>
        </w:rPr>
        <w:t xml:space="preserve">The THS deliver specialist alcohol and drug services </w:t>
      </w:r>
      <w:proofErr w:type="gramStart"/>
      <w:r w:rsidR="00672564" w:rsidRPr="009146F9">
        <w:rPr>
          <w:rFonts w:ascii="Gill Sans MT" w:hAnsi="Gill Sans MT"/>
        </w:rPr>
        <w:t>Statewide</w:t>
      </w:r>
      <w:proofErr w:type="gramEnd"/>
      <w:r w:rsidRPr="009146F9">
        <w:rPr>
          <w:rFonts w:ascii="Gill Sans MT" w:hAnsi="Gill Sans MT"/>
        </w:rPr>
        <w:t xml:space="preserve"> including:</w:t>
      </w:r>
    </w:p>
    <w:p w:rsidR="000A7D31" w:rsidRPr="009146F9" w:rsidRDefault="000A7D31" w:rsidP="00FC47DF">
      <w:pPr>
        <w:keepNext/>
        <w:numPr>
          <w:ilvl w:val="0"/>
          <w:numId w:val="8"/>
        </w:numPr>
        <w:tabs>
          <w:tab w:val="left" w:pos="1110"/>
        </w:tabs>
        <w:spacing w:before="120" w:after="120" w:line="280" w:lineRule="atLeast"/>
        <w:rPr>
          <w:rFonts w:ascii="Gill Sans MT" w:hAnsi="Gill Sans MT"/>
        </w:rPr>
      </w:pPr>
      <w:r w:rsidRPr="009146F9">
        <w:rPr>
          <w:rFonts w:ascii="Gill Sans MT" w:hAnsi="Gill Sans MT"/>
        </w:rPr>
        <w:t>Psychosocial interventions and support including outreach, relapse prevention, management of complex needs, brief and early intervention, and specialist interventions for young people and consultation liaison services;</w:t>
      </w:r>
    </w:p>
    <w:p w:rsidR="000A7D31" w:rsidRPr="009146F9" w:rsidRDefault="000A7D31" w:rsidP="00FC47DF">
      <w:pPr>
        <w:keepNext/>
        <w:numPr>
          <w:ilvl w:val="0"/>
          <w:numId w:val="8"/>
        </w:numPr>
        <w:tabs>
          <w:tab w:val="left" w:pos="1110"/>
        </w:tabs>
        <w:spacing w:before="120" w:after="120" w:line="280" w:lineRule="atLeast"/>
        <w:rPr>
          <w:rFonts w:ascii="Gill Sans MT" w:hAnsi="Gill Sans MT"/>
        </w:rPr>
      </w:pPr>
      <w:r w:rsidRPr="009146F9">
        <w:rPr>
          <w:rFonts w:ascii="Gill Sans MT" w:hAnsi="Gill Sans MT"/>
        </w:rPr>
        <w:t>Pharmacotherapy services; and</w:t>
      </w:r>
    </w:p>
    <w:p w:rsidR="000A7D31" w:rsidRPr="009146F9" w:rsidRDefault="000A7D31" w:rsidP="00FC47DF">
      <w:pPr>
        <w:keepNext/>
        <w:numPr>
          <w:ilvl w:val="0"/>
          <w:numId w:val="8"/>
        </w:numPr>
        <w:tabs>
          <w:tab w:val="left" w:pos="1110"/>
        </w:tabs>
        <w:spacing w:before="120" w:after="120" w:line="280" w:lineRule="atLeast"/>
        <w:rPr>
          <w:rFonts w:ascii="Gill Sans MT" w:hAnsi="Gill Sans MT"/>
        </w:rPr>
      </w:pPr>
      <w:r w:rsidRPr="009146F9">
        <w:rPr>
          <w:rFonts w:ascii="Gill Sans MT" w:hAnsi="Gill Sans MT"/>
        </w:rPr>
        <w:t>A ten bed Statewide inpatient withdrawal management facility, based in the South</w:t>
      </w:r>
    </w:p>
    <w:p w:rsidR="000A7D31" w:rsidRPr="009146F9" w:rsidRDefault="000A7D31" w:rsidP="00FC47DF">
      <w:pPr>
        <w:keepNext/>
        <w:tabs>
          <w:tab w:val="left" w:pos="1110"/>
        </w:tabs>
        <w:spacing w:before="120" w:after="120" w:line="280" w:lineRule="atLeast"/>
        <w:rPr>
          <w:rFonts w:ascii="Gill Sans MT" w:hAnsi="Gill Sans MT"/>
        </w:rPr>
      </w:pPr>
      <w:r w:rsidRPr="009146F9">
        <w:rPr>
          <w:rFonts w:ascii="Gill Sans MT" w:hAnsi="Gill Sans MT"/>
        </w:rPr>
        <w:t xml:space="preserve">A small number of CSOs are funded by the State to provide a range of services including advocacy support services, care coordination, counselling and support services, family support services, health promotion, education and training services, non-medical sobering up facilities/places of safety facilities, residential rehabilitation programs and some youth specific services. </w:t>
      </w:r>
    </w:p>
    <w:p w:rsidR="000A7D31" w:rsidRPr="009146F9" w:rsidRDefault="000A7D31" w:rsidP="00FC47DF">
      <w:pPr>
        <w:keepNext/>
        <w:tabs>
          <w:tab w:val="left" w:pos="1110"/>
        </w:tabs>
        <w:spacing w:before="120" w:after="120" w:line="280" w:lineRule="atLeast"/>
        <w:rPr>
          <w:rFonts w:ascii="Gill Sans MT" w:hAnsi="Gill Sans MT"/>
        </w:rPr>
      </w:pPr>
      <w:r w:rsidRPr="009146F9">
        <w:rPr>
          <w:rFonts w:ascii="Gill Sans MT" w:hAnsi="Gill Sans MT"/>
        </w:rPr>
        <w:t>Organisations and purpose of funding is summarised in the table below:</w:t>
      </w:r>
    </w:p>
    <w:p w:rsidR="00AF093F" w:rsidRPr="009146F9" w:rsidRDefault="00AF093F" w:rsidP="00FC47DF">
      <w:pPr>
        <w:keepNext/>
        <w:spacing w:before="120" w:after="120" w:line="280" w:lineRule="atLeast"/>
        <w:rPr>
          <w:rFonts w:ascii="Gill Sans MT" w:hAnsi="Gill Sans MT"/>
          <w:sz w:val="20"/>
        </w:rPr>
      </w:pPr>
      <w:r w:rsidRPr="009146F9">
        <w:rPr>
          <w:rFonts w:ascii="Gill Sans MT" w:hAnsi="Gill Sans MT"/>
          <w:b/>
          <w:sz w:val="20"/>
        </w:rPr>
        <w:t>Table 3.5:</w:t>
      </w:r>
      <w:r w:rsidRPr="009146F9">
        <w:rPr>
          <w:rFonts w:ascii="Gill Sans MT" w:hAnsi="Gill Sans MT"/>
          <w:sz w:val="20"/>
        </w:rPr>
        <w:t xml:space="preserve"> Organisations funded and purpose of funding</w:t>
      </w:r>
    </w:p>
    <w:tbl>
      <w:tblPr>
        <w:tblStyle w:val="TableGrid"/>
        <w:tblW w:w="0" w:type="auto"/>
        <w:tblCellMar>
          <w:top w:w="57" w:type="dxa"/>
          <w:left w:w="57" w:type="dxa"/>
          <w:bottom w:w="57" w:type="dxa"/>
          <w:right w:w="57" w:type="dxa"/>
        </w:tblCellMar>
        <w:tblLook w:val="04A0" w:firstRow="1" w:lastRow="0" w:firstColumn="1" w:lastColumn="0" w:noHBand="0" w:noVBand="1"/>
        <w:tblCaption w:val="Table 3.5"/>
        <w:tblDescription w:val="Organisation funded and purpose of funding "/>
      </w:tblPr>
      <w:tblGrid>
        <w:gridCol w:w="3051"/>
        <w:gridCol w:w="3507"/>
        <w:gridCol w:w="2582"/>
      </w:tblGrid>
      <w:tr w:rsidR="000A7D31" w:rsidRPr="009146F9" w:rsidTr="00FA751D">
        <w:trPr>
          <w:tblHeader/>
        </w:trPr>
        <w:tc>
          <w:tcPr>
            <w:tcW w:w="3051" w:type="dxa"/>
            <w:shd w:val="clear" w:color="auto" w:fill="D9D9D9" w:themeFill="background1" w:themeFillShade="D9"/>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Organisation</w:t>
            </w:r>
          </w:p>
        </w:tc>
        <w:tc>
          <w:tcPr>
            <w:tcW w:w="3507" w:type="dxa"/>
            <w:shd w:val="clear" w:color="auto" w:fill="D9D9D9" w:themeFill="background1" w:themeFillShade="D9"/>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Purpose of funding</w:t>
            </w:r>
          </w:p>
        </w:tc>
        <w:tc>
          <w:tcPr>
            <w:tcW w:w="2582" w:type="dxa"/>
            <w:shd w:val="clear" w:color="auto" w:fill="D9D9D9" w:themeFill="background1" w:themeFillShade="D9"/>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Location of services</w:t>
            </w:r>
          </w:p>
        </w:tc>
      </w:tr>
      <w:tr w:rsidR="000A7D31" w:rsidRPr="009146F9" w:rsidTr="00FA751D">
        <w:trPr>
          <w:tblHeader/>
        </w:trPr>
        <w:tc>
          <w:tcPr>
            <w:tcW w:w="3051"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Advocacy Tasmania</w:t>
            </w:r>
          </w:p>
        </w:tc>
        <w:tc>
          <w:tcPr>
            <w:tcW w:w="3507"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 xml:space="preserve">Individual and systemic advocacy support </w:t>
            </w:r>
          </w:p>
        </w:tc>
        <w:tc>
          <w:tcPr>
            <w:tcW w:w="2582"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Statewide</w:t>
            </w:r>
          </w:p>
        </w:tc>
      </w:tr>
      <w:tr w:rsidR="000A7D31" w:rsidRPr="009146F9" w:rsidTr="00FA751D">
        <w:trPr>
          <w:tblHeader/>
        </w:trPr>
        <w:tc>
          <w:tcPr>
            <w:tcW w:w="3051"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Alcohol and Drug Foundation</w:t>
            </w:r>
          </w:p>
        </w:tc>
        <w:tc>
          <w:tcPr>
            <w:tcW w:w="3507"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Good Sports Program</w:t>
            </w:r>
          </w:p>
        </w:tc>
        <w:tc>
          <w:tcPr>
            <w:tcW w:w="2582"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Statewide</w:t>
            </w:r>
          </w:p>
        </w:tc>
      </w:tr>
      <w:tr w:rsidR="000A7D31" w:rsidRPr="009146F9" w:rsidTr="00FA751D">
        <w:trPr>
          <w:tblHeader/>
        </w:trPr>
        <w:tc>
          <w:tcPr>
            <w:tcW w:w="3051"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Alcohol, Tobacco and other Drugs Council Tasmania</w:t>
            </w:r>
          </w:p>
        </w:tc>
        <w:tc>
          <w:tcPr>
            <w:tcW w:w="3507"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Peak Body</w:t>
            </w:r>
          </w:p>
        </w:tc>
        <w:tc>
          <w:tcPr>
            <w:tcW w:w="2582"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Statewide</w:t>
            </w:r>
          </w:p>
        </w:tc>
      </w:tr>
      <w:tr w:rsidR="000F494F" w:rsidRPr="009146F9" w:rsidTr="00FA751D">
        <w:trPr>
          <w:tblHeader/>
        </w:trPr>
        <w:tc>
          <w:tcPr>
            <w:tcW w:w="3051" w:type="dxa"/>
          </w:tcPr>
          <w:p w:rsidR="000F494F" w:rsidRPr="009146F9" w:rsidRDefault="000F494F"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Anglicare</w:t>
            </w:r>
          </w:p>
        </w:tc>
        <w:tc>
          <w:tcPr>
            <w:tcW w:w="3507" w:type="dxa"/>
          </w:tcPr>
          <w:p w:rsidR="000F494F" w:rsidRPr="009146F9" w:rsidRDefault="000F494F"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 xml:space="preserve">Family Support </w:t>
            </w:r>
          </w:p>
          <w:p w:rsidR="000F494F" w:rsidRPr="009146F9" w:rsidRDefault="000F494F"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AOD services</w:t>
            </w:r>
          </w:p>
          <w:p w:rsidR="000F494F" w:rsidRPr="009146F9" w:rsidRDefault="000F494F"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Care Coordination</w:t>
            </w:r>
          </w:p>
        </w:tc>
        <w:tc>
          <w:tcPr>
            <w:tcW w:w="2582" w:type="dxa"/>
          </w:tcPr>
          <w:p w:rsidR="000F494F" w:rsidRPr="009146F9" w:rsidRDefault="000F494F"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North and North West</w:t>
            </w:r>
          </w:p>
          <w:p w:rsidR="000F494F" w:rsidRPr="009146F9" w:rsidRDefault="000F494F"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Break O’Day, East Coast</w:t>
            </w:r>
          </w:p>
          <w:p w:rsidR="000F494F" w:rsidRPr="009146F9" w:rsidRDefault="000F494F"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Statewide</w:t>
            </w:r>
          </w:p>
        </w:tc>
      </w:tr>
      <w:tr w:rsidR="000A7D31" w:rsidRPr="009146F9" w:rsidTr="00FA751D">
        <w:trPr>
          <w:tblHeader/>
        </w:trPr>
        <w:tc>
          <w:tcPr>
            <w:tcW w:w="3051"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Circular Head Aboriginal Corporation</w:t>
            </w:r>
          </w:p>
        </w:tc>
        <w:tc>
          <w:tcPr>
            <w:tcW w:w="3507" w:type="dxa"/>
          </w:tcPr>
          <w:p w:rsidR="000A7D31" w:rsidRPr="009146F9" w:rsidRDefault="005D5B57"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Tasmanian Early Intervention Program (</w:t>
            </w:r>
            <w:r w:rsidR="000A7D31" w:rsidRPr="009146F9">
              <w:rPr>
                <w:rFonts w:ascii="Gill Sans MT" w:hAnsi="Gill Sans MT"/>
                <w:sz w:val="20"/>
                <w:szCs w:val="20"/>
              </w:rPr>
              <w:t>TEIP</w:t>
            </w:r>
            <w:r w:rsidRPr="009146F9">
              <w:rPr>
                <w:rFonts w:ascii="Gill Sans MT" w:hAnsi="Gill Sans MT"/>
                <w:sz w:val="20"/>
                <w:szCs w:val="20"/>
              </w:rPr>
              <w:t>)</w:t>
            </w:r>
          </w:p>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Illicit Drug Diversion (IDDI)</w:t>
            </w:r>
          </w:p>
        </w:tc>
        <w:tc>
          <w:tcPr>
            <w:tcW w:w="2582"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North West</w:t>
            </w:r>
          </w:p>
        </w:tc>
      </w:tr>
      <w:tr w:rsidR="000A7D31" w:rsidRPr="009146F9" w:rsidTr="00FA751D">
        <w:trPr>
          <w:tblHeader/>
        </w:trPr>
        <w:tc>
          <w:tcPr>
            <w:tcW w:w="3051"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Drug Education Network</w:t>
            </w:r>
          </w:p>
        </w:tc>
        <w:tc>
          <w:tcPr>
            <w:tcW w:w="3507"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Health Promotion</w:t>
            </w:r>
          </w:p>
        </w:tc>
        <w:tc>
          <w:tcPr>
            <w:tcW w:w="2582"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Statewide</w:t>
            </w:r>
          </w:p>
        </w:tc>
      </w:tr>
      <w:tr w:rsidR="000A7D31" w:rsidRPr="009146F9" w:rsidTr="00FA751D">
        <w:trPr>
          <w:tblHeader/>
        </w:trPr>
        <w:tc>
          <w:tcPr>
            <w:tcW w:w="3051"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Holyoake</w:t>
            </w:r>
          </w:p>
        </w:tc>
        <w:tc>
          <w:tcPr>
            <w:tcW w:w="3507"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Counselling</w:t>
            </w:r>
          </w:p>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TEIP &amp; IDDI</w:t>
            </w:r>
          </w:p>
        </w:tc>
        <w:tc>
          <w:tcPr>
            <w:tcW w:w="2582"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South</w:t>
            </w:r>
          </w:p>
        </w:tc>
      </w:tr>
      <w:tr w:rsidR="000A7D31" w:rsidRPr="009146F9" w:rsidTr="00FA751D">
        <w:trPr>
          <w:tblHeader/>
        </w:trPr>
        <w:tc>
          <w:tcPr>
            <w:tcW w:w="3051"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Launceston City Mission</w:t>
            </w:r>
          </w:p>
        </w:tc>
        <w:tc>
          <w:tcPr>
            <w:tcW w:w="3507"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Case Management support (for residential rehabilitation)</w:t>
            </w:r>
          </w:p>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Places of Safety</w:t>
            </w:r>
          </w:p>
        </w:tc>
        <w:tc>
          <w:tcPr>
            <w:tcW w:w="2582"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 xml:space="preserve">North </w:t>
            </w:r>
          </w:p>
          <w:p w:rsidR="000A7D31" w:rsidRPr="009146F9" w:rsidRDefault="000A7D31" w:rsidP="00FC47DF">
            <w:pPr>
              <w:keepNext/>
              <w:tabs>
                <w:tab w:val="left" w:pos="1110"/>
              </w:tabs>
              <w:spacing w:line="280" w:lineRule="atLeast"/>
              <w:rPr>
                <w:rFonts w:ascii="Gill Sans MT" w:hAnsi="Gill Sans MT"/>
                <w:sz w:val="20"/>
                <w:szCs w:val="20"/>
              </w:rPr>
            </w:pPr>
          </w:p>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North &amp; North West</w:t>
            </w:r>
          </w:p>
        </w:tc>
      </w:tr>
      <w:tr w:rsidR="000A7D31" w:rsidRPr="009146F9" w:rsidTr="00FA751D">
        <w:trPr>
          <w:tblHeader/>
        </w:trPr>
        <w:tc>
          <w:tcPr>
            <w:tcW w:w="3051"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Salvation Army</w:t>
            </w:r>
          </w:p>
        </w:tc>
        <w:tc>
          <w:tcPr>
            <w:tcW w:w="3507"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 xml:space="preserve">Residential Rehabilitation </w:t>
            </w:r>
          </w:p>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TEIP &amp; IDDI</w:t>
            </w:r>
          </w:p>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Places of Safety</w:t>
            </w:r>
          </w:p>
        </w:tc>
        <w:tc>
          <w:tcPr>
            <w:tcW w:w="2582"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South &amp; North West</w:t>
            </w:r>
          </w:p>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North</w:t>
            </w:r>
          </w:p>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South</w:t>
            </w:r>
          </w:p>
        </w:tc>
      </w:tr>
      <w:tr w:rsidR="000A7D31" w:rsidRPr="009146F9" w:rsidTr="00FA751D">
        <w:trPr>
          <w:tblHeader/>
        </w:trPr>
        <w:tc>
          <w:tcPr>
            <w:tcW w:w="3051"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The Link Youth Health Service</w:t>
            </w:r>
          </w:p>
        </w:tc>
        <w:tc>
          <w:tcPr>
            <w:tcW w:w="3507"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Youth alcohol and drug</w:t>
            </w:r>
          </w:p>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TEIP and IDDI</w:t>
            </w:r>
          </w:p>
        </w:tc>
        <w:tc>
          <w:tcPr>
            <w:tcW w:w="2582"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South</w:t>
            </w:r>
          </w:p>
        </w:tc>
      </w:tr>
      <w:tr w:rsidR="000F494F" w:rsidRPr="009146F9" w:rsidTr="00FA751D">
        <w:trPr>
          <w:tblHeader/>
        </w:trPr>
        <w:tc>
          <w:tcPr>
            <w:tcW w:w="3051" w:type="dxa"/>
          </w:tcPr>
          <w:p w:rsidR="000F494F" w:rsidRPr="009146F9" w:rsidRDefault="000F494F"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Velocity Transformations</w:t>
            </w:r>
          </w:p>
        </w:tc>
        <w:tc>
          <w:tcPr>
            <w:tcW w:w="3507" w:type="dxa"/>
          </w:tcPr>
          <w:p w:rsidR="000F494F" w:rsidRPr="009146F9" w:rsidRDefault="000F494F"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Case Management support (for residential rehabilitation)</w:t>
            </w:r>
          </w:p>
        </w:tc>
        <w:tc>
          <w:tcPr>
            <w:tcW w:w="2582" w:type="dxa"/>
          </w:tcPr>
          <w:p w:rsidR="000F494F" w:rsidRPr="009146F9" w:rsidRDefault="000F494F"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South</w:t>
            </w:r>
          </w:p>
        </w:tc>
      </w:tr>
      <w:tr w:rsidR="000A7D31" w:rsidRPr="009146F9" w:rsidTr="00FA751D">
        <w:trPr>
          <w:tblHeader/>
        </w:trPr>
        <w:tc>
          <w:tcPr>
            <w:tcW w:w="3051"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Youth, Family &amp; Community Connections</w:t>
            </w:r>
          </w:p>
        </w:tc>
        <w:tc>
          <w:tcPr>
            <w:tcW w:w="3507"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 xml:space="preserve">Youth alcohol and drug </w:t>
            </w:r>
          </w:p>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TEIP &amp; IDDI</w:t>
            </w:r>
          </w:p>
        </w:tc>
        <w:tc>
          <w:tcPr>
            <w:tcW w:w="2582" w:type="dxa"/>
          </w:tcPr>
          <w:p w:rsidR="000A7D31" w:rsidRPr="009146F9" w:rsidRDefault="000A7D31" w:rsidP="00FC47DF">
            <w:pPr>
              <w:keepNext/>
              <w:tabs>
                <w:tab w:val="left" w:pos="1110"/>
              </w:tabs>
              <w:spacing w:line="280" w:lineRule="atLeast"/>
              <w:rPr>
                <w:rFonts w:ascii="Gill Sans MT" w:hAnsi="Gill Sans MT"/>
                <w:sz w:val="20"/>
                <w:szCs w:val="20"/>
              </w:rPr>
            </w:pPr>
            <w:r w:rsidRPr="009146F9">
              <w:rPr>
                <w:rFonts w:ascii="Gill Sans MT" w:hAnsi="Gill Sans MT"/>
                <w:sz w:val="20"/>
                <w:szCs w:val="20"/>
              </w:rPr>
              <w:t>North West</w:t>
            </w:r>
          </w:p>
        </w:tc>
      </w:tr>
    </w:tbl>
    <w:p w:rsidR="0094227A" w:rsidRPr="009146F9" w:rsidRDefault="000A7D31" w:rsidP="00FC47DF">
      <w:pPr>
        <w:keepNext/>
        <w:tabs>
          <w:tab w:val="left" w:pos="1110"/>
        </w:tabs>
        <w:spacing w:before="120" w:after="120" w:line="280" w:lineRule="atLeast"/>
        <w:rPr>
          <w:rFonts w:ascii="Gill Sans MT" w:hAnsi="Gill Sans MT"/>
        </w:rPr>
      </w:pPr>
      <w:r w:rsidRPr="009146F9">
        <w:rPr>
          <w:rFonts w:ascii="Gill Sans MT" w:hAnsi="Gill Sans MT"/>
        </w:rPr>
        <w:t>Funding from the ADS enabled the Salvation Army Tasmania to introduce the ‘Street Teams’ initiative to the Hobart Salamanca area on Friday and Saturday nights.</w:t>
      </w:r>
      <w:r w:rsidR="0094227A" w:rsidRPr="009146F9">
        <w:rPr>
          <w:rFonts w:ascii="Gill Sans MT" w:hAnsi="Gill Sans MT"/>
        </w:rPr>
        <w:t xml:space="preserve"> The </w:t>
      </w:r>
      <w:r w:rsidR="00FA1048" w:rsidRPr="009146F9">
        <w:rPr>
          <w:rFonts w:ascii="Gill Sans MT" w:hAnsi="Gill Sans MT"/>
        </w:rPr>
        <w:t xml:space="preserve">Hobart </w:t>
      </w:r>
      <w:r w:rsidR="0094227A" w:rsidRPr="009146F9">
        <w:rPr>
          <w:rFonts w:ascii="Gill Sans MT" w:hAnsi="Gill Sans MT"/>
        </w:rPr>
        <w:t>Street Team</w:t>
      </w:r>
      <w:r w:rsidR="005D6923" w:rsidRPr="009146F9">
        <w:rPr>
          <w:rFonts w:ascii="Gill Sans MT" w:hAnsi="Gill Sans MT"/>
        </w:rPr>
        <w:t>s</w:t>
      </w:r>
      <w:r w:rsidR="0094227A" w:rsidRPr="009146F9">
        <w:rPr>
          <w:rFonts w:ascii="Gill Sans MT" w:hAnsi="Gill Sans MT"/>
        </w:rPr>
        <w:t xml:space="preserve"> ha</w:t>
      </w:r>
      <w:r w:rsidR="005D6923" w:rsidRPr="009146F9">
        <w:rPr>
          <w:rFonts w:ascii="Gill Sans MT" w:hAnsi="Gill Sans MT"/>
        </w:rPr>
        <w:t>ve</w:t>
      </w:r>
      <w:r w:rsidR="0094227A" w:rsidRPr="009146F9">
        <w:rPr>
          <w:rFonts w:ascii="Gill Sans MT" w:hAnsi="Gill Sans MT"/>
        </w:rPr>
        <w:t xml:space="preserve"> recorded 20 406 contacts since </w:t>
      </w:r>
      <w:r w:rsidR="005D6923" w:rsidRPr="009146F9">
        <w:rPr>
          <w:rFonts w:ascii="Gill Sans MT" w:hAnsi="Gill Sans MT"/>
        </w:rPr>
        <w:t>inception</w:t>
      </w:r>
      <w:r w:rsidR="0094227A" w:rsidRPr="009146F9">
        <w:rPr>
          <w:rFonts w:ascii="Gill Sans MT" w:hAnsi="Gill Sans MT"/>
        </w:rPr>
        <w:t xml:space="preserve"> in 2015.  Of these, 786 presented with severe intoxication and 102 required first aid</w:t>
      </w:r>
      <w:r w:rsidR="001A2C23" w:rsidRPr="009146F9">
        <w:rPr>
          <w:rFonts w:ascii="Gill Sans MT" w:hAnsi="Gill Sans MT"/>
        </w:rPr>
        <w:t>.</w:t>
      </w:r>
    </w:p>
    <w:p w:rsidR="00425099" w:rsidRPr="009146F9" w:rsidRDefault="00425099" w:rsidP="00FC47DF">
      <w:pPr>
        <w:keepNext/>
        <w:tabs>
          <w:tab w:val="left" w:pos="1110"/>
        </w:tabs>
        <w:spacing w:before="120" w:after="120" w:line="280" w:lineRule="atLeast"/>
        <w:rPr>
          <w:rFonts w:ascii="Gill Sans MT" w:hAnsi="Gill Sans MT"/>
          <w:i/>
        </w:rPr>
      </w:pPr>
      <w:r w:rsidRPr="009146F9">
        <w:rPr>
          <w:rFonts w:ascii="Gill Sans MT" w:hAnsi="Gill Sans MT"/>
        </w:rPr>
        <w:t xml:space="preserve">The Salvation Army expanded its ‘Street Teams’ concept to Launceston following discussion with the Launceston City Council and Tasmania Police.  The intent of the programme is to support events such as Australian Football League (AFL) fixtures, and has operated four times since July 2016.  These occasions of volunteering </w:t>
      </w:r>
      <w:r w:rsidR="00FA1048" w:rsidRPr="009146F9">
        <w:rPr>
          <w:rFonts w:ascii="Gill Sans MT" w:hAnsi="Gill Sans MT"/>
        </w:rPr>
        <w:t>have had 371 contacts with 7</w:t>
      </w:r>
      <w:r w:rsidRPr="009146F9">
        <w:rPr>
          <w:rFonts w:ascii="Gill Sans MT" w:hAnsi="Gill Sans MT"/>
        </w:rPr>
        <w:t xml:space="preserve"> instances of significant in</w:t>
      </w:r>
      <w:r w:rsidR="00FA1048" w:rsidRPr="009146F9">
        <w:rPr>
          <w:rFonts w:ascii="Gill Sans MT" w:hAnsi="Gill Sans MT"/>
        </w:rPr>
        <w:t>toxication and 7</w:t>
      </w:r>
      <w:r w:rsidRPr="009146F9">
        <w:rPr>
          <w:rFonts w:ascii="Gill Sans MT" w:hAnsi="Gill Sans MT"/>
        </w:rPr>
        <w:t xml:space="preserve"> others requiring first aid or ambulance support.  The Launceston Street Team is funded from local Salvation Army resources an</w:t>
      </w:r>
      <w:r w:rsidR="00FA1048" w:rsidRPr="009146F9">
        <w:rPr>
          <w:rFonts w:ascii="Gill Sans MT" w:hAnsi="Gill Sans MT"/>
        </w:rPr>
        <w:t>d public donations.</w:t>
      </w:r>
    </w:p>
    <w:p w:rsidR="00F31EFB" w:rsidRPr="009146F9" w:rsidRDefault="00F31EFB" w:rsidP="00FC47DF">
      <w:pPr>
        <w:keepNext/>
        <w:tabs>
          <w:tab w:val="left" w:pos="1110"/>
        </w:tabs>
        <w:spacing w:before="120" w:after="120" w:line="280" w:lineRule="atLeast"/>
        <w:rPr>
          <w:rFonts w:ascii="Gill Sans MT" w:hAnsi="Gill Sans MT"/>
        </w:rPr>
      </w:pPr>
      <w:r w:rsidRPr="009146F9">
        <w:rPr>
          <w:rFonts w:ascii="Gill Sans MT" w:hAnsi="Gill Sans MT"/>
        </w:rPr>
        <w:t xml:space="preserve">Places of Safety (POS) under the </w:t>
      </w:r>
      <w:r w:rsidRPr="009146F9">
        <w:rPr>
          <w:rFonts w:ascii="Gill Sans MT" w:hAnsi="Gill Sans MT"/>
          <w:i/>
        </w:rPr>
        <w:t>Police Offences Act 1935</w:t>
      </w:r>
      <w:r w:rsidRPr="009146F9">
        <w:rPr>
          <w:rFonts w:ascii="Gill Sans MT" w:hAnsi="Gill Sans MT"/>
        </w:rPr>
        <w:t xml:space="preserve"> </w:t>
      </w:r>
      <w:r w:rsidR="00AC0470" w:rsidRPr="009146F9">
        <w:rPr>
          <w:rFonts w:ascii="Gill Sans MT" w:hAnsi="Gill Sans MT"/>
        </w:rPr>
        <w:t>provide</w:t>
      </w:r>
      <w:r w:rsidRPr="009146F9">
        <w:rPr>
          <w:rFonts w:ascii="Gill Sans MT" w:hAnsi="Gill Sans MT"/>
        </w:rPr>
        <w:t xml:space="preserve"> a safe, supported and supervised environment as an acceptable alternative to incarceration for persons found intoxicated in a public place:</w:t>
      </w:r>
    </w:p>
    <w:p w:rsidR="00F31EFB" w:rsidRPr="009146F9" w:rsidRDefault="00F31EFB" w:rsidP="00FC47DF">
      <w:pPr>
        <w:keepNext/>
        <w:numPr>
          <w:ilvl w:val="1"/>
          <w:numId w:val="11"/>
        </w:numPr>
        <w:tabs>
          <w:tab w:val="left" w:pos="709"/>
        </w:tabs>
        <w:spacing w:before="120" w:after="120" w:line="280" w:lineRule="atLeast"/>
        <w:ind w:left="709" w:hanging="284"/>
        <w:rPr>
          <w:rFonts w:ascii="Gill Sans MT" w:hAnsi="Gill Sans MT"/>
        </w:rPr>
      </w:pPr>
      <w:r w:rsidRPr="009146F9">
        <w:rPr>
          <w:rFonts w:ascii="Gill Sans MT" w:hAnsi="Gill Sans MT"/>
        </w:rPr>
        <w:t xml:space="preserve">The Launceston City Mission received 121 referrals and admitted 97 clients to its POS program </w:t>
      </w:r>
      <w:r w:rsidR="00220794" w:rsidRPr="009146F9">
        <w:rPr>
          <w:rFonts w:ascii="Gill Sans MT" w:hAnsi="Gill Sans MT"/>
        </w:rPr>
        <w:t>at</w:t>
      </w:r>
      <w:r w:rsidRPr="009146F9">
        <w:rPr>
          <w:rFonts w:ascii="Gill Sans MT" w:hAnsi="Gill Sans MT"/>
        </w:rPr>
        <w:t xml:space="preserve"> Serenity House </w:t>
      </w:r>
      <w:r w:rsidR="00220794" w:rsidRPr="009146F9">
        <w:rPr>
          <w:rFonts w:ascii="Gill Sans MT" w:hAnsi="Gill Sans MT"/>
        </w:rPr>
        <w:t xml:space="preserve">in the North West </w:t>
      </w:r>
      <w:r w:rsidRPr="009146F9">
        <w:rPr>
          <w:rFonts w:ascii="Gill Sans MT" w:hAnsi="Gill Sans MT"/>
        </w:rPr>
        <w:t xml:space="preserve">and Orana House in the North of Tasmania from 2012-13 to 2014-15.  </w:t>
      </w:r>
    </w:p>
    <w:p w:rsidR="00F31EFB" w:rsidRPr="009146F9" w:rsidRDefault="00F31EFB" w:rsidP="00FC47DF">
      <w:pPr>
        <w:keepNext/>
        <w:numPr>
          <w:ilvl w:val="1"/>
          <w:numId w:val="11"/>
        </w:numPr>
        <w:tabs>
          <w:tab w:val="left" w:pos="709"/>
        </w:tabs>
        <w:spacing w:before="120" w:after="120" w:line="280" w:lineRule="atLeast"/>
        <w:ind w:left="709" w:hanging="284"/>
        <w:rPr>
          <w:rFonts w:ascii="Gill Sans MT" w:hAnsi="Gill Sans MT"/>
        </w:rPr>
      </w:pPr>
      <w:r w:rsidRPr="009146F9">
        <w:rPr>
          <w:rFonts w:ascii="Gill Sans MT" w:hAnsi="Gill Sans MT"/>
        </w:rPr>
        <w:t xml:space="preserve">The Salvation Army received 189 referrals and admitted 152 clients to its </w:t>
      </w:r>
      <w:r w:rsidR="00220794" w:rsidRPr="009146F9">
        <w:rPr>
          <w:rFonts w:ascii="Gill Sans MT" w:hAnsi="Gill Sans MT"/>
        </w:rPr>
        <w:t xml:space="preserve">POS at the </w:t>
      </w:r>
      <w:r w:rsidRPr="009146F9">
        <w:rPr>
          <w:rFonts w:ascii="Gill Sans MT" w:hAnsi="Gill Sans MT"/>
        </w:rPr>
        <w:t>Bridge Program</w:t>
      </w:r>
      <w:r w:rsidR="00220794" w:rsidRPr="009146F9">
        <w:rPr>
          <w:rFonts w:ascii="Gill Sans MT" w:hAnsi="Gill Sans MT"/>
        </w:rPr>
        <w:t xml:space="preserve"> in the South</w:t>
      </w:r>
      <w:r w:rsidRPr="009146F9">
        <w:rPr>
          <w:rFonts w:ascii="Gill Sans MT" w:hAnsi="Gill Sans MT"/>
        </w:rPr>
        <w:t xml:space="preserve"> from 2011-12 to 28 September 2016.</w:t>
      </w:r>
    </w:p>
    <w:p w:rsidR="003A4BDF" w:rsidRPr="009146F9" w:rsidRDefault="00220794" w:rsidP="00FC47DF">
      <w:pPr>
        <w:keepNext/>
        <w:tabs>
          <w:tab w:val="left" w:pos="1110"/>
        </w:tabs>
        <w:spacing w:before="120" w:after="120" w:line="280" w:lineRule="atLeast"/>
        <w:rPr>
          <w:rFonts w:ascii="Gill Sans MT" w:hAnsi="Gill Sans MT"/>
          <w:lang w:val="en-US"/>
        </w:rPr>
      </w:pPr>
      <w:r w:rsidRPr="009146F9">
        <w:rPr>
          <w:rFonts w:ascii="Gill Sans MT" w:hAnsi="Gill Sans MT"/>
          <w:lang w:val="en-US"/>
        </w:rPr>
        <w:t>For the Tasmanian Government and publicly funded services, t</w:t>
      </w:r>
      <w:r w:rsidR="003A4BDF" w:rsidRPr="009146F9">
        <w:rPr>
          <w:rFonts w:ascii="Gill Sans MT" w:hAnsi="Gill Sans MT"/>
          <w:lang w:val="en-US"/>
        </w:rPr>
        <w:t>he Alcohol and other Drug Treatment Services in Australia (AODTS) 2014-15</w:t>
      </w:r>
      <w:r w:rsidR="00C31E2E" w:rsidRPr="009146F9">
        <w:rPr>
          <w:rStyle w:val="FootnoteReference"/>
          <w:rFonts w:ascii="Gill Sans MT" w:hAnsi="Gill Sans MT"/>
          <w:lang w:val="en-US"/>
        </w:rPr>
        <w:footnoteReference w:id="10"/>
      </w:r>
      <w:r w:rsidR="00293A1B" w:rsidRPr="009146F9">
        <w:rPr>
          <w:rFonts w:ascii="Gill Sans MT" w:hAnsi="Gill Sans MT"/>
          <w:lang w:val="en-US"/>
        </w:rPr>
        <w:t xml:space="preserve"> </w:t>
      </w:r>
      <w:r w:rsidR="003A4BDF" w:rsidRPr="009146F9">
        <w:rPr>
          <w:rFonts w:ascii="Gill Sans MT" w:hAnsi="Gill Sans MT"/>
          <w:lang w:val="en-US"/>
        </w:rPr>
        <w:t>showed that:</w:t>
      </w:r>
    </w:p>
    <w:p w:rsidR="003A4BDF" w:rsidRPr="009146F9" w:rsidRDefault="003A4BDF" w:rsidP="00FC47DF">
      <w:pPr>
        <w:keepNext/>
        <w:numPr>
          <w:ilvl w:val="0"/>
          <w:numId w:val="7"/>
        </w:numPr>
        <w:tabs>
          <w:tab w:val="left" w:pos="1110"/>
        </w:tabs>
        <w:spacing w:before="120" w:after="120" w:line="280" w:lineRule="atLeast"/>
        <w:rPr>
          <w:rFonts w:ascii="Gill Sans MT" w:hAnsi="Gill Sans MT"/>
          <w:lang w:val="en-US"/>
        </w:rPr>
      </w:pPr>
      <w:r w:rsidRPr="009146F9">
        <w:rPr>
          <w:rFonts w:ascii="Gill Sans MT" w:hAnsi="Gill Sans MT"/>
          <w:lang w:val="en-US"/>
        </w:rPr>
        <w:t xml:space="preserve">In Tasmania, 19 publicly funded alcohol and other drug services provided 3 241 treatment episodes in 2014-15 to 2 595 clients.  Of these episodes, alcohol was the most common principle drug of concern in episodes provided to clients for their own drug use in 2014-15, and the most common principal drug of concern for clients receiving treatment from </w:t>
      </w:r>
      <w:r w:rsidRPr="009146F9">
        <w:rPr>
          <w:rFonts w:ascii="Gill Sans MT" w:hAnsi="Gill Sans MT"/>
          <w:lang w:val="en-US"/>
        </w:rPr>
        <w:br/>
        <w:t>2011-12 to 2014-15.</w:t>
      </w:r>
    </w:p>
    <w:p w:rsidR="003A4BDF" w:rsidRPr="009146F9" w:rsidRDefault="003A4BDF" w:rsidP="00FC47DF">
      <w:pPr>
        <w:keepNext/>
        <w:numPr>
          <w:ilvl w:val="0"/>
          <w:numId w:val="7"/>
        </w:numPr>
        <w:tabs>
          <w:tab w:val="left" w:pos="1110"/>
        </w:tabs>
        <w:spacing w:before="120" w:after="120" w:line="280" w:lineRule="atLeast"/>
        <w:rPr>
          <w:rFonts w:ascii="Gill Sans MT" w:hAnsi="Gill Sans MT"/>
          <w:lang w:val="en-US"/>
        </w:rPr>
      </w:pPr>
      <w:r w:rsidRPr="009146F9">
        <w:rPr>
          <w:rFonts w:ascii="Gill Sans MT" w:hAnsi="Gill Sans MT"/>
          <w:lang w:val="en-US"/>
        </w:rPr>
        <w:t>Counselling was the most common type of treatment in Tasmania for 2014-15 (45 per cent of clients and 43 per cent of episodes), followed by assessment only (32 per cent of episodes) and rehabilitation (11 per cent of episodes).</w:t>
      </w:r>
      <w:r w:rsidR="0094227A" w:rsidRPr="009146F9">
        <w:rPr>
          <w:rFonts w:ascii="Gill Sans MT" w:hAnsi="Gill Sans MT"/>
          <w:lang w:val="en-US"/>
        </w:rPr>
        <w:t xml:space="preserve">  The following table shows the number of closed episodes provided for Tasmanians for own drug use and by principal drug of concern.</w:t>
      </w:r>
    </w:p>
    <w:p w:rsidR="00220794" w:rsidRPr="009146F9" w:rsidRDefault="00220794" w:rsidP="00FC47DF">
      <w:pPr>
        <w:keepNext/>
        <w:spacing w:before="120" w:after="120" w:line="280" w:lineRule="atLeast"/>
        <w:rPr>
          <w:rFonts w:ascii="Gill Sans MT" w:hAnsi="Gill Sans MT"/>
        </w:rPr>
      </w:pPr>
      <w:r w:rsidRPr="009146F9">
        <w:rPr>
          <w:rFonts w:ascii="Gill Sans MT" w:hAnsi="Gill Sans MT"/>
        </w:rPr>
        <w:t xml:space="preserve">Alcohol is consistently the most common principal drug of concern for clients seeking treatment for their own drug use as the table below shows.   </w:t>
      </w:r>
    </w:p>
    <w:p w:rsidR="00F171F5" w:rsidRPr="009146F9" w:rsidRDefault="00F171F5" w:rsidP="00FC47DF">
      <w:pPr>
        <w:keepNext/>
        <w:spacing w:before="120" w:after="120" w:line="280" w:lineRule="atLeast"/>
        <w:rPr>
          <w:rFonts w:ascii="Gill Sans MT" w:hAnsi="Gill Sans MT"/>
          <w:b/>
          <w:sz w:val="20"/>
        </w:rPr>
      </w:pPr>
      <w:r w:rsidRPr="009146F9">
        <w:rPr>
          <w:rFonts w:ascii="Gill Sans MT" w:hAnsi="Gill Sans MT"/>
          <w:b/>
          <w:sz w:val="20"/>
        </w:rPr>
        <w:br w:type="page"/>
      </w:r>
    </w:p>
    <w:p w:rsidR="0094227A" w:rsidRPr="009146F9" w:rsidRDefault="0094227A" w:rsidP="00FC47DF">
      <w:pPr>
        <w:keepNext/>
        <w:spacing w:before="120" w:after="120" w:line="280" w:lineRule="atLeast"/>
        <w:rPr>
          <w:rFonts w:ascii="Gill Sans MT" w:hAnsi="Gill Sans MT"/>
          <w:sz w:val="20"/>
        </w:rPr>
      </w:pPr>
      <w:r w:rsidRPr="009146F9">
        <w:rPr>
          <w:rFonts w:ascii="Gill Sans MT" w:hAnsi="Gill Sans MT"/>
          <w:b/>
          <w:sz w:val="20"/>
        </w:rPr>
        <w:t>Table 3.6:</w:t>
      </w:r>
      <w:r w:rsidRPr="009146F9">
        <w:rPr>
          <w:rFonts w:ascii="Gill Sans MT" w:hAnsi="Gill Sans MT"/>
          <w:sz w:val="20"/>
        </w:rPr>
        <w:t xml:space="preserve"> Closed episodes provided for own drug use, by principal drug of concern, Tasmania 2009-2010 to 2014-15.</w:t>
      </w:r>
      <w:r w:rsidR="00D4545C" w:rsidRPr="009146F9">
        <w:rPr>
          <w:rFonts w:ascii="Gill Sans MT" w:hAnsi="Gill Sans MT"/>
          <w:sz w:val="20"/>
        </w:rPr>
        <w:t xml:space="preserve">  </w:t>
      </w:r>
    </w:p>
    <w:tbl>
      <w:tblPr>
        <w:tblW w:w="8380" w:type="dxa"/>
        <w:tblInd w:w="93" w:type="dxa"/>
        <w:tblLook w:val="04A0" w:firstRow="1" w:lastRow="0" w:firstColumn="1" w:lastColumn="0" w:noHBand="0" w:noVBand="1"/>
      </w:tblPr>
      <w:tblGrid>
        <w:gridCol w:w="2620"/>
        <w:gridCol w:w="960"/>
        <w:gridCol w:w="960"/>
        <w:gridCol w:w="960"/>
        <w:gridCol w:w="960"/>
        <w:gridCol w:w="960"/>
        <w:gridCol w:w="960"/>
      </w:tblGrid>
      <w:tr w:rsidR="0094227A" w:rsidRPr="009146F9" w:rsidTr="006F7CD5">
        <w:trPr>
          <w:trHeight w:val="300"/>
          <w:tblHeader/>
        </w:trPr>
        <w:tc>
          <w:tcPr>
            <w:tcW w:w="2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4227A" w:rsidRPr="009146F9" w:rsidRDefault="0094227A" w:rsidP="00FC47DF">
            <w:pPr>
              <w:keepNext/>
              <w:spacing w:after="0" w:line="280" w:lineRule="atLeast"/>
              <w:rPr>
                <w:rFonts w:ascii="Gill Sans MT" w:eastAsia="Times New Roman" w:hAnsi="Gill Sans MT" w:cs="Arial"/>
                <w:b/>
                <w:color w:val="000000"/>
                <w:sz w:val="20"/>
                <w:szCs w:val="20"/>
              </w:rPr>
            </w:pPr>
            <w:r w:rsidRPr="009146F9">
              <w:rPr>
                <w:rFonts w:ascii="Gill Sans MT" w:eastAsia="Times New Roman" w:hAnsi="Gill Sans MT" w:cs="Arial"/>
                <w:b/>
                <w:color w:val="000000"/>
                <w:sz w:val="20"/>
                <w:szCs w:val="20"/>
              </w:rPr>
              <w:t>Drug of Concern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227A" w:rsidRPr="009146F9" w:rsidRDefault="0094227A" w:rsidP="00FC47DF">
            <w:pPr>
              <w:keepNext/>
              <w:spacing w:after="0" w:line="280" w:lineRule="atLeast"/>
              <w:rPr>
                <w:rFonts w:ascii="Gill Sans MT" w:eastAsia="Times New Roman" w:hAnsi="Gill Sans MT" w:cs="Arial"/>
                <w:b/>
                <w:color w:val="000000"/>
                <w:sz w:val="20"/>
                <w:szCs w:val="20"/>
              </w:rPr>
            </w:pPr>
            <w:r w:rsidRPr="009146F9">
              <w:rPr>
                <w:rFonts w:ascii="Gill Sans MT" w:eastAsia="Times New Roman" w:hAnsi="Gill Sans MT" w:cs="Arial"/>
                <w:b/>
                <w:color w:val="000000"/>
                <w:sz w:val="20"/>
                <w:szCs w:val="20"/>
              </w:rPr>
              <w:t>2009-10</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227A" w:rsidRPr="009146F9" w:rsidRDefault="0094227A" w:rsidP="00FC47DF">
            <w:pPr>
              <w:keepNext/>
              <w:spacing w:after="0" w:line="280" w:lineRule="atLeast"/>
              <w:rPr>
                <w:rFonts w:ascii="Gill Sans MT" w:eastAsia="Times New Roman" w:hAnsi="Gill Sans MT" w:cs="Arial"/>
                <w:b/>
                <w:color w:val="000000"/>
                <w:sz w:val="20"/>
                <w:szCs w:val="20"/>
              </w:rPr>
            </w:pPr>
            <w:r w:rsidRPr="009146F9">
              <w:rPr>
                <w:rFonts w:ascii="Gill Sans MT" w:eastAsia="Times New Roman" w:hAnsi="Gill Sans MT" w:cs="Arial"/>
                <w:b/>
                <w:color w:val="000000"/>
                <w:sz w:val="20"/>
                <w:szCs w:val="20"/>
              </w:rPr>
              <w:t>2010-11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227A" w:rsidRPr="009146F9" w:rsidRDefault="0094227A" w:rsidP="00FC47DF">
            <w:pPr>
              <w:keepNext/>
              <w:spacing w:after="0" w:line="280" w:lineRule="atLeast"/>
              <w:rPr>
                <w:rFonts w:ascii="Gill Sans MT" w:eastAsia="Times New Roman" w:hAnsi="Gill Sans MT" w:cs="Arial"/>
                <w:b/>
                <w:color w:val="000000"/>
                <w:sz w:val="20"/>
                <w:szCs w:val="20"/>
              </w:rPr>
            </w:pPr>
            <w:r w:rsidRPr="009146F9">
              <w:rPr>
                <w:rFonts w:ascii="Gill Sans MT" w:eastAsia="Times New Roman" w:hAnsi="Gill Sans MT" w:cs="Arial"/>
                <w:b/>
                <w:color w:val="000000"/>
                <w:sz w:val="20"/>
                <w:szCs w:val="20"/>
              </w:rPr>
              <w:t>2011-12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227A" w:rsidRPr="009146F9" w:rsidRDefault="0094227A" w:rsidP="00FC47DF">
            <w:pPr>
              <w:keepNext/>
              <w:spacing w:after="0" w:line="280" w:lineRule="atLeast"/>
              <w:rPr>
                <w:rFonts w:ascii="Gill Sans MT" w:eastAsia="Times New Roman" w:hAnsi="Gill Sans MT" w:cs="Arial"/>
                <w:b/>
                <w:color w:val="000000"/>
                <w:sz w:val="20"/>
                <w:szCs w:val="20"/>
              </w:rPr>
            </w:pPr>
            <w:r w:rsidRPr="009146F9">
              <w:rPr>
                <w:rFonts w:ascii="Gill Sans MT" w:eastAsia="Times New Roman" w:hAnsi="Gill Sans MT" w:cs="Arial"/>
                <w:b/>
                <w:color w:val="000000"/>
                <w:sz w:val="20"/>
                <w:szCs w:val="20"/>
              </w:rPr>
              <w:t>2012-13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227A" w:rsidRPr="009146F9" w:rsidRDefault="0094227A" w:rsidP="00FC47DF">
            <w:pPr>
              <w:keepNext/>
              <w:spacing w:after="0" w:line="280" w:lineRule="atLeast"/>
              <w:rPr>
                <w:rFonts w:ascii="Gill Sans MT" w:eastAsia="Times New Roman" w:hAnsi="Gill Sans MT" w:cs="Arial"/>
                <w:b/>
                <w:color w:val="000000"/>
                <w:sz w:val="20"/>
                <w:szCs w:val="20"/>
              </w:rPr>
            </w:pPr>
            <w:r w:rsidRPr="009146F9">
              <w:rPr>
                <w:rFonts w:ascii="Gill Sans MT" w:eastAsia="Times New Roman" w:hAnsi="Gill Sans MT" w:cs="Arial"/>
                <w:b/>
                <w:color w:val="000000"/>
                <w:sz w:val="20"/>
                <w:szCs w:val="20"/>
              </w:rPr>
              <w:t>2013-14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227A" w:rsidRPr="009146F9" w:rsidRDefault="0094227A" w:rsidP="00FC47DF">
            <w:pPr>
              <w:keepNext/>
              <w:spacing w:after="0" w:line="280" w:lineRule="atLeast"/>
              <w:rPr>
                <w:rFonts w:ascii="Gill Sans MT" w:eastAsia="Times New Roman" w:hAnsi="Gill Sans MT" w:cs="Arial"/>
                <w:b/>
                <w:color w:val="000000"/>
                <w:sz w:val="20"/>
                <w:szCs w:val="20"/>
              </w:rPr>
            </w:pPr>
            <w:r w:rsidRPr="009146F9">
              <w:rPr>
                <w:rFonts w:ascii="Gill Sans MT" w:eastAsia="Times New Roman" w:hAnsi="Gill Sans MT" w:cs="Arial"/>
                <w:b/>
                <w:color w:val="000000"/>
                <w:sz w:val="20"/>
                <w:szCs w:val="20"/>
              </w:rPr>
              <w:t>2014-15</w:t>
            </w:r>
          </w:p>
        </w:tc>
      </w:tr>
      <w:tr w:rsidR="0094227A" w:rsidRPr="009146F9" w:rsidTr="00F31EFB">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Codeine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47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48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41</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Morphine</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87</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84</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102</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110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110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81</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Buprenorphine</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24</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19</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Heroin</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14</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6</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Methadone</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29</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31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26</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Other opioids</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70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32</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Other analgesics</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83</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96</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70</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Alcohol</w:t>
            </w:r>
          </w:p>
        </w:tc>
        <w:tc>
          <w:tcPr>
            <w:tcW w:w="960" w:type="dxa"/>
            <w:tcBorders>
              <w:top w:val="nil"/>
              <w:left w:val="nil"/>
              <w:bottom w:val="single" w:sz="4" w:space="0" w:color="auto"/>
              <w:right w:val="single" w:sz="4" w:space="0" w:color="auto"/>
            </w:tcBorders>
            <w:shd w:val="clear" w:color="auto" w:fill="B8CCE4" w:themeFill="accent1" w:themeFillTint="66"/>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500</w:t>
            </w:r>
          </w:p>
        </w:tc>
        <w:tc>
          <w:tcPr>
            <w:tcW w:w="960" w:type="dxa"/>
            <w:tcBorders>
              <w:top w:val="nil"/>
              <w:left w:val="nil"/>
              <w:bottom w:val="single" w:sz="4" w:space="0" w:color="auto"/>
              <w:right w:val="single" w:sz="4" w:space="0" w:color="auto"/>
            </w:tcBorders>
            <w:shd w:val="clear" w:color="auto" w:fill="B8CCE4" w:themeFill="accent1" w:themeFillTint="66"/>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642</w:t>
            </w:r>
          </w:p>
        </w:tc>
        <w:tc>
          <w:tcPr>
            <w:tcW w:w="960" w:type="dxa"/>
            <w:tcBorders>
              <w:top w:val="nil"/>
              <w:left w:val="nil"/>
              <w:bottom w:val="single" w:sz="4" w:space="0" w:color="auto"/>
              <w:right w:val="single" w:sz="4" w:space="0" w:color="auto"/>
            </w:tcBorders>
            <w:shd w:val="clear" w:color="auto" w:fill="B8CCE4" w:themeFill="accent1" w:themeFillTint="66"/>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619</w:t>
            </w:r>
          </w:p>
        </w:tc>
        <w:tc>
          <w:tcPr>
            <w:tcW w:w="960" w:type="dxa"/>
            <w:tcBorders>
              <w:top w:val="nil"/>
              <w:left w:val="nil"/>
              <w:bottom w:val="single" w:sz="4" w:space="0" w:color="auto"/>
              <w:right w:val="single" w:sz="4" w:space="0" w:color="auto"/>
            </w:tcBorders>
            <w:shd w:val="clear" w:color="auto" w:fill="B8CCE4" w:themeFill="accent1" w:themeFillTint="66"/>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840</w:t>
            </w:r>
          </w:p>
        </w:tc>
        <w:tc>
          <w:tcPr>
            <w:tcW w:w="960" w:type="dxa"/>
            <w:tcBorders>
              <w:top w:val="nil"/>
              <w:left w:val="nil"/>
              <w:bottom w:val="single" w:sz="4" w:space="0" w:color="auto"/>
              <w:right w:val="single" w:sz="4" w:space="0" w:color="auto"/>
            </w:tcBorders>
            <w:shd w:val="clear" w:color="auto" w:fill="B8CCE4" w:themeFill="accent1" w:themeFillTint="66"/>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1,078</w:t>
            </w:r>
          </w:p>
        </w:tc>
        <w:tc>
          <w:tcPr>
            <w:tcW w:w="960" w:type="dxa"/>
            <w:tcBorders>
              <w:top w:val="nil"/>
              <w:left w:val="nil"/>
              <w:bottom w:val="single" w:sz="4" w:space="0" w:color="auto"/>
              <w:right w:val="single" w:sz="4" w:space="0" w:color="auto"/>
            </w:tcBorders>
            <w:shd w:val="clear" w:color="auto" w:fill="B8CCE4" w:themeFill="accent1" w:themeFillTint="66"/>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1,200</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Benzodiazepines</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19</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31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45</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37</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Other sedatives and hypnotics</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0</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Amphetamines</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88</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142</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154</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263</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290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545</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Ecstasy (MDMA)</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28</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15</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Cocaine</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3</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Nicotine</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19</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Other stimulants and hallucinogens</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5</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Volatile solvents</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Cannabis</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643</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643</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540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638</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784</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861</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Other</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11</w:t>
            </w:r>
          </w:p>
        </w:tc>
      </w:tr>
      <w:tr w:rsidR="0094227A" w:rsidRPr="009146F9" w:rsidTr="00F31EFB">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Not stated</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color w:val="000000"/>
                <w:sz w:val="20"/>
                <w:szCs w:val="20"/>
              </w:rPr>
            </w:pPr>
            <w:r w:rsidRPr="009146F9">
              <w:rPr>
                <w:rFonts w:ascii="Gill Sans MT" w:eastAsia="Times New Roman" w:hAnsi="Gill Sans MT" w:cs="Arial"/>
                <w:color w:val="000000"/>
                <w:sz w:val="20"/>
                <w:szCs w:val="20"/>
              </w:rPr>
              <w:t>0</w:t>
            </w:r>
          </w:p>
        </w:tc>
      </w:tr>
      <w:tr w:rsidR="0094227A" w:rsidRPr="009146F9" w:rsidTr="0001587D">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94227A" w:rsidRPr="009146F9" w:rsidRDefault="0094227A" w:rsidP="00FC47DF">
            <w:pPr>
              <w:keepNext/>
              <w:spacing w:after="0" w:line="280" w:lineRule="atLeast"/>
              <w:rPr>
                <w:rFonts w:ascii="Gill Sans MT" w:eastAsia="Times New Roman" w:hAnsi="Gill Sans MT" w:cs="Arial"/>
                <w:b/>
                <w:bCs/>
                <w:color w:val="000000"/>
                <w:sz w:val="20"/>
                <w:szCs w:val="20"/>
              </w:rPr>
            </w:pPr>
            <w:r w:rsidRPr="009146F9">
              <w:rPr>
                <w:rFonts w:ascii="Gill Sans MT" w:eastAsia="Times New Roman" w:hAnsi="Gill Sans MT" w:cs="Arial"/>
                <w:b/>
                <w:bCs/>
                <w:color w:val="000000"/>
                <w:sz w:val="20"/>
                <w:szCs w:val="20"/>
              </w:rPr>
              <w:t>Total</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b/>
                <w:bCs/>
                <w:color w:val="000000"/>
                <w:sz w:val="20"/>
                <w:szCs w:val="20"/>
              </w:rPr>
            </w:pPr>
            <w:r w:rsidRPr="009146F9">
              <w:rPr>
                <w:rFonts w:ascii="Gill Sans MT" w:eastAsia="Times New Roman" w:hAnsi="Gill Sans MT" w:cs="Arial"/>
                <w:b/>
                <w:bCs/>
                <w:color w:val="000000"/>
                <w:sz w:val="20"/>
                <w:szCs w:val="20"/>
              </w:rPr>
              <w:t>1,451</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b/>
                <w:bCs/>
                <w:color w:val="000000"/>
                <w:sz w:val="20"/>
                <w:szCs w:val="20"/>
              </w:rPr>
            </w:pPr>
            <w:r w:rsidRPr="009146F9">
              <w:rPr>
                <w:rFonts w:ascii="Gill Sans MT" w:eastAsia="Times New Roman" w:hAnsi="Gill Sans MT" w:cs="Arial"/>
                <w:b/>
                <w:bCs/>
                <w:color w:val="000000"/>
                <w:sz w:val="20"/>
                <w:szCs w:val="20"/>
              </w:rPr>
              <w:t>1,653</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b/>
                <w:bCs/>
                <w:color w:val="000000"/>
                <w:sz w:val="20"/>
                <w:szCs w:val="20"/>
              </w:rPr>
            </w:pPr>
            <w:r w:rsidRPr="009146F9">
              <w:rPr>
                <w:rFonts w:ascii="Gill Sans MT" w:eastAsia="Times New Roman" w:hAnsi="Gill Sans MT" w:cs="Arial"/>
                <w:b/>
                <w:bCs/>
                <w:color w:val="000000"/>
                <w:sz w:val="20"/>
                <w:szCs w:val="20"/>
              </w:rPr>
              <w:t>1,554</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b/>
                <w:bCs/>
                <w:color w:val="000000"/>
                <w:sz w:val="20"/>
                <w:szCs w:val="20"/>
              </w:rPr>
            </w:pPr>
            <w:r w:rsidRPr="009146F9">
              <w:rPr>
                <w:rFonts w:ascii="Gill Sans MT" w:eastAsia="Times New Roman" w:hAnsi="Gill Sans MT" w:cs="Arial"/>
                <w:b/>
                <w:bCs/>
                <w:color w:val="000000"/>
                <w:sz w:val="20"/>
                <w:szCs w:val="20"/>
              </w:rPr>
              <w:t>2,130</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b/>
                <w:bCs/>
                <w:color w:val="000000"/>
                <w:sz w:val="20"/>
                <w:szCs w:val="20"/>
              </w:rPr>
            </w:pPr>
            <w:r w:rsidRPr="009146F9">
              <w:rPr>
                <w:rFonts w:ascii="Gill Sans MT" w:eastAsia="Times New Roman" w:hAnsi="Gill Sans MT" w:cs="Arial"/>
                <w:b/>
                <w:bCs/>
                <w:color w:val="000000"/>
                <w:sz w:val="20"/>
                <w:szCs w:val="20"/>
              </w:rPr>
              <w:t>2,649</w:t>
            </w:r>
          </w:p>
        </w:tc>
        <w:tc>
          <w:tcPr>
            <w:tcW w:w="960" w:type="dxa"/>
            <w:tcBorders>
              <w:top w:val="nil"/>
              <w:left w:val="nil"/>
              <w:bottom w:val="single" w:sz="4" w:space="0" w:color="auto"/>
              <w:right w:val="single" w:sz="4" w:space="0" w:color="auto"/>
            </w:tcBorders>
            <w:shd w:val="clear" w:color="auto" w:fill="auto"/>
            <w:vAlign w:val="center"/>
            <w:hideMark/>
          </w:tcPr>
          <w:p w:rsidR="0094227A" w:rsidRPr="009146F9" w:rsidRDefault="0094227A" w:rsidP="00FC47DF">
            <w:pPr>
              <w:keepNext/>
              <w:spacing w:after="0" w:line="280" w:lineRule="atLeast"/>
              <w:jc w:val="right"/>
              <w:rPr>
                <w:rFonts w:ascii="Gill Sans MT" w:eastAsia="Times New Roman" w:hAnsi="Gill Sans MT" w:cs="Arial"/>
                <w:b/>
                <w:bCs/>
                <w:color w:val="000000"/>
                <w:sz w:val="20"/>
                <w:szCs w:val="20"/>
              </w:rPr>
            </w:pPr>
            <w:r w:rsidRPr="009146F9">
              <w:rPr>
                <w:rFonts w:ascii="Gill Sans MT" w:eastAsia="Times New Roman" w:hAnsi="Gill Sans MT" w:cs="Arial"/>
                <w:b/>
                <w:bCs/>
                <w:color w:val="000000"/>
                <w:sz w:val="20"/>
                <w:szCs w:val="20"/>
              </w:rPr>
              <w:t>2,972</w:t>
            </w:r>
          </w:p>
        </w:tc>
      </w:tr>
      <w:tr w:rsidR="0094227A" w:rsidRPr="009146F9" w:rsidTr="0001587D">
        <w:trPr>
          <w:trHeight w:val="300"/>
        </w:trPr>
        <w:tc>
          <w:tcPr>
            <w:tcW w:w="8380"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94227A" w:rsidRPr="009146F9" w:rsidRDefault="0094227A" w:rsidP="00FC47DF">
            <w:pPr>
              <w:keepNext/>
              <w:spacing w:after="0" w:line="280" w:lineRule="atLeast"/>
              <w:rPr>
                <w:rFonts w:ascii="Gill Sans MT" w:eastAsia="Times New Roman" w:hAnsi="Gill Sans MT" w:cs="Arial"/>
                <w:bCs/>
                <w:color w:val="000000"/>
                <w:sz w:val="18"/>
                <w:szCs w:val="20"/>
              </w:rPr>
            </w:pPr>
            <w:r w:rsidRPr="009146F9">
              <w:rPr>
                <w:rFonts w:ascii="Gill Sans MT" w:eastAsia="Times New Roman" w:hAnsi="Gill Sans MT" w:cs="Arial"/>
                <w:bCs/>
                <w:color w:val="000000"/>
                <w:sz w:val="18"/>
                <w:szCs w:val="20"/>
              </w:rPr>
              <w:t>Source: Australian Institute of Health and Welfare 2016. Alcohol and other drug treatment services in Australia. Drug treatment series. Canberra: AIHW.</w:t>
            </w:r>
          </w:p>
        </w:tc>
      </w:tr>
    </w:tbl>
    <w:p w:rsidR="00116E68" w:rsidRPr="009146F9" w:rsidRDefault="00116E68" w:rsidP="00BA74FA">
      <w:pPr>
        <w:pStyle w:val="Heading3"/>
      </w:pPr>
      <w:bookmarkStart w:id="13" w:name="_Toc476322101"/>
      <w:r w:rsidRPr="009146F9">
        <w:t>Local Government-specific</w:t>
      </w:r>
      <w:bookmarkEnd w:id="13"/>
      <w:r w:rsidRPr="009146F9">
        <w:t xml:space="preserve"> </w:t>
      </w:r>
    </w:p>
    <w:p w:rsidR="00F71F22" w:rsidRPr="009146F9" w:rsidRDefault="00116E68" w:rsidP="00FC47DF">
      <w:pPr>
        <w:keepNext/>
        <w:spacing w:before="120" w:after="120" w:line="280" w:lineRule="atLeast"/>
        <w:rPr>
          <w:rFonts w:ascii="Gill Sans MT" w:hAnsi="Gill Sans MT"/>
        </w:rPr>
      </w:pPr>
      <w:r w:rsidRPr="009146F9">
        <w:rPr>
          <w:rFonts w:ascii="Gill Sans MT" w:hAnsi="Gill Sans MT"/>
        </w:rPr>
        <w:t xml:space="preserve">Over the years of the current TAAF, </w:t>
      </w:r>
      <w:r w:rsidR="00F71F22" w:rsidRPr="009146F9">
        <w:rPr>
          <w:rFonts w:ascii="Gill Sans MT" w:hAnsi="Gill Sans MT"/>
        </w:rPr>
        <w:t xml:space="preserve">many of </w:t>
      </w:r>
      <w:r w:rsidRPr="009146F9">
        <w:rPr>
          <w:rFonts w:ascii="Gill Sans MT" w:hAnsi="Gill Sans MT"/>
        </w:rPr>
        <w:t xml:space="preserve">Tasmania’s local councils have </w:t>
      </w:r>
      <w:r w:rsidR="00F71F22" w:rsidRPr="009146F9">
        <w:rPr>
          <w:rFonts w:ascii="Gill Sans MT" w:hAnsi="Gill Sans MT"/>
        </w:rPr>
        <w:t xml:space="preserve">engaged with the AAG and provided annual implementation plans and annual reports of activities being undertaken in their particular local government area.  </w:t>
      </w:r>
      <w:r w:rsidR="005F5E8A" w:rsidRPr="009146F9">
        <w:rPr>
          <w:rFonts w:ascii="Gill Sans MT" w:hAnsi="Gill Sans MT"/>
        </w:rPr>
        <w:t xml:space="preserve">Many </w:t>
      </w:r>
      <w:proofErr w:type="gramStart"/>
      <w:r w:rsidR="005F5E8A" w:rsidRPr="009146F9">
        <w:rPr>
          <w:rFonts w:ascii="Gill Sans MT" w:hAnsi="Gill Sans MT"/>
        </w:rPr>
        <w:t>councils</w:t>
      </w:r>
      <w:proofErr w:type="gramEnd"/>
      <w:r w:rsidR="005F5E8A" w:rsidRPr="009146F9">
        <w:rPr>
          <w:rFonts w:ascii="Gill Sans MT" w:hAnsi="Gill Sans MT"/>
        </w:rPr>
        <w:t xml:space="preserve"> also engaged with and actively promoted the Good Sports Program to sporting clubs within their local areas. </w:t>
      </w:r>
      <w:r w:rsidR="00E33F4B" w:rsidRPr="009146F9">
        <w:rPr>
          <w:rFonts w:ascii="Gill Sans MT" w:hAnsi="Gill Sans MT"/>
        </w:rPr>
        <w:t xml:space="preserve">Some of </w:t>
      </w:r>
      <w:r w:rsidR="005F5E8A" w:rsidRPr="009146F9">
        <w:rPr>
          <w:rFonts w:ascii="Gill Sans MT" w:hAnsi="Gill Sans MT"/>
        </w:rPr>
        <w:t>the other activities undertaken by councils include</w:t>
      </w:r>
      <w:r w:rsidR="00E33F4B" w:rsidRPr="009146F9">
        <w:rPr>
          <w:rFonts w:ascii="Gill Sans MT" w:hAnsi="Gill Sans MT"/>
        </w:rPr>
        <w:t xml:space="preserve">: </w:t>
      </w:r>
      <w:r w:rsidR="00DB1087" w:rsidRPr="009146F9">
        <w:rPr>
          <w:rFonts w:ascii="Gill Sans MT" w:hAnsi="Gill Sans MT"/>
        </w:rPr>
        <w:t xml:space="preserve"> </w:t>
      </w:r>
    </w:p>
    <w:p w:rsidR="00707026" w:rsidRPr="009146F9" w:rsidRDefault="007F67BD" w:rsidP="00FC47DF">
      <w:pPr>
        <w:pStyle w:val="ListParagraph"/>
        <w:keepNext/>
        <w:numPr>
          <w:ilvl w:val="0"/>
          <w:numId w:val="29"/>
        </w:numPr>
        <w:spacing w:before="120" w:after="120" w:line="280" w:lineRule="atLeast"/>
        <w:ind w:hanging="357"/>
        <w:contextualSpacing w:val="0"/>
        <w:rPr>
          <w:rFonts w:ascii="Gill Sans MT" w:hAnsi="Gill Sans MT"/>
        </w:rPr>
      </w:pPr>
      <w:r w:rsidRPr="009146F9">
        <w:rPr>
          <w:rFonts w:ascii="Gill Sans MT" w:hAnsi="Gill Sans MT"/>
        </w:rPr>
        <w:t xml:space="preserve">As part of its </w:t>
      </w:r>
      <w:r w:rsidRPr="009146F9">
        <w:rPr>
          <w:rFonts w:ascii="Gill Sans MT" w:hAnsi="Gill Sans MT"/>
          <w:i/>
        </w:rPr>
        <w:t>Youth Health Strategy 2010-2013</w:t>
      </w:r>
      <w:r w:rsidRPr="009146F9">
        <w:rPr>
          <w:rFonts w:ascii="Gill Sans MT" w:hAnsi="Gill Sans MT"/>
        </w:rPr>
        <w:t xml:space="preserve">, the </w:t>
      </w:r>
      <w:r w:rsidR="00707026" w:rsidRPr="009146F9">
        <w:rPr>
          <w:rFonts w:ascii="Gill Sans MT" w:hAnsi="Gill Sans MT"/>
        </w:rPr>
        <w:t>Kentish Council</w:t>
      </w:r>
      <w:r w:rsidRPr="009146F9">
        <w:rPr>
          <w:rFonts w:ascii="Gill Sans MT" w:hAnsi="Gill Sans MT"/>
        </w:rPr>
        <w:t xml:space="preserve"> delivered a 2 week alcohol education campaign using its network of youth centres in Sheffield, Railton and Wilmot.  </w:t>
      </w:r>
      <w:r w:rsidR="00707026" w:rsidRPr="009146F9">
        <w:rPr>
          <w:rFonts w:ascii="Gill Sans MT" w:hAnsi="Gill Sans MT"/>
        </w:rPr>
        <w:t xml:space="preserve">The key focus of the campaign was to provide harm minimisation strategies to young people in the Kentish community.  </w:t>
      </w:r>
    </w:p>
    <w:p w:rsidR="009829CF" w:rsidRPr="009146F9" w:rsidRDefault="009829CF" w:rsidP="00FC47DF">
      <w:pPr>
        <w:pStyle w:val="ListParagraph"/>
        <w:keepNext/>
        <w:numPr>
          <w:ilvl w:val="0"/>
          <w:numId w:val="29"/>
        </w:numPr>
        <w:spacing w:before="120" w:after="120" w:line="280" w:lineRule="atLeast"/>
        <w:ind w:hanging="357"/>
        <w:contextualSpacing w:val="0"/>
        <w:rPr>
          <w:rFonts w:ascii="Gill Sans MT" w:hAnsi="Gill Sans MT"/>
        </w:rPr>
      </w:pPr>
      <w:r w:rsidRPr="009146F9">
        <w:rPr>
          <w:rFonts w:ascii="Gill Sans MT" w:hAnsi="Gill Sans MT"/>
        </w:rPr>
        <w:t>The Launceston Ci</w:t>
      </w:r>
      <w:r w:rsidR="00E13245" w:rsidRPr="009146F9">
        <w:rPr>
          <w:rFonts w:ascii="Gill Sans MT" w:hAnsi="Gill Sans MT"/>
        </w:rPr>
        <w:t>ty Council</w:t>
      </w:r>
      <w:r w:rsidRPr="009146F9">
        <w:rPr>
          <w:rFonts w:ascii="Gill Sans MT" w:hAnsi="Gill Sans MT"/>
        </w:rPr>
        <w:t>:</w:t>
      </w:r>
    </w:p>
    <w:p w:rsidR="00707026" w:rsidRPr="009146F9" w:rsidRDefault="00273C9D" w:rsidP="00FC47DF">
      <w:pPr>
        <w:pStyle w:val="ListParagraph"/>
        <w:keepNext/>
        <w:numPr>
          <w:ilvl w:val="1"/>
          <w:numId w:val="29"/>
        </w:numPr>
        <w:spacing w:before="120" w:after="120" w:line="280" w:lineRule="atLeast"/>
        <w:ind w:hanging="357"/>
        <w:contextualSpacing w:val="0"/>
        <w:rPr>
          <w:rFonts w:ascii="Gill Sans MT" w:hAnsi="Gill Sans MT"/>
        </w:rPr>
      </w:pPr>
      <w:r w:rsidRPr="009146F9">
        <w:rPr>
          <w:rFonts w:ascii="Gill Sans MT" w:hAnsi="Gill Sans MT"/>
        </w:rPr>
        <w:t>Offers</w:t>
      </w:r>
      <w:r w:rsidR="009829CF" w:rsidRPr="009146F9">
        <w:rPr>
          <w:rFonts w:ascii="Gill Sans MT" w:hAnsi="Gill Sans MT"/>
        </w:rPr>
        <w:t xml:space="preserve"> information and free breathalysing to patrons of the Festivale festival under its </w:t>
      </w:r>
      <w:proofErr w:type="spellStart"/>
      <w:r w:rsidR="009829CF" w:rsidRPr="009146F9">
        <w:rPr>
          <w:rFonts w:ascii="Gill Sans MT" w:hAnsi="Gill Sans MT"/>
          <w:i/>
        </w:rPr>
        <w:t>Breatho</w:t>
      </w:r>
      <w:proofErr w:type="spellEnd"/>
      <w:r w:rsidR="009829CF" w:rsidRPr="009146F9">
        <w:rPr>
          <w:rFonts w:ascii="Gill Sans MT" w:hAnsi="Gill Sans MT"/>
          <w:i/>
        </w:rPr>
        <w:t>, Stay below .05!</w:t>
      </w:r>
      <w:r w:rsidR="00E13245" w:rsidRPr="009146F9">
        <w:rPr>
          <w:rFonts w:ascii="Gill Sans MT" w:hAnsi="Gill Sans MT"/>
        </w:rPr>
        <w:t xml:space="preserve"> </w:t>
      </w:r>
      <w:proofErr w:type="gramStart"/>
      <w:r w:rsidR="00E13245" w:rsidRPr="009146F9">
        <w:rPr>
          <w:rFonts w:ascii="Gill Sans MT" w:hAnsi="Gill Sans MT"/>
        </w:rPr>
        <w:t>campaign</w:t>
      </w:r>
      <w:proofErr w:type="gramEnd"/>
      <w:r w:rsidR="00E13245" w:rsidRPr="009146F9">
        <w:rPr>
          <w:rFonts w:ascii="Gill Sans MT" w:hAnsi="Gill Sans MT"/>
        </w:rPr>
        <w:t>.  This initiative was</w:t>
      </w:r>
      <w:r w:rsidR="009829CF" w:rsidRPr="009146F9">
        <w:rPr>
          <w:rFonts w:ascii="Gill Sans MT" w:hAnsi="Gill Sans MT"/>
        </w:rPr>
        <w:t xml:space="preserve"> supported by Rotary Launceston West, community organisations and interested individuals from the community.  </w:t>
      </w:r>
    </w:p>
    <w:p w:rsidR="009829CF" w:rsidRPr="009146F9" w:rsidRDefault="009829CF" w:rsidP="00FC47DF">
      <w:pPr>
        <w:pStyle w:val="ListParagraph"/>
        <w:keepNext/>
        <w:numPr>
          <w:ilvl w:val="1"/>
          <w:numId w:val="29"/>
        </w:numPr>
        <w:spacing w:before="120" w:after="120" w:line="280" w:lineRule="atLeast"/>
        <w:ind w:hanging="357"/>
        <w:contextualSpacing w:val="0"/>
        <w:rPr>
          <w:rFonts w:ascii="Gill Sans MT" w:hAnsi="Gill Sans MT"/>
        </w:rPr>
      </w:pPr>
      <w:r w:rsidRPr="009146F9">
        <w:rPr>
          <w:rFonts w:ascii="Gill Sans MT" w:hAnsi="Gill Sans MT"/>
        </w:rPr>
        <w:t>Dissemina</w:t>
      </w:r>
      <w:r w:rsidR="00273C9D" w:rsidRPr="009146F9">
        <w:rPr>
          <w:rFonts w:ascii="Gill Sans MT" w:hAnsi="Gill Sans MT"/>
        </w:rPr>
        <w:t>tes</w:t>
      </w:r>
      <w:r w:rsidR="00E13245" w:rsidRPr="009146F9">
        <w:rPr>
          <w:rFonts w:ascii="Gill Sans MT" w:hAnsi="Gill Sans MT"/>
        </w:rPr>
        <w:t xml:space="preserve"> </w:t>
      </w:r>
      <w:r w:rsidRPr="009146F9">
        <w:rPr>
          <w:rFonts w:ascii="Gill Sans MT" w:hAnsi="Gill Sans MT"/>
        </w:rPr>
        <w:t xml:space="preserve">information about alcohol in its </w:t>
      </w:r>
      <w:r w:rsidR="000F494F" w:rsidRPr="009146F9">
        <w:rPr>
          <w:rFonts w:ascii="Gill Sans MT" w:hAnsi="Gill Sans MT"/>
        </w:rPr>
        <w:t>annual</w:t>
      </w:r>
      <w:r w:rsidRPr="009146F9">
        <w:rPr>
          <w:rFonts w:ascii="Gill Sans MT" w:hAnsi="Gill Sans MT"/>
        </w:rPr>
        <w:t xml:space="preserve"> </w:t>
      </w:r>
      <w:r w:rsidRPr="009146F9">
        <w:rPr>
          <w:rFonts w:ascii="Gill Sans MT" w:hAnsi="Gill Sans MT"/>
          <w:i/>
        </w:rPr>
        <w:t>Safe Summer in Launceston</w:t>
      </w:r>
      <w:r w:rsidRPr="009146F9">
        <w:rPr>
          <w:rFonts w:ascii="Gill Sans MT" w:hAnsi="Gill Sans MT"/>
        </w:rPr>
        <w:t xml:space="preserve"> publication</w:t>
      </w:r>
      <w:r w:rsidR="00273C9D" w:rsidRPr="009146F9">
        <w:rPr>
          <w:rFonts w:ascii="Gill Sans MT" w:hAnsi="Gill Sans MT"/>
        </w:rPr>
        <w:t xml:space="preserve"> available from the </w:t>
      </w:r>
      <w:proofErr w:type="spellStart"/>
      <w:r w:rsidR="00273C9D" w:rsidRPr="009146F9">
        <w:rPr>
          <w:rFonts w:ascii="Gill Sans MT" w:hAnsi="Gill Sans MT"/>
        </w:rPr>
        <w:t>CoL</w:t>
      </w:r>
      <w:proofErr w:type="spellEnd"/>
      <w:r w:rsidR="00273C9D" w:rsidRPr="009146F9">
        <w:rPr>
          <w:rFonts w:ascii="Gill Sans MT" w:hAnsi="Gill Sans MT"/>
        </w:rPr>
        <w:t xml:space="preserve"> website</w:t>
      </w:r>
      <w:r w:rsidR="000F494F" w:rsidRPr="009146F9">
        <w:rPr>
          <w:rFonts w:ascii="Gill Sans MT" w:hAnsi="Gill Sans MT"/>
        </w:rPr>
        <w:t xml:space="preserve">. </w:t>
      </w:r>
      <w:r w:rsidRPr="009146F9">
        <w:rPr>
          <w:rFonts w:ascii="Gill Sans MT" w:hAnsi="Gill Sans MT"/>
        </w:rPr>
        <w:t>The tim</w:t>
      </w:r>
      <w:r w:rsidR="000F494F" w:rsidRPr="009146F9">
        <w:rPr>
          <w:rFonts w:ascii="Gill Sans MT" w:hAnsi="Gill Sans MT"/>
        </w:rPr>
        <w:t>ing of the information coincides</w:t>
      </w:r>
      <w:r w:rsidRPr="009146F9">
        <w:rPr>
          <w:rFonts w:ascii="Gill Sans MT" w:hAnsi="Gill Sans MT"/>
        </w:rPr>
        <w:t xml:space="preserve"> with the festive season as an appropriate s</w:t>
      </w:r>
      <w:r w:rsidR="000F494F" w:rsidRPr="009146F9">
        <w:rPr>
          <w:rFonts w:ascii="Gill Sans MT" w:hAnsi="Gill Sans MT"/>
        </w:rPr>
        <w:t>afety message that comple</w:t>
      </w:r>
      <w:r w:rsidRPr="009146F9">
        <w:rPr>
          <w:rFonts w:ascii="Gill Sans MT" w:hAnsi="Gill Sans MT"/>
        </w:rPr>
        <w:t>ments food safety, water safety, theft prevention, snake awareness and emergency information.</w:t>
      </w:r>
    </w:p>
    <w:p w:rsidR="009829CF" w:rsidRPr="009146F9" w:rsidRDefault="00273C9D" w:rsidP="00FC47DF">
      <w:pPr>
        <w:pStyle w:val="ListParagraph"/>
        <w:keepNext/>
        <w:numPr>
          <w:ilvl w:val="1"/>
          <w:numId w:val="29"/>
        </w:numPr>
        <w:spacing w:before="120" w:after="120" w:line="280" w:lineRule="atLeast"/>
        <w:ind w:hanging="357"/>
        <w:contextualSpacing w:val="0"/>
        <w:rPr>
          <w:rFonts w:ascii="Gill Sans MT" w:hAnsi="Gill Sans MT"/>
        </w:rPr>
      </w:pPr>
      <w:r w:rsidRPr="009146F9">
        <w:rPr>
          <w:rFonts w:ascii="Gill Sans MT" w:hAnsi="Gill Sans MT"/>
        </w:rPr>
        <w:t xml:space="preserve">Promotes </w:t>
      </w:r>
      <w:proofErr w:type="gramStart"/>
      <w:r w:rsidR="003C45DB" w:rsidRPr="009146F9">
        <w:rPr>
          <w:rFonts w:ascii="Gill Sans MT" w:hAnsi="Gill Sans MT"/>
        </w:rPr>
        <w:t>it’s</w:t>
      </w:r>
      <w:proofErr w:type="gramEnd"/>
      <w:r w:rsidR="009829CF" w:rsidRPr="009146F9">
        <w:rPr>
          <w:rFonts w:ascii="Gill Sans MT" w:hAnsi="Gill Sans MT"/>
        </w:rPr>
        <w:t xml:space="preserve"> </w:t>
      </w:r>
      <w:r w:rsidR="009829CF" w:rsidRPr="009146F9">
        <w:rPr>
          <w:rFonts w:ascii="Gill Sans MT" w:hAnsi="Gill Sans MT"/>
          <w:i/>
        </w:rPr>
        <w:t>Don’t Drink and Drive</w:t>
      </w:r>
      <w:r w:rsidR="009829CF" w:rsidRPr="009146F9">
        <w:rPr>
          <w:rFonts w:ascii="Gill Sans MT" w:hAnsi="Gill Sans MT"/>
        </w:rPr>
        <w:t xml:space="preserve"> message as part of local radio advertising and local radio stations towards the end of each year approaching the festive season.</w:t>
      </w:r>
    </w:p>
    <w:p w:rsidR="00E13245" w:rsidRPr="009146F9" w:rsidRDefault="00E13245" w:rsidP="00FC47DF">
      <w:pPr>
        <w:pStyle w:val="ListParagraph"/>
        <w:keepNext/>
        <w:numPr>
          <w:ilvl w:val="1"/>
          <w:numId w:val="29"/>
        </w:numPr>
        <w:spacing w:before="120" w:after="120" w:line="280" w:lineRule="atLeast"/>
        <w:ind w:hanging="357"/>
        <w:contextualSpacing w:val="0"/>
        <w:rPr>
          <w:rFonts w:ascii="Gill Sans MT" w:hAnsi="Gill Sans MT"/>
        </w:rPr>
      </w:pPr>
      <w:r w:rsidRPr="009146F9">
        <w:rPr>
          <w:rFonts w:ascii="Gill Sans MT" w:hAnsi="Gill Sans MT"/>
        </w:rPr>
        <w:t xml:space="preserve">Invited </w:t>
      </w:r>
      <w:r w:rsidR="009829CF" w:rsidRPr="009146F9">
        <w:rPr>
          <w:rFonts w:ascii="Gill Sans MT" w:hAnsi="Gill Sans MT"/>
        </w:rPr>
        <w:t>Liquor and Gaming Officers and representatives of the Al</w:t>
      </w:r>
      <w:r w:rsidRPr="009146F9">
        <w:rPr>
          <w:rFonts w:ascii="Gill Sans MT" w:hAnsi="Gill Sans MT"/>
        </w:rPr>
        <w:t xml:space="preserve">cohol and Drug Service (ADS) </w:t>
      </w:r>
      <w:r w:rsidR="00273C9D" w:rsidRPr="009146F9">
        <w:rPr>
          <w:rFonts w:ascii="Gill Sans MT" w:hAnsi="Gill Sans MT"/>
        </w:rPr>
        <w:t xml:space="preserve">attend </w:t>
      </w:r>
      <w:r w:rsidR="009829CF" w:rsidRPr="009146F9">
        <w:rPr>
          <w:rFonts w:ascii="Gill Sans MT" w:hAnsi="Gill Sans MT"/>
        </w:rPr>
        <w:t xml:space="preserve">the monthly Launceston Safer Communities Partnership </w:t>
      </w:r>
      <w:r w:rsidR="007E472C" w:rsidRPr="009146F9">
        <w:rPr>
          <w:rFonts w:ascii="Gill Sans MT" w:hAnsi="Gill Sans MT"/>
        </w:rPr>
        <w:t>meetings, which allow</w:t>
      </w:r>
      <w:r w:rsidR="00273C9D" w:rsidRPr="009146F9">
        <w:rPr>
          <w:rFonts w:ascii="Gill Sans MT" w:hAnsi="Gill Sans MT"/>
        </w:rPr>
        <w:t xml:space="preserve"> regular flow of information on alcohol-related issues and legislation</w:t>
      </w:r>
      <w:r w:rsidR="009829CF" w:rsidRPr="009146F9">
        <w:rPr>
          <w:rFonts w:ascii="Gill Sans MT" w:hAnsi="Gill Sans MT"/>
        </w:rPr>
        <w:t>.</w:t>
      </w:r>
      <w:r w:rsidRPr="009146F9">
        <w:rPr>
          <w:rFonts w:ascii="Gill Sans MT" w:hAnsi="Gill Sans MT"/>
        </w:rPr>
        <w:t xml:space="preserve">  This meeting was also used as an opportunity for the Salvation Army to provide a report on their </w:t>
      </w:r>
      <w:r w:rsidR="00273C9D" w:rsidRPr="009146F9">
        <w:rPr>
          <w:rFonts w:ascii="Gill Sans MT" w:hAnsi="Gill Sans MT"/>
        </w:rPr>
        <w:t xml:space="preserve">Launceston </w:t>
      </w:r>
      <w:r w:rsidRPr="009146F9">
        <w:rPr>
          <w:rFonts w:ascii="Gill Sans MT" w:hAnsi="Gill Sans MT"/>
          <w:i/>
        </w:rPr>
        <w:t>Street Teams</w:t>
      </w:r>
      <w:r w:rsidRPr="009146F9">
        <w:rPr>
          <w:rFonts w:ascii="Gill Sans MT" w:hAnsi="Gill Sans MT"/>
        </w:rPr>
        <w:t xml:space="preserve"> program.</w:t>
      </w:r>
      <w:r w:rsidR="009829CF" w:rsidRPr="009146F9">
        <w:rPr>
          <w:rFonts w:ascii="Gill Sans MT" w:hAnsi="Gill Sans MT"/>
        </w:rPr>
        <w:t xml:space="preserve"> </w:t>
      </w:r>
    </w:p>
    <w:p w:rsidR="00C849D7" w:rsidRPr="009146F9" w:rsidRDefault="00273C9D" w:rsidP="00FC47DF">
      <w:pPr>
        <w:pStyle w:val="ListParagraph"/>
        <w:keepNext/>
        <w:numPr>
          <w:ilvl w:val="0"/>
          <w:numId w:val="29"/>
        </w:numPr>
        <w:spacing w:before="120" w:after="120" w:line="280" w:lineRule="atLeast"/>
        <w:ind w:hanging="357"/>
        <w:contextualSpacing w:val="0"/>
        <w:rPr>
          <w:rFonts w:ascii="Gill Sans MT" w:hAnsi="Gill Sans MT"/>
        </w:rPr>
      </w:pPr>
      <w:r w:rsidRPr="009146F9">
        <w:rPr>
          <w:rFonts w:ascii="Gill Sans MT" w:hAnsi="Gill Sans MT"/>
        </w:rPr>
        <w:t>The West Tamar Council continues</w:t>
      </w:r>
      <w:r w:rsidR="00C849D7" w:rsidRPr="009146F9">
        <w:rPr>
          <w:rFonts w:ascii="Gill Sans MT" w:hAnsi="Gill Sans MT"/>
        </w:rPr>
        <w:t xml:space="preserve"> to provide its </w:t>
      </w:r>
      <w:r w:rsidR="00C849D7" w:rsidRPr="009146F9">
        <w:rPr>
          <w:rFonts w:ascii="Gill Sans MT" w:hAnsi="Gill Sans MT"/>
          <w:i/>
        </w:rPr>
        <w:t>Party Safe</w:t>
      </w:r>
      <w:r w:rsidR="00C849D7" w:rsidRPr="009146F9">
        <w:rPr>
          <w:rFonts w:ascii="Gill Sans MT" w:hAnsi="Gill Sans MT"/>
        </w:rPr>
        <w:t xml:space="preserve"> program.  The program focuses on a harm minimisation approach to engage yea</w:t>
      </w:r>
      <w:r w:rsidR="00BC1A7E" w:rsidRPr="009146F9">
        <w:rPr>
          <w:rFonts w:ascii="Gill Sans MT" w:hAnsi="Gill Sans MT"/>
        </w:rPr>
        <w:t>r ten</w:t>
      </w:r>
      <w:r w:rsidR="006F7CD5" w:rsidRPr="009146F9">
        <w:rPr>
          <w:rFonts w:ascii="Gill Sans MT" w:hAnsi="Gill Sans MT"/>
        </w:rPr>
        <w:t xml:space="preserve"> students in the West Tamar </w:t>
      </w:r>
      <w:r w:rsidR="00C849D7" w:rsidRPr="009146F9">
        <w:rPr>
          <w:rFonts w:ascii="Gill Sans MT" w:hAnsi="Gill Sans MT"/>
        </w:rPr>
        <w:t>municipal area by providing information to enable them to make informed decisions about drinking and associated risk taking behaviours.  The program is coordinated each year to coincide with school leaver</w:t>
      </w:r>
      <w:r w:rsidRPr="009146F9">
        <w:rPr>
          <w:rFonts w:ascii="Gill Sans MT" w:hAnsi="Gill Sans MT"/>
        </w:rPr>
        <w:t>s</w:t>
      </w:r>
      <w:r w:rsidR="00C849D7" w:rsidRPr="009146F9">
        <w:rPr>
          <w:rFonts w:ascii="Gill Sans MT" w:hAnsi="Gill Sans MT"/>
        </w:rPr>
        <w:t xml:space="preserve"> parties.</w:t>
      </w:r>
    </w:p>
    <w:p w:rsidR="006F7CD5" w:rsidRPr="009146F9" w:rsidRDefault="006F7CD5" w:rsidP="00FC47DF">
      <w:pPr>
        <w:pStyle w:val="ListParagraph"/>
        <w:keepNext/>
        <w:numPr>
          <w:ilvl w:val="0"/>
          <w:numId w:val="29"/>
        </w:numPr>
        <w:spacing w:before="120" w:after="120" w:line="280" w:lineRule="atLeast"/>
        <w:ind w:hanging="357"/>
        <w:contextualSpacing w:val="0"/>
        <w:rPr>
          <w:rFonts w:ascii="Gill Sans MT" w:hAnsi="Gill Sans MT"/>
        </w:rPr>
      </w:pPr>
      <w:r w:rsidRPr="009146F9">
        <w:rPr>
          <w:rFonts w:ascii="Gill Sans MT" w:hAnsi="Gill Sans MT"/>
          <w:lang w:val="en-US"/>
        </w:rPr>
        <w:t xml:space="preserve">The Circular Head Council developed the </w:t>
      </w:r>
      <w:proofErr w:type="spellStart"/>
      <w:r w:rsidRPr="009146F9">
        <w:rPr>
          <w:rFonts w:ascii="Gill Sans MT" w:hAnsi="Gill Sans MT"/>
          <w:i/>
          <w:lang w:val="en-US"/>
        </w:rPr>
        <w:t>Look out</w:t>
      </w:r>
      <w:proofErr w:type="spellEnd"/>
      <w:r w:rsidRPr="009146F9">
        <w:rPr>
          <w:rFonts w:ascii="Gill Sans MT" w:hAnsi="Gill Sans MT"/>
          <w:i/>
          <w:lang w:val="en-US"/>
        </w:rPr>
        <w:t xml:space="preserve"> for your Mates</w:t>
      </w:r>
      <w:r w:rsidRPr="009146F9">
        <w:rPr>
          <w:rFonts w:ascii="Gill Sans MT" w:hAnsi="Gill Sans MT"/>
          <w:lang w:val="en-US"/>
        </w:rPr>
        <w:t xml:space="preserve"> campaign in 2010 in response to the high level of fatalities in the municipality. The campaign targets drink driving, speed, inattention and seat belts.  The campaign won the State and National Safer Communities Award in 2011, and the 2013 Community Road Partnership Major Award. </w:t>
      </w:r>
      <w:r w:rsidR="000F494F" w:rsidRPr="009146F9">
        <w:rPr>
          <w:rFonts w:ascii="Gill Sans MT" w:hAnsi="Gill Sans MT"/>
          <w:lang w:val="en-US"/>
        </w:rPr>
        <w:t xml:space="preserve">The </w:t>
      </w:r>
      <w:r w:rsidRPr="009146F9">
        <w:rPr>
          <w:rFonts w:ascii="Gill Sans MT" w:hAnsi="Gill Sans MT"/>
          <w:lang w:val="en-US"/>
        </w:rPr>
        <w:t>Council continues to use the campaign as an overarching road safety education strategy.</w:t>
      </w:r>
    </w:p>
    <w:p w:rsidR="005F5E8A" w:rsidRPr="009146F9" w:rsidRDefault="005F5E8A" w:rsidP="00FC47DF">
      <w:pPr>
        <w:pStyle w:val="ListParagraph"/>
        <w:keepNext/>
        <w:numPr>
          <w:ilvl w:val="0"/>
          <w:numId w:val="29"/>
        </w:numPr>
        <w:spacing w:before="120" w:after="120" w:line="280" w:lineRule="atLeast"/>
        <w:ind w:hanging="357"/>
        <w:contextualSpacing w:val="0"/>
        <w:rPr>
          <w:rFonts w:ascii="Gill Sans MT" w:hAnsi="Gill Sans MT"/>
        </w:rPr>
      </w:pPr>
      <w:r w:rsidRPr="009146F9">
        <w:rPr>
          <w:rFonts w:ascii="Gill Sans MT" w:hAnsi="Gill Sans MT"/>
          <w:lang w:val="en-US"/>
        </w:rPr>
        <w:t>The Glenorchy City Council successfully applied for funding under the National Binge Drinking Strategy in 2013 to support the development, implementation and reporting of a young people and binge drinking project – the development of an online interactive resource.</w:t>
      </w:r>
    </w:p>
    <w:p w:rsidR="0050094A" w:rsidRPr="009146F9" w:rsidRDefault="0050094A" w:rsidP="00FC47DF">
      <w:pPr>
        <w:pStyle w:val="ListParagraph"/>
        <w:keepNext/>
        <w:numPr>
          <w:ilvl w:val="0"/>
          <w:numId w:val="29"/>
        </w:numPr>
        <w:spacing w:before="120" w:after="120" w:line="280" w:lineRule="atLeast"/>
        <w:ind w:hanging="357"/>
        <w:contextualSpacing w:val="0"/>
        <w:rPr>
          <w:rFonts w:ascii="Gill Sans MT" w:hAnsi="Gill Sans MT"/>
        </w:rPr>
      </w:pPr>
      <w:r w:rsidRPr="009146F9">
        <w:rPr>
          <w:rFonts w:ascii="Gill Sans MT" w:hAnsi="Gill Sans MT"/>
        </w:rPr>
        <w:t>The Hobart City Council:</w:t>
      </w:r>
    </w:p>
    <w:p w:rsidR="0050094A" w:rsidRPr="009146F9" w:rsidRDefault="0050094A" w:rsidP="00FC47DF">
      <w:pPr>
        <w:pStyle w:val="ListParagraph"/>
        <w:keepNext/>
        <w:numPr>
          <w:ilvl w:val="0"/>
          <w:numId w:val="31"/>
        </w:numPr>
        <w:spacing w:before="120" w:after="120" w:line="280" w:lineRule="atLeast"/>
        <w:ind w:left="1418"/>
        <w:contextualSpacing w:val="0"/>
        <w:rPr>
          <w:rFonts w:ascii="Gill Sans MT" w:hAnsi="Gill Sans MT"/>
        </w:rPr>
      </w:pPr>
      <w:r w:rsidRPr="009146F9">
        <w:rPr>
          <w:rFonts w:ascii="Gill Sans MT" w:hAnsi="Gill Sans MT"/>
        </w:rPr>
        <w:t>Convenes the Safer Hobart Community Partnership which was formed in</w:t>
      </w:r>
      <w:r w:rsidRPr="009146F9">
        <w:rPr>
          <w:rFonts w:ascii="Gill Sans MT" w:hAnsi="Gill Sans MT" w:cs="Arial"/>
          <w:shd w:val="clear" w:color="auto" w:fill="FFFFFF"/>
        </w:rPr>
        <w:t xml:space="preserve"> 2009 to improve safety and the perception of safety in the City of Hobart.  It is a strategic partnership which brings together key stakeholders responsible for the delivery of community safety and associated issues, including crime prevention initiatives, at a senior level, to achieve effective, efficient and coordinated outcome</w:t>
      </w:r>
    </w:p>
    <w:p w:rsidR="005F5E8A" w:rsidRPr="009146F9" w:rsidRDefault="000F494F" w:rsidP="00FC47DF">
      <w:pPr>
        <w:pStyle w:val="ListParagraph"/>
        <w:keepNext/>
        <w:numPr>
          <w:ilvl w:val="0"/>
          <w:numId w:val="31"/>
        </w:numPr>
        <w:spacing w:before="120" w:after="120" w:line="280" w:lineRule="atLeast"/>
        <w:ind w:left="1418"/>
        <w:contextualSpacing w:val="0"/>
        <w:rPr>
          <w:rFonts w:ascii="Gill Sans MT" w:hAnsi="Gill Sans MT"/>
        </w:rPr>
      </w:pPr>
      <w:r w:rsidRPr="009146F9">
        <w:rPr>
          <w:rFonts w:ascii="Gill Sans MT" w:hAnsi="Gill Sans MT"/>
        </w:rPr>
        <w:t>In late-2014, the Safer Hobart Community Partnership introduced the Hobart Safer Streets Program under which Tasmania Police, the Salvation Army and City of Hobart focus efforts on the Hobart waterfront entertainment areas from 10pm to 3am, Friday and Saturday nights. Supporting this approach, the City of Hobart funds security for the Salamanca taxi rank, the Tasmania Police Public Safety Group provides an additional police presence, and the Salvation Army Street Teams program engages with patrons and offers free water/tea/coffee and assistance to in</w:t>
      </w:r>
      <w:r w:rsidR="005F5E8A" w:rsidRPr="009146F9">
        <w:rPr>
          <w:rFonts w:ascii="Gill Sans MT" w:hAnsi="Gill Sans MT"/>
        </w:rPr>
        <w:t>toxicated and vulnerable people.</w:t>
      </w:r>
    </w:p>
    <w:p w:rsidR="005F5E8A" w:rsidRPr="009146F9" w:rsidRDefault="005F5E8A" w:rsidP="00FC47DF">
      <w:pPr>
        <w:pStyle w:val="Default"/>
        <w:keepNext/>
        <w:numPr>
          <w:ilvl w:val="0"/>
          <w:numId w:val="30"/>
        </w:numPr>
        <w:spacing w:before="120" w:after="120" w:line="280" w:lineRule="atLeast"/>
        <w:ind w:left="1418" w:hanging="284"/>
        <w:rPr>
          <w:rFonts w:ascii="Gill Sans MT" w:hAnsi="Gill Sans MT" w:cs="Gill Sans MT"/>
          <w:sz w:val="22"/>
          <w:szCs w:val="22"/>
        </w:rPr>
      </w:pPr>
      <w:r w:rsidRPr="009146F9">
        <w:rPr>
          <w:rFonts w:ascii="Gill Sans MT" w:hAnsi="Gill Sans MT" w:cs="Gill Sans MT"/>
          <w:sz w:val="22"/>
          <w:szCs w:val="22"/>
        </w:rPr>
        <w:t>Implemented the Public Toilet Awareness Raising Program (PTARP) alcohol harm minimisation and health messages in Council-owned public toilets</w:t>
      </w:r>
      <w:r w:rsidR="003C45DB" w:rsidRPr="009146F9">
        <w:rPr>
          <w:rFonts w:ascii="Gill Sans MT" w:hAnsi="Gill Sans MT" w:cs="Gill Sans MT"/>
          <w:sz w:val="22"/>
          <w:szCs w:val="22"/>
        </w:rPr>
        <w:t xml:space="preserve"> in 2012-13</w:t>
      </w:r>
      <w:r w:rsidRPr="009146F9">
        <w:rPr>
          <w:rFonts w:ascii="Gill Sans MT" w:hAnsi="Gill Sans MT" w:cs="Gill Sans MT"/>
          <w:sz w:val="22"/>
          <w:szCs w:val="22"/>
        </w:rPr>
        <w:t xml:space="preserve">. The campaigns </w:t>
      </w:r>
      <w:r w:rsidR="00427EAE" w:rsidRPr="009146F9">
        <w:rPr>
          <w:rFonts w:ascii="Gill Sans MT" w:hAnsi="Gill Sans MT" w:cs="Gill Sans MT"/>
          <w:sz w:val="22"/>
          <w:szCs w:val="22"/>
        </w:rPr>
        <w:t>included DHHS binge drinking message, and SASS ‘</w:t>
      </w:r>
      <w:r w:rsidR="00427EAE" w:rsidRPr="009146F9">
        <w:rPr>
          <w:rFonts w:ascii="Gill Sans MT" w:hAnsi="Gill Sans MT" w:cs="Gill Sans MT"/>
          <w:i/>
          <w:sz w:val="22"/>
          <w:szCs w:val="22"/>
        </w:rPr>
        <w:t>Off your Head, Don’t Share Your Bed’</w:t>
      </w:r>
      <w:r w:rsidR="00427EAE" w:rsidRPr="009146F9">
        <w:rPr>
          <w:rFonts w:ascii="Gill Sans MT" w:hAnsi="Gill Sans MT" w:cs="Gill Sans MT"/>
          <w:sz w:val="22"/>
          <w:szCs w:val="22"/>
        </w:rPr>
        <w:t xml:space="preserve"> a message for young people about keeping safe when drinking.</w:t>
      </w:r>
    </w:p>
    <w:p w:rsidR="007B67F9" w:rsidRPr="009146F9" w:rsidRDefault="00F171F5" w:rsidP="00F171F5">
      <w:pPr>
        <w:pStyle w:val="ListParagraph"/>
        <w:keepNext/>
        <w:tabs>
          <w:tab w:val="left" w:pos="709"/>
        </w:tabs>
        <w:spacing w:before="120" w:after="120" w:line="280" w:lineRule="atLeast"/>
        <w:ind w:left="709"/>
        <w:contextualSpacing w:val="0"/>
        <w:rPr>
          <w:rFonts w:ascii="Gill Sans MT" w:hAnsi="Gill Sans MT"/>
        </w:rPr>
      </w:pPr>
      <w:r w:rsidRPr="009146F9">
        <w:rPr>
          <w:rFonts w:ascii="Gill Sans MT" w:hAnsi="Gill Sans MT"/>
        </w:rPr>
        <w:br w:type="page"/>
      </w:r>
    </w:p>
    <w:p w:rsidR="00116E68" w:rsidRPr="009146F9" w:rsidRDefault="00116E68" w:rsidP="009146F9">
      <w:pPr>
        <w:pStyle w:val="Heading1"/>
        <w:numPr>
          <w:ilvl w:val="0"/>
          <w:numId w:val="53"/>
        </w:numPr>
      </w:pPr>
      <w:bookmarkStart w:id="14" w:name="_Toc476322102"/>
      <w:r w:rsidRPr="009146F9">
        <w:t>Changes i</w:t>
      </w:r>
      <w:r w:rsidR="00FD3ACB" w:rsidRPr="009146F9">
        <w:t>n data or trends</w:t>
      </w:r>
      <w:r w:rsidR="00BE3336" w:rsidRPr="009146F9">
        <w:t xml:space="preserve">, and measuring </w:t>
      </w:r>
      <w:r w:rsidR="00B85CC9" w:rsidRPr="009146F9">
        <w:t>effectiveness</w:t>
      </w:r>
      <w:bookmarkEnd w:id="14"/>
      <w:r w:rsidR="00FD3ACB" w:rsidRPr="009146F9">
        <w:t xml:space="preserve"> </w:t>
      </w:r>
    </w:p>
    <w:p w:rsidR="0033051D" w:rsidRPr="009146F9" w:rsidRDefault="0033051D" w:rsidP="00FC47DF">
      <w:pPr>
        <w:keepNext/>
        <w:spacing w:before="120" w:after="120" w:line="280" w:lineRule="atLeast"/>
        <w:jc w:val="both"/>
        <w:rPr>
          <w:rFonts w:ascii="Gill Sans MT" w:hAnsi="Gill Sans MT"/>
        </w:rPr>
      </w:pPr>
      <w:r w:rsidRPr="009146F9">
        <w:rPr>
          <w:rFonts w:ascii="Gill Sans MT" w:hAnsi="Gill Sans MT"/>
        </w:rPr>
        <w:t xml:space="preserve">The ultimate outcome of alcohol, tobacco and other drug-related strategic initiatives is to reduce the quantum of harm, whether that consists of injury or deaths caused by drink driving; premature deaths caused by smoking; chronic diseases including cancers caused by both smoking and alcohol consumption; or </w:t>
      </w:r>
      <w:r w:rsidR="005337C4" w:rsidRPr="009146F9">
        <w:rPr>
          <w:rFonts w:ascii="Gill Sans MT" w:hAnsi="Gill Sans MT"/>
        </w:rPr>
        <w:t xml:space="preserve">family and domestic violence, </w:t>
      </w:r>
      <w:r w:rsidRPr="009146F9">
        <w:rPr>
          <w:rFonts w:ascii="Gill Sans MT" w:hAnsi="Gill Sans MT"/>
        </w:rPr>
        <w:t xml:space="preserve">child abuse, poverty and intergenerational disadvantage caused by, or resulting in, alcohol or drug use.  </w:t>
      </w:r>
    </w:p>
    <w:p w:rsidR="005E4EC1" w:rsidRPr="009146F9" w:rsidRDefault="008C504C" w:rsidP="00FC47DF">
      <w:pPr>
        <w:keepNext/>
        <w:spacing w:before="120" w:after="120" w:line="280" w:lineRule="atLeast"/>
        <w:rPr>
          <w:rFonts w:ascii="Gill Sans MT" w:hAnsi="Gill Sans MT"/>
        </w:rPr>
      </w:pPr>
      <w:r w:rsidRPr="009146F9">
        <w:rPr>
          <w:rFonts w:ascii="Gill Sans MT" w:hAnsi="Gill Sans MT"/>
        </w:rPr>
        <w:t>The</w:t>
      </w:r>
      <w:r w:rsidR="00116E68" w:rsidRPr="009146F9">
        <w:rPr>
          <w:rFonts w:ascii="Gill Sans MT" w:hAnsi="Gill Sans MT"/>
        </w:rPr>
        <w:t xml:space="preserve"> information in this report relates to the key strategy areas and the activities that have been </w:t>
      </w:r>
      <w:r w:rsidR="00AA5846" w:rsidRPr="009146F9">
        <w:rPr>
          <w:rFonts w:ascii="Gill Sans MT" w:hAnsi="Gill Sans MT"/>
        </w:rPr>
        <w:t>under</w:t>
      </w:r>
      <w:r w:rsidR="00116E68" w:rsidRPr="009146F9">
        <w:rPr>
          <w:rFonts w:ascii="Gill Sans MT" w:hAnsi="Gill Sans MT"/>
        </w:rPr>
        <w:t xml:space="preserve">taken.  </w:t>
      </w:r>
      <w:r w:rsidR="005E4EC1" w:rsidRPr="009146F9">
        <w:rPr>
          <w:rFonts w:ascii="Gill Sans MT" w:hAnsi="Gill Sans MT"/>
        </w:rPr>
        <w:t>The data and trends in this report in Table 3.7 below and in Appendix 1 relate to the six aims of the TAAF, and ideally the data needs to be able to show whether there has been:</w:t>
      </w:r>
    </w:p>
    <w:p w:rsidR="005E4EC1" w:rsidRPr="009146F9" w:rsidRDefault="005E4EC1" w:rsidP="00FC47DF">
      <w:pPr>
        <w:keepNext/>
        <w:numPr>
          <w:ilvl w:val="0"/>
          <w:numId w:val="32"/>
        </w:numPr>
        <w:spacing w:before="120" w:after="120" w:line="280" w:lineRule="atLeast"/>
        <w:ind w:left="709" w:hanging="425"/>
        <w:contextualSpacing/>
        <w:jc w:val="both"/>
        <w:rPr>
          <w:rFonts w:ascii="Gill Sans MT" w:hAnsi="Gill Sans MT"/>
        </w:rPr>
      </w:pPr>
      <w:r w:rsidRPr="009146F9">
        <w:rPr>
          <w:rFonts w:ascii="Gill Sans MT" w:hAnsi="Gill Sans MT"/>
        </w:rPr>
        <w:t>a reduction in the volume of per capita alcohol consumption in Tasmania</w:t>
      </w:r>
    </w:p>
    <w:p w:rsidR="005E4EC1" w:rsidRPr="009146F9" w:rsidRDefault="005E4EC1" w:rsidP="00FC47DF">
      <w:pPr>
        <w:keepNext/>
        <w:numPr>
          <w:ilvl w:val="0"/>
          <w:numId w:val="32"/>
        </w:numPr>
        <w:spacing w:before="120" w:after="120" w:line="280" w:lineRule="atLeast"/>
        <w:ind w:left="709" w:hanging="425"/>
        <w:contextualSpacing/>
        <w:jc w:val="both"/>
        <w:rPr>
          <w:rFonts w:ascii="Gill Sans MT" w:hAnsi="Gill Sans MT"/>
        </w:rPr>
      </w:pPr>
      <w:r w:rsidRPr="009146F9">
        <w:rPr>
          <w:rFonts w:ascii="Gill Sans MT" w:hAnsi="Gill Sans MT"/>
        </w:rPr>
        <w:t>a reduction in the incidence of illness, accidents and deaths related to the misuse of alcohol</w:t>
      </w:r>
    </w:p>
    <w:p w:rsidR="005E4EC1" w:rsidRPr="009146F9" w:rsidRDefault="005E4EC1" w:rsidP="00FC47DF">
      <w:pPr>
        <w:keepNext/>
        <w:numPr>
          <w:ilvl w:val="0"/>
          <w:numId w:val="32"/>
        </w:numPr>
        <w:spacing w:before="120" w:after="120" w:line="280" w:lineRule="atLeast"/>
        <w:ind w:left="709" w:hanging="425"/>
        <w:contextualSpacing/>
        <w:jc w:val="both"/>
        <w:rPr>
          <w:rFonts w:ascii="Gill Sans MT" w:hAnsi="Gill Sans MT"/>
        </w:rPr>
      </w:pPr>
      <w:r w:rsidRPr="009146F9">
        <w:rPr>
          <w:rFonts w:ascii="Gill Sans MT" w:hAnsi="Gill Sans MT"/>
        </w:rPr>
        <w:t>a reduction in the level of social, economic, health and legal costs related to the misuse of alcohol</w:t>
      </w:r>
    </w:p>
    <w:p w:rsidR="005E4EC1" w:rsidRPr="009146F9" w:rsidRDefault="005E4EC1" w:rsidP="00FC47DF">
      <w:pPr>
        <w:keepNext/>
        <w:numPr>
          <w:ilvl w:val="0"/>
          <w:numId w:val="32"/>
        </w:numPr>
        <w:spacing w:before="120" w:after="120" w:line="280" w:lineRule="atLeast"/>
        <w:ind w:left="709" w:hanging="425"/>
        <w:contextualSpacing/>
        <w:jc w:val="both"/>
        <w:rPr>
          <w:rFonts w:ascii="Gill Sans MT" w:hAnsi="Gill Sans MT"/>
        </w:rPr>
      </w:pPr>
      <w:r w:rsidRPr="009146F9">
        <w:rPr>
          <w:rFonts w:ascii="Gill Sans MT" w:hAnsi="Gill Sans MT"/>
        </w:rPr>
        <w:t>a reduction in the prevalence of violence, including family violence, disruption, antisocial behaviour and crime related to the misuse of alcohol</w:t>
      </w:r>
    </w:p>
    <w:p w:rsidR="005E4EC1" w:rsidRPr="009146F9" w:rsidRDefault="005E4EC1" w:rsidP="00FC47DF">
      <w:pPr>
        <w:keepNext/>
        <w:numPr>
          <w:ilvl w:val="0"/>
          <w:numId w:val="32"/>
        </w:numPr>
        <w:spacing w:before="120" w:after="120" w:line="280" w:lineRule="atLeast"/>
        <w:ind w:left="709" w:hanging="425"/>
        <w:contextualSpacing/>
        <w:jc w:val="both"/>
        <w:rPr>
          <w:rFonts w:ascii="Gill Sans MT" w:hAnsi="Gill Sans MT"/>
        </w:rPr>
      </w:pPr>
      <w:r w:rsidRPr="009146F9">
        <w:rPr>
          <w:rFonts w:ascii="Gill Sans MT" w:hAnsi="Gill Sans MT" w:cstheme="minorHAnsi"/>
        </w:rPr>
        <w:t>a reduction in the incidence of harmful alcohol use in the Tasmanian community</w:t>
      </w:r>
    </w:p>
    <w:p w:rsidR="00CC5D0A" w:rsidRPr="009146F9" w:rsidRDefault="005E4EC1" w:rsidP="00FC47DF">
      <w:pPr>
        <w:keepNext/>
        <w:numPr>
          <w:ilvl w:val="0"/>
          <w:numId w:val="32"/>
        </w:numPr>
        <w:spacing w:before="120" w:after="120" w:line="280" w:lineRule="atLeast"/>
        <w:ind w:left="709" w:hanging="425"/>
        <w:jc w:val="both"/>
        <w:rPr>
          <w:rFonts w:ascii="Gill Sans MT" w:hAnsi="Gill Sans MT"/>
        </w:rPr>
      </w:pPr>
      <w:proofErr w:type="gramStart"/>
      <w:r w:rsidRPr="009146F9">
        <w:rPr>
          <w:rFonts w:ascii="Gill Sans MT" w:hAnsi="Gill Sans MT"/>
        </w:rPr>
        <w:t>a</w:t>
      </w:r>
      <w:proofErr w:type="gramEnd"/>
      <w:r w:rsidRPr="009146F9">
        <w:rPr>
          <w:rFonts w:ascii="Gill Sans MT" w:hAnsi="Gill Sans MT"/>
        </w:rPr>
        <w:t xml:space="preserve"> reduction in the focus on alcohol as a necessary component of social activity in Tasmania.</w:t>
      </w:r>
    </w:p>
    <w:p w:rsidR="005C34CB" w:rsidRPr="009146F9" w:rsidRDefault="00DE4552" w:rsidP="00FC47DF">
      <w:pPr>
        <w:keepNext/>
        <w:spacing w:before="120" w:after="120" w:line="280" w:lineRule="atLeast"/>
        <w:jc w:val="both"/>
        <w:rPr>
          <w:rFonts w:ascii="Gill Sans MT" w:hAnsi="Gill Sans MT"/>
        </w:rPr>
      </w:pPr>
      <w:r w:rsidRPr="009146F9">
        <w:rPr>
          <w:rFonts w:ascii="Gill Sans MT" w:hAnsi="Gill Sans MT"/>
        </w:rPr>
        <w:t>But</w:t>
      </w:r>
      <w:r w:rsidR="005C34CB" w:rsidRPr="009146F9">
        <w:rPr>
          <w:rFonts w:ascii="Gill Sans MT" w:hAnsi="Gill Sans MT"/>
        </w:rPr>
        <w:t xml:space="preserve"> how or what effect do the types of activities currently undertaken have on the overarching goal and aims of the TAAF</w:t>
      </w:r>
      <w:r w:rsidR="004F144F" w:rsidRPr="009146F9">
        <w:rPr>
          <w:rFonts w:ascii="Gill Sans MT" w:hAnsi="Gill Sans MT"/>
        </w:rPr>
        <w:t>, and do the key strategy areas for action and those activities and the data and trends align with the above aims</w:t>
      </w:r>
      <w:r w:rsidR="005C34CB" w:rsidRPr="009146F9">
        <w:rPr>
          <w:rFonts w:ascii="Gill Sans MT" w:hAnsi="Gill Sans MT"/>
        </w:rPr>
        <w:t>?</w:t>
      </w:r>
    </w:p>
    <w:p w:rsidR="005E4EC1" w:rsidRPr="009146F9" w:rsidRDefault="005E4EC1" w:rsidP="00FC47DF">
      <w:pPr>
        <w:keepNext/>
        <w:spacing w:before="120" w:after="120" w:line="280" w:lineRule="atLeast"/>
        <w:rPr>
          <w:rFonts w:ascii="Gill Sans MT" w:hAnsi="Gill Sans MT"/>
        </w:rPr>
      </w:pPr>
      <w:r w:rsidRPr="009146F9">
        <w:rPr>
          <w:rFonts w:ascii="Gill Sans MT" w:hAnsi="Gill Sans MT"/>
        </w:rPr>
        <w:t>Some are direct indicators, i.e. reducing the volume of per capita alcohol consumption in Tasmania (indicated by</w:t>
      </w:r>
      <w:r w:rsidR="005337C4" w:rsidRPr="009146F9">
        <w:rPr>
          <w:rFonts w:ascii="Gill Sans MT" w:hAnsi="Gill Sans MT"/>
        </w:rPr>
        <w:t xml:space="preserve"> per capita consumption levels);</w:t>
      </w:r>
      <w:r w:rsidRPr="009146F9">
        <w:rPr>
          <w:rFonts w:ascii="Gill Sans MT" w:hAnsi="Gill Sans MT"/>
        </w:rPr>
        <w:t xml:space="preserve"> reducing the incidence of harmful alcohol use (indicated by less alcohol-related illness, hospitalisations, deaths, motor vehicle crashes etc)</w:t>
      </w:r>
      <w:r w:rsidR="005337C4" w:rsidRPr="009146F9">
        <w:rPr>
          <w:rFonts w:ascii="Gill Sans MT" w:hAnsi="Gill Sans MT"/>
        </w:rPr>
        <w:t>;</w:t>
      </w:r>
      <w:r w:rsidRPr="009146F9">
        <w:rPr>
          <w:rFonts w:ascii="Gill Sans MT" w:hAnsi="Gill Sans MT"/>
        </w:rPr>
        <w:t xml:space="preserve"> and reducing the prevalence of </w:t>
      </w:r>
      <w:r w:rsidR="00DE4552" w:rsidRPr="009146F9">
        <w:rPr>
          <w:rFonts w:ascii="Gill Sans MT" w:hAnsi="Gill Sans MT"/>
        </w:rPr>
        <w:t xml:space="preserve">alcohol-related </w:t>
      </w:r>
      <w:r w:rsidRPr="009146F9">
        <w:rPr>
          <w:rFonts w:ascii="Gill Sans MT" w:hAnsi="Gill Sans MT"/>
        </w:rPr>
        <w:t xml:space="preserve">violence (indicated by less violence, less family-violence incidents and less alcohol-related crime) could all indicate that there has been a shift in changing the drinking culture.  </w:t>
      </w:r>
      <w:r w:rsidR="00CF73F9" w:rsidRPr="009146F9">
        <w:rPr>
          <w:rFonts w:ascii="Gill Sans MT" w:hAnsi="Gill Sans MT"/>
        </w:rPr>
        <w:t xml:space="preserve">They could </w:t>
      </w:r>
      <w:r w:rsidRPr="009146F9">
        <w:rPr>
          <w:rFonts w:ascii="Gill Sans MT" w:hAnsi="Gill Sans MT"/>
        </w:rPr>
        <w:t xml:space="preserve">also indicate that there is in place an effective system for controlling the supply of alcohol in Tasmania in that the evidence is strong that less easily accessible and available alcohol </w:t>
      </w:r>
      <w:r w:rsidR="00DE4552" w:rsidRPr="009146F9">
        <w:rPr>
          <w:rFonts w:ascii="Gill Sans MT" w:hAnsi="Gill Sans MT"/>
        </w:rPr>
        <w:t>equates to</w:t>
      </w:r>
      <w:r w:rsidRPr="009146F9">
        <w:rPr>
          <w:rFonts w:ascii="Gill Sans MT" w:hAnsi="Gill Sans MT"/>
        </w:rPr>
        <w:t xml:space="preserve"> less harm</w:t>
      </w:r>
      <w:r w:rsidR="00CF73F9" w:rsidRPr="009146F9">
        <w:rPr>
          <w:rFonts w:ascii="Gill Sans MT" w:hAnsi="Gill Sans MT"/>
        </w:rPr>
        <w:t xml:space="preserve">. Less </w:t>
      </w:r>
      <w:r w:rsidR="001E77D2" w:rsidRPr="009146F9">
        <w:rPr>
          <w:rFonts w:ascii="Gill Sans MT" w:hAnsi="Gill Sans MT"/>
        </w:rPr>
        <w:t>alcohol-related illness, hospitalisations and deaths and reduced prevalence of violence could also indicate the</w:t>
      </w:r>
      <w:r w:rsidR="00B066E3" w:rsidRPr="009146F9">
        <w:rPr>
          <w:rFonts w:ascii="Gill Sans MT" w:hAnsi="Gill Sans MT"/>
        </w:rPr>
        <w:t>re are in place</w:t>
      </w:r>
      <w:r w:rsidR="001E77D2" w:rsidRPr="009146F9">
        <w:rPr>
          <w:rFonts w:ascii="Gill Sans MT" w:hAnsi="Gill Sans MT"/>
        </w:rPr>
        <w:t xml:space="preserve"> effective interventions to deal with, and prevent alcohol-related harm.</w:t>
      </w:r>
    </w:p>
    <w:p w:rsidR="00070CDC" w:rsidRPr="009146F9" w:rsidRDefault="00070CDC" w:rsidP="00FC47DF">
      <w:pPr>
        <w:keepNext/>
        <w:spacing w:before="120" w:after="120" w:line="280" w:lineRule="atLeast"/>
        <w:rPr>
          <w:rFonts w:ascii="Gill Sans MT" w:hAnsi="Gill Sans MT"/>
        </w:rPr>
      </w:pPr>
      <w:r w:rsidRPr="009146F9">
        <w:rPr>
          <w:rFonts w:ascii="Gill Sans MT" w:hAnsi="Gill Sans MT"/>
        </w:rPr>
        <w:t>Certain activities sh</w:t>
      </w:r>
      <w:r w:rsidR="00BE3336" w:rsidRPr="009146F9">
        <w:rPr>
          <w:rFonts w:ascii="Gill Sans MT" w:hAnsi="Gill Sans MT"/>
        </w:rPr>
        <w:t xml:space="preserve">ould in theory impact </w:t>
      </w:r>
      <w:r w:rsidR="00783759" w:rsidRPr="009146F9">
        <w:rPr>
          <w:rFonts w:ascii="Gill Sans MT" w:hAnsi="Gill Sans MT"/>
        </w:rPr>
        <w:t>the</w:t>
      </w:r>
      <w:r w:rsidR="00BE3336" w:rsidRPr="009146F9">
        <w:rPr>
          <w:rFonts w:ascii="Gill Sans MT" w:hAnsi="Gill Sans MT"/>
        </w:rPr>
        <w:t xml:space="preserve"> aims and key strategy areas, i.e. </w:t>
      </w:r>
      <w:r w:rsidR="00783759" w:rsidRPr="009146F9">
        <w:rPr>
          <w:rFonts w:ascii="Gill Sans MT" w:hAnsi="Gill Sans MT"/>
        </w:rPr>
        <w:t xml:space="preserve">the implementation and promotion of the changes to the </w:t>
      </w:r>
      <w:r w:rsidR="00783759" w:rsidRPr="009146F9">
        <w:rPr>
          <w:rFonts w:ascii="Gill Sans MT" w:hAnsi="Gill Sans MT"/>
          <w:i/>
        </w:rPr>
        <w:t>Police Offences Act 1935</w:t>
      </w:r>
      <w:r w:rsidR="00783759" w:rsidRPr="009146F9">
        <w:rPr>
          <w:rFonts w:ascii="Gill Sans MT" w:hAnsi="Gill Sans MT"/>
        </w:rPr>
        <w:t>, sale and supply of alcohol to youth amendment in 2009 should have an effect on the drinking culture by raising awareness of both young people and their parent/guardian of the risks of underage drinking</w:t>
      </w:r>
      <w:r w:rsidRPr="009146F9">
        <w:rPr>
          <w:rFonts w:ascii="Gill Sans MT" w:hAnsi="Gill Sans MT"/>
        </w:rPr>
        <w:t>.  L</w:t>
      </w:r>
      <w:r w:rsidR="00783759" w:rsidRPr="009146F9">
        <w:rPr>
          <w:rFonts w:ascii="Gill Sans MT" w:hAnsi="Gill Sans MT"/>
        </w:rPr>
        <w:t xml:space="preserve">ikewise the various campaigns undertaken by a range of agencies/organisations over the years </w:t>
      </w:r>
      <w:r w:rsidRPr="009146F9">
        <w:rPr>
          <w:rFonts w:ascii="Gill Sans MT" w:hAnsi="Gill Sans MT"/>
        </w:rPr>
        <w:t xml:space="preserve">should also raise awareness of the risks associated with alcohol use and </w:t>
      </w:r>
      <w:r w:rsidR="00FC47DF" w:rsidRPr="009146F9">
        <w:rPr>
          <w:rFonts w:ascii="Gill Sans MT" w:hAnsi="Gill Sans MT"/>
        </w:rPr>
        <w:t>thus</w:t>
      </w:r>
      <w:r w:rsidR="00783759" w:rsidRPr="009146F9">
        <w:rPr>
          <w:rFonts w:ascii="Gill Sans MT" w:hAnsi="Gill Sans MT"/>
        </w:rPr>
        <w:t xml:space="preserve"> </w:t>
      </w:r>
      <w:r w:rsidRPr="009146F9">
        <w:rPr>
          <w:rFonts w:ascii="Gill Sans MT" w:hAnsi="Gill Sans MT"/>
        </w:rPr>
        <w:t xml:space="preserve">also have an effect on the drinking culture.  </w:t>
      </w:r>
    </w:p>
    <w:p w:rsidR="005E4EC1" w:rsidRPr="009146F9" w:rsidRDefault="00070CDC" w:rsidP="00FC47DF">
      <w:pPr>
        <w:keepNext/>
        <w:spacing w:before="120" w:after="120" w:line="280" w:lineRule="atLeast"/>
        <w:rPr>
          <w:rFonts w:ascii="Gill Sans MT" w:hAnsi="Gill Sans MT"/>
        </w:rPr>
      </w:pPr>
      <w:r w:rsidRPr="009146F9">
        <w:rPr>
          <w:rFonts w:ascii="Gill Sans MT" w:hAnsi="Gill Sans MT"/>
        </w:rPr>
        <w:t xml:space="preserve">However, </w:t>
      </w:r>
      <w:r w:rsidR="00783759" w:rsidRPr="009146F9">
        <w:rPr>
          <w:rFonts w:ascii="Gill Sans MT" w:hAnsi="Gill Sans MT"/>
        </w:rPr>
        <w:t xml:space="preserve">without pre and post evaluation processes or baseline data it is impossible to </w:t>
      </w:r>
      <w:r w:rsidRPr="009146F9">
        <w:rPr>
          <w:rFonts w:ascii="Gill Sans MT" w:hAnsi="Gill Sans MT"/>
        </w:rPr>
        <w:t>evaluate</w:t>
      </w:r>
      <w:r w:rsidR="00783759" w:rsidRPr="009146F9">
        <w:rPr>
          <w:rFonts w:ascii="Gill Sans MT" w:hAnsi="Gill Sans MT"/>
        </w:rPr>
        <w:t xml:space="preserve"> the effect</w:t>
      </w:r>
      <w:r w:rsidRPr="009146F9">
        <w:rPr>
          <w:rFonts w:ascii="Gill Sans MT" w:hAnsi="Gill Sans MT"/>
        </w:rPr>
        <w:t xml:space="preserve">, or </w:t>
      </w:r>
      <w:r w:rsidR="005E4EC1" w:rsidRPr="009146F9">
        <w:rPr>
          <w:rFonts w:ascii="Gill Sans MT" w:hAnsi="Gill Sans MT"/>
        </w:rPr>
        <w:t xml:space="preserve">correlate </w:t>
      </w:r>
      <w:r w:rsidRPr="009146F9">
        <w:rPr>
          <w:rFonts w:ascii="Gill Sans MT" w:hAnsi="Gill Sans MT"/>
        </w:rPr>
        <w:t xml:space="preserve">available </w:t>
      </w:r>
      <w:r w:rsidR="005E4EC1" w:rsidRPr="009146F9">
        <w:rPr>
          <w:rFonts w:ascii="Gill Sans MT" w:hAnsi="Gill Sans MT"/>
        </w:rPr>
        <w:t>data to each aim or any one specific activity.  Any movement in the data may not be directly related to a specific action or policy response, and any movement may also reflect actions that have occurred in other policy arenas or changes to operations within specific agencies or program areas. Furthermore some of the policy outcomes may not be evident in the short and medium term.</w:t>
      </w:r>
    </w:p>
    <w:p w:rsidR="00217D4C" w:rsidRPr="009146F9" w:rsidRDefault="005E4EC1" w:rsidP="00FC47DF">
      <w:pPr>
        <w:keepNext/>
        <w:spacing w:before="120" w:after="120" w:line="280" w:lineRule="atLeast"/>
        <w:rPr>
          <w:rFonts w:ascii="Gill Sans MT" w:hAnsi="Gill Sans MT"/>
        </w:rPr>
      </w:pPr>
      <w:r w:rsidRPr="009146F9">
        <w:rPr>
          <w:rFonts w:ascii="Gill Sans MT" w:hAnsi="Gill Sans MT"/>
        </w:rPr>
        <w:t xml:space="preserve">So the question </w:t>
      </w:r>
      <w:r w:rsidR="00DE4552" w:rsidRPr="009146F9">
        <w:rPr>
          <w:rFonts w:ascii="Gill Sans MT" w:hAnsi="Gill Sans MT"/>
        </w:rPr>
        <w:t>for</w:t>
      </w:r>
      <w:r w:rsidRPr="009146F9">
        <w:rPr>
          <w:rFonts w:ascii="Gill Sans MT" w:hAnsi="Gill Sans MT"/>
        </w:rPr>
        <w:t xml:space="preserve"> the </w:t>
      </w:r>
      <w:r w:rsidR="00DE4552" w:rsidRPr="009146F9">
        <w:rPr>
          <w:rFonts w:ascii="Gill Sans MT" w:hAnsi="Gill Sans MT"/>
        </w:rPr>
        <w:t>new Tasmanian alcohol framework</w:t>
      </w:r>
      <w:r w:rsidR="00BE3336" w:rsidRPr="009146F9">
        <w:rPr>
          <w:rFonts w:ascii="Gill Sans MT" w:hAnsi="Gill Sans MT"/>
        </w:rPr>
        <w:t xml:space="preserve"> is </w:t>
      </w:r>
      <w:r w:rsidRPr="009146F9">
        <w:rPr>
          <w:rFonts w:ascii="Gill Sans MT" w:hAnsi="Gill Sans MT"/>
        </w:rPr>
        <w:t>what should it realistically ai</w:t>
      </w:r>
      <w:r w:rsidR="00B066E3" w:rsidRPr="009146F9">
        <w:rPr>
          <w:rFonts w:ascii="Gill Sans MT" w:hAnsi="Gill Sans MT"/>
        </w:rPr>
        <w:t xml:space="preserve">m to achieve, </w:t>
      </w:r>
      <w:r w:rsidRPr="009146F9">
        <w:rPr>
          <w:rFonts w:ascii="Gill Sans MT" w:hAnsi="Gill Sans MT"/>
        </w:rPr>
        <w:t xml:space="preserve">what </w:t>
      </w:r>
      <w:r w:rsidR="00B066E3" w:rsidRPr="009146F9">
        <w:rPr>
          <w:rFonts w:ascii="Gill Sans MT" w:hAnsi="Gill Sans MT"/>
        </w:rPr>
        <w:t xml:space="preserve">then </w:t>
      </w:r>
      <w:r w:rsidRPr="009146F9">
        <w:rPr>
          <w:rFonts w:ascii="Gill Sans MT" w:hAnsi="Gill Sans MT"/>
        </w:rPr>
        <w:t>would success look like, i.e. the measure(s) and then how would that be evaluated, i.e. the indictors and data that would be needed</w:t>
      </w:r>
      <w:r w:rsidR="005C34CB" w:rsidRPr="009146F9">
        <w:rPr>
          <w:rFonts w:ascii="Gill Sans MT" w:hAnsi="Gill Sans MT"/>
        </w:rPr>
        <w:t xml:space="preserve">, and how or what effect do the </w:t>
      </w:r>
      <w:r w:rsidR="00B066E3" w:rsidRPr="009146F9">
        <w:rPr>
          <w:rFonts w:ascii="Gill Sans MT" w:hAnsi="Gill Sans MT"/>
        </w:rPr>
        <w:t xml:space="preserve">types of activities currently undertaken </w:t>
      </w:r>
      <w:r w:rsidR="005C34CB" w:rsidRPr="009146F9">
        <w:rPr>
          <w:rFonts w:ascii="Gill Sans MT" w:hAnsi="Gill Sans MT"/>
        </w:rPr>
        <w:t xml:space="preserve">have on </w:t>
      </w:r>
      <w:r w:rsidR="00BE3336" w:rsidRPr="009146F9">
        <w:rPr>
          <w:rFonts w:ascii="Gill Sans MT" w:hAnsi="Gill Sans MT"/>
        </w:rPr>
        <w:t>any</w:t>
      </w:r>
      <w:r w:rsidR="005C34CB" w:rsidRPr="009146F9">
        <w:rPr>
          <w:rFonts w:ascii="Gill Sans MT" w:hAnsi="Gill Sans MT"/>
        </w:rPr>
        <w:t xml:space="preserve"> overarching goal </w:t>
      </w:r>
      <w:r w:rsidR="00BE3336" w:rsidRPr="009146F9">
        <w:rPr>
          <w:rFonts w:ascii="Gill Sans MT" w:hAnsi="Gill Sans MT"/>
        </w:rPr>
        <w:t>or</w:t>
      </w:r>
      <w:r w:rsidR="005C34CB" w:rsidRPr="009146F9">
        <w:rPr>
          <w:rFonts w:ascii="Gill Sans MT" w:hAnsi="Gill Sans MT"/>
        </w:rPr>
        <w:t xml:space="preserve"> </w:t>
      </w:r>
      <w:r w:rsidR="00BE3336" w:rsidRPr="009146F9">
        <w:rPr>
          <w:rFonts w:ascii="Gill Sans MT" w:hAnsi="Gill Sans MT"/>
        </w:rPr>
        <w:t>objectives?</w:t>
      </w:r>
    </w:p>
    <w:p w:rsidR="005E4EC1" w:rsidRPr="009146F9" w:rsidRDefault="005E4EC1" w:rsidP="00FC47DF">
      <w:pPr>
        <w:keepNext/>
        <w:spacing w:before="120" w:after="120" w:line="280" w:lineRule="atLeast"/>
        <w:rPr>
          <w:rFonts w:ascii="Gill Sans MT" w:hAnsi="Gill Sans MT"/>
        </w:rPr>
      </w:pPr>
      <w:r w:rsidRPr="009146F9">
        <w:rPr>
          <w:rFonts w:ascii="Gill Sans MT" w:hAnsi="Gill Sans MT"/>
        </w:rPr>
        <w:t xml:space="preserve">The other difficulty is that responsibility for collecting, collating and analysing data and trends is undertaken on an ad hoc basis as and when deemed necessary or useful, which also makes </w:t>
      </w:r>
      <w:r w:rsidR="00DE4552" w:rsidRPr="009146F9">
        <w:rPr>
          <w:rFonts w:ascii="Gill Sans MT" w:hAnsi="Gill Sans MT"/>
        </w:rPr>
        <w:t>ongoing evaluation difficult.</w:t>
      </w:r>
      <w:r w:rsidRPr="009146F9">
        <w:rPr>
          <w:rFonts w:ascii="Gill Sans MT" w:hAnsi="Gill Sans MT"/>
        </w:rPr>
        <w:t xml:space="preserve"> </w:t>
      </w:r>
    </w:p>
    <w:p w:rsidR="00843E9C" w:rsidRPr="009146F9" w:rsidRDefault="00843E9C" w:rsidP="00FC47DF">
      <w:pPr>
        <w:keepNext/>
        <w:autoSpaceDE w:val="0"/>
        <w:autoSpaceDN w:val="0"/>
        <w:adjustRightInd w:val="0"/>
        <w:spacing w:before="120" w:after="120" w:line="280" w:lineRule="atLeast"/>
        <w:jc w:val="both"/>
        <w:rPr>
          <w:rFonts w:ascii="Gill Sans MT" w:hAnsi="Gill Sans MT"/>
        </w:rPr>
      </w:pPr>
      <w:r w:rsidRPr="009146F9">
        <w:rPr>
          <w:rFonts w:ascii="Gill Sans MT" w:hAnsi="Gill Sans MT"/>
        </w:rPr>
        <w:t xml:space="preserve">There is also a range of other issues in attempting to quantify outcomes associated with alcohol </w:t>
      </w:r>
      <w:r w:rsidR="0018641D" w:rsidRPr="009146F9">
        <w:rPr>
          <w:rFonts w:ascii="Gill Sans MT" w:hAnsi="Gill Sans MT"/>
        </w:rPr>
        <w:t>(</w:t>
      </w:r>
      <w:r w:rsidRPr="009146F9">
        <w:rPr>
          <w:rFonts w:ascii="Gill Sans MT" w:hAnsi="Gill Sans MT"/>
        </w:rPr>
        <w:t xml:space="preserve">and </w:t>
      </w:r>
      <w:r w:rsidR="0018641D" w:rsidRPr="009146F9">
        <w:rPr>
          <w:rFonts w:ascii="Gill Sans MT" w:hAnsi="Gill Sans MT"/>
        </w:rPr>
        <w:t xml:space="preserve">other </w:t>
      </w:r>
      <w:r w:rsidRPr="009146F9">
        <w:rPr>
          <w:rFonts w:ascii="Gill Sans MT" w:hAnsi="Gill Sans MT"/>
        </w:rPr>
        <w:t>drug-related</w:t>
      </w:r>
      <w:r w:rsidR="0018641D" w:rsidRPr="009146F9">
        <w:rPr>
          <w:rFonts w:ascii="Gill Sans MT" w:hAnsi="Gill Sans MT"/>
        </w:rPr>
        <w:t>)</w:t>
      </w:r>
      <w:r w:rsidRPr="009146F9">
        <w:rPr>
          <w:rFonts w:ascii="Gill Sans MT" w:hAnsi="Gill Sans MT"/>
        </w:rPr>
        <w:t xml:space="preserve"> policies.  R</w:t>
      </w:r>
      <w:r w:rsidR="0018641D" w:rsidRPr="009146F9">
        <w:rPr>
          <w:rFonts w:ascii="Gill Sans MT" w:hAnsi="Gill Sans MT"/>
        </w:rPr>
        <w:t>egardless of which data is</w:t>
      </w:r>
      <w:r w:rsidRPr="009146F9">
        <w:rPr>
          <w:rFonts w:ascii="Gill Sans MT" w:hAnsi="Gill Sans MT"/>
        </w:rPr>
        <w:t xml:space="preserve"> used and how the measures are reported, there will always be concerns, whether it is in regard to the reliability and validity of the data, the timeliness of the data, sample sizes, the methodologies used in the collection of the data and the way the data is interpreted.</w:t>
      </w:r>
    </w:p>
    <w:p w:rsidR="00931FB1" w:rsidRPr="009146F9" w:rsidRDefault="0018641D" w:rsidP="00FC47DF">
      <w:pPr>
        <w:keepNext/>
        <w:spacing w:before="120" w:after="120" w:line="280" w:lineRule="atLeast"/>
        <w:rPr>
          <w:rFonts w:ascii="Gill Sans MT" w:hAnsi="Gill Sans MT"/>
        </w:rPr>
      </w:pPr>
      <w:r w:rsidRPr="009146F9">
        <w:rPr>
          <w:rFonts w:ascii="Gill Sans MT" w:hAnsi="Gill Sans MT"/>
        </w:rPr>
        <w:t>The table below</w:t>
      </w:r>
      <w:r w:rsidR="00A14760" w:rsidRPr="009146F9">
        <w:rPr>
          <w:rFonts w:ascii="Gill Sans MT" w:hAnsi="Gill Sans MT"/>
        </w:rPr>
        <w:t xml:space="preserve"> does </w:t>
      </w:r>
      <w:r w:rsidRPr="009146F9">
        <w:rPr>
          <w:rFonts w:ascii="Gill Sans MT" w:hAnsi="Gill Sans MT"/>
        </w:rPr>
        <w:t xml:space="preserve">demonstrate some changes </w:t>
      </w:r>
      <w:r w:rsidR="00C87750" w:rsidRPr="009146F9">
        <w:rPr>
          <w:rFonts w:ascii="Gill Sans MT" w:hAnsi="Gill Sans MT"/>
        </w:rPr>
        <w:t xml:space="preserve">in Tasmania </w:t>
      </w:r>
      <w:r w:rsidRPr="009146F9">
        <w:rPr>
          <w:rFonts w:ascii="Gill Sans MT" w:hAnsi="Gill Sans MT"/>
        </w:rPr>
        <w:t>against the identified</w:t>
      </w:r>
      <w:r w:rsidR="00217D4C" w:rsidRPr="009146F9">
        <w:rPr>
          <w:rFonts w:ascii="Gill Sans MT" w:hAnsi="Gill Sans MT"/>
        </w:rPr>
        <w:t xml:space="preserve"> measures</w:t>
      </w:r>
      <w:r w:rsidR="00931FB1" w:rsidRPr="009146F9">
        <w:rPr>
          <w:rFonts w:ascii="Gill Sans MT" w:hAnsi="Gill Sans MT"/>
        </w:rPr>
        <w:t xml:space="preserve">: </w:t>
      </w:r>
    </w:p>
    <w:p w:rsidR="00931FB1" w:rsidRPr="009146F9" w:rsidRDefault="00931FB1" w:rsidP="00FC47DF">
      <w:pPr>
        <w:pStyle w:val="ListParagraph"/>
        <w:keepNext/>
        <w:numPr>
          <w:ilvl w:val="0"/>
          <w:numId w:val="51"/>
        </w:numPr>
        <w:spacing w:before="120" w:after="120" w:line="280" w:lineRule="atLeast"/>
        <w:rPr>
          <w:rFonts w:ascii="Gill Sans MT" w:hAnsi="Gill Sans MT"/>
          <w:lang w:eastAsia="ja-JP"/>
        </w:rPr>
      </w:pPr>
      <w:r w:rsidRPr="009146F9">
        <w:rPr>
          <w:rFonts w:ascii="Gill Sans MT" w:hAnsi="Gill Sans MT"/>
          <w:lang w:eastAsia="ja-JP"/>
        </w:rPr>
        <w:t xml:space="preserve">Some reductions in lifetime and single occasion risks from alcohol consumption </w:t>
      </w:r>
    </w:p>
    <w:p w:rsidR="00931FB1" w:rsidRPr="009146F9" w:rsidRDefault="00931FB1"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No significant difference in underage drinking in recent years</w:t>
      </w:r>
    </w:p>
    <w:p w:rsidR="00931FB1" w:rsidRPr="009146F9" w:rsidRDefault="00931FB1" w:rsidP="00FC47DF">
      <w:pPr>
        <w:pStyle w:val="ListParagraph"/>
        <w:keepNext/>
        <w:numPr>
          <w:ilvl w:val="0"/>
          <w:numId w:val="43"/>
        </w:numPr>
        <w:spacing w:before="120" w:after="120" w:line="280" w:lineRule="atLeast"/>
        <w:ind w:left="714" w:hanging="357"/>
        <w:rPr>
          <w:rFonts w:ascii="Gill Sans MT" w:hAnsi="Gill Sans MT"/>
        </w:rPr>
      </w:pPr>
      <w:r w:rsidRPr="009146F9">
        <w:rPr>
          <w:rFonts w:ascii="Gill Sans MT" w:hAnsi="Gill Sans MT"/>
          <w:lang w:eastAsia="ja-JP"/>
        </w:rPr>
        <w:t>The number of women drinking alcohol in pregnancy has decreased in recent years</w:t>
      </w:r>
    </w:p>
    <w:p w:rsidR="00931FB1" w:rsidRPr="009146F9" w:rsidRDefault="00931FB1"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Increases in alcohol-related hospitalisations for both men and women</w:t>
      </w:r>
    </w:p>
    <w:p w:rsidR="00931FB1" w:rsidRPr="009146F9" w:rsidRDefault="00931FB1"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No statistically significant changes in alcohol-related Emergency Department presentations</w:t>
      </w:r>
    </w:p>
    <w:p w:rsidR="00931FB1" w:rsidRPr="009146F9" w:rsidRDefault="00931FB1"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Decreases in proportion of fatalities and serious casualty road crashes involving alcohol</w:t>
      </w:r>
    </w:p>
    <w:p w:rsidR="00931FB1" w:rsidRPr="009146F9" w:rsidRDefault="00931FB1" w:rsidP="00FC47DF">
      <w:pPr>
        <w:pStyle w:val="ListParagraph"/>
        <w:keepNext/>
        <w:numPr>
          <w:ilvl w:val="0"/>
          <w:numId w:val="43"/>
        </w:numPr>
        <w:spacing w:before="120" w:after="120" w:line="280" w:lineRule="atLeast"/>
        <w:ind w:left="714" w:hanging="357"/>
        <w:rPr>
          <w:rFonts w:ascii="Gill Sans MT" w:hAnsi="Gill Sans MT"/>
          <w:lang w:eastAsia="ja-JP"/>
        </w:rPr>
      </w:pPr>
      <w:r w:rsidRPr="009146F9">
        <w:rPr>
          <w:rFonts w:ascii="Gill Sans MT" w:hAnsi="Gill Sans MT"/>
          <w:lang w:eastAsia="ja-JP"/>
        </w:rPr>
        <w:t>Decrease in proportion of family violence offenders affected by alcohol</w:t>
      </w:r>
    </w:p>
    <w:p w:rsidR="0018641D" w:rsidRPr="009146F9" w:rsidRDefault="00931FB1" w:rsidP="00FC47DF">
      <w:pPr>
        <w:pStyle w:val="ListParagraph"/>
        <w:keepNext/>
        <w:numPr>
          <w:ilvl w:val="0"/>
          <w:numId w:val="43"/>
        </w:numPr>
        <w:spacing w:before="120" w:after="120" w:line="280" w:lineRule="atLeast"/>
        <w:ind w:left="709" w:right="198" w:hanging="357"/>
        <w:rPr>
          <w:rFonts w:ascii="Gill Sans MT" w:hAnsi="Gill Sans MT"/>
        </w:rPr>
      </w:pPr>
      <w:r w:rsidRPr="009146F9">
        <w:rPr>
          <w:rFonts w:ascii="Gill Sans MT" w:hAnsi="Gill Sans MT"/>
          <w:lang w:eastAsia="ja-JP"/>
        </w:rPr>
        <w:t>Increase in the number of liquor licenses</w:t>
      </w:r>
      <w:r w:rsidR="0018641D" w:rsidRPr="009146F9">
        <w:rPr>
          <w:rFonts w:ascii="Gill Sans MT" w:hAnsi="Gill Sans MT"/>
        </w:rPr>
        <w:t xml:space="preserve">  </w:t>
      </w:r>
    </w:p>
    <w:p w:rsidR="00A14760" w:rsidRPr="009146F9" w:rsidRDefault="00A14760" w:rsidP="00FC47DF">
      <w:pPr>
        <w:keepNext/>
        <w:spacing w:before="120" w:after="120" w:line="280" w:lineRule="atLeast"/>
        <w:ind w:left="709"/>
        <w:rPr>
          <w:rFonts w:ascii="Gill Sans MT" w:hAnsi="Gill Sans MT"/>
          <w:b/>
          <w:sz w:val="20"/>
        </w:rPr>
        <w:sectPr w:rsidR="00A14760" w:rsidRPr="009146F9" w:rsidSect="00146B9B">
          <w:footnotePr>
            <w:numFmt w:val="lowerRoman"/>
          </w:footnotePr>
          <w:endnotePr>
            <w:numFmt w:val="decimal"/>
          </w:endnotePr>
          <w:pgSz w:w="11906" w:h="16838"/>
          <w:pgMar w:top="1440" w:right="1440" w:bottom="1440" w:left="1440" w:header="708" w:footer="708" w:gutter="0"/>
          <w:cols w:space="708"/>
          <w:titlePg/>
          <w:docGrid w:linePitch="360"/>
        </w:sectPr>
      </w:pPr>
    </w:p>
    <w:p w:rsidR="008D4D16" w:rsidRPr="009146F9" w:rsidRDefault="008D4D16" w:rsidP="00FC47DF">
      <w:pPr>
        <w:keepNext/>
        <w:spacing w:before="120" w:after="120" w:line="280" w:lineRule="atLeast"/>
        <w:rPr>
          <w:rFonts w:ascii="Gill Sans MT" w:hAnsi="Gill Sans MT"/>
          <w:sz w:val="20"/>
        </w:rPr>
      </w:pPr>
      <w:r w:rsidRPr="009146F9">
        <w:rPr>
          <w:rFonts w:ascii="Gill Sans MT" w:hAnsi="Gill Sans MT"/>
          <w:b/>
          <w:sz w:val="20"/>
        </w:rPr>
        <w:t>Table 3.7:</w:t>
      </w:r>
      <w:r w:rsidRPr="009146F9">
        <w:rPr>
          <w:rFonts w:ascii="Gill Sans MT" w:hAnsi="Gill Sans MT"/>
          <w:sz w:val="20"/>
        </w:rPr>
        <w:t xml:space="preserve"> </w:t>
      </w:r>
      <w:r w:rsidR="00BF27A8" w:rsidRPr="009146F9">
        <w:rPr>
          <w:rFonts w:ascii="Gill Sans MT" w:hAnsi="Gill Sans MT"/>
          <w:sz w:val="20"/>
        </w:rPr>
        <w:t xml:space="preserve">Data trends for </w:t>
      </w:r>
      <w:r w:rsidR="002A7367" w:rsidRPr="009146F9">
        <w:rPr>
          <w:rFonts w:ascii="Gill Sans MT" w:hAnsi="Gill Sans MT"/>
          <w:sz w:val="20"/>
        </w:rPr>
        <w:t xml:space="preserve">measures and </w:t>
      </w:r>
      <w:r w:rsidR="00BF27A8" w:rsidRPr="009146F9">
        <w:rPr>
          <w:rFonts w:ascii="Gill Sans MT" w:hAnsi="Gill Sans MT"/>
          <w:sz w:val="20"/>
        </w:rPr>
        <w:t>indicators against the aims of the TAAF</w:t>
      </w:r>
      <w:r w:rsidRPr="009146F9">
        <w:rPr>
          <w:rFonts w:ascii="Gill Sans MT" w:hAnsi="Gill Sans MT"/>
          <w:sz w:val="20"/>
        </w:rPr>
        <w:t xml:space="preserve"> </w:t>
      </w:r>
    </w:p>
    <w:tbl>
      <w:tblPr>
        <w:tblStyle w:val="TableGrid"/>
        <w:tblW w:w="5000" w:type="pct"/>
        <w:tblLook w:val="04A0" w:firstRow="1" w:lastRow="0" w:firstColumn="1" w:lastColumn="0" w:noHBand="0" w:noVBand="1"/>
        <w:tblCaption w:val="Table 3.7"/>
        <w:tblDescription w:val="Data trends for measures and indicators against the aims of the TAAF"/>
      </w:tblPr>
      <w:tblGrid>
        <w:gridCol w:w="1950"/>
        <w:gridCol w:w="2268"/>
        <w:gridCol w:w="2554"/>
        <w:gridCol w:w="3402"/>
        <w:gridCol w:w="4000"/>
      </w:tblGrid>
      <w:tr w:rsidR="00A14760" w:rsidRPr="009146F9" w:rsidTr="00E44337">
        <w:trPr>
          <w:tblHeader/>
        </w:trPr>
        <w:tc>
          <w:tcPr>
            <w:tcW w:w="688" w:type="pct"/>
          </w:tcPr>
          <w:p w:rsidR="00A14760" w:rsidRPr="009146F9" w:rsidRDefault="00A14760" w:rsidP="00FC47DF">
            <w:pPr>
              <w:keepNext/>
              <w:spacing w:before="120" w:after="120" w:line="280" w:lineRule="atLeast"/>
              <w:rPr>
                <w:rFonts w:ascii="Gill Sans MT" w:hAnsi="Gill Sans MT"/>
                <w:b/>
              </w:rPr>
            </w:pPr>
            <w:r w:rsidRPr="009146F9">
              <w:rPr>
                <w:rFonts w:ascii="Gill Sans MT" w:hAnsi="Gill Sans MT"/>
                <w:b/>
              </w:rPr>
              <w:t>Aim</w:t>
            </w:r>
          </w:p>
        </w:tc>
        <w:tc>
          <w:tcPr>
            <w:tcW w:w="800" w:type="pct"/>
          </w:tcPr>
          <w:p w:rsidR="00A14760" w:rsidRPr="009146F9" w:rsidRDefault="00A14760" w:rsidP="00FC47DF">
            <w:pPr>
              <w:keepNext/>
              <w:spacing w:before="120" w:after="120" w:line="280" w:lineRule="atLeast"/>
              <w:rPr>
                <w:rFonts w:ascii="Gill Sans MT" w:hAnsi="Gill Sans MT"/>
                <w:b/>
              </w:rPr>
            </w:pPr>
            <w:r w:rsidRPr="009146F9">
              <w:rPr>
                <w:rFonts w:ascii="Gill Sans MT" w:hAnsi="Gill Sans MT"/>
                <w:b/>
              </w:rPr>
              <w:t>Measure(s)</w:t>
            </w:r>
          </w:p>
        </w:tc>
        <w:tc>
          <w:tcPr>
            <w:tcW w:w="901" w:type="pct"/>
          </w:tcPr>
          <w:p w:rsidR="00A14760" w:rsidRPr="009146F9" w:rsidRDefault="00A14760" w:rsidP="00FC47DF">
            <w:pPr>
              <w:keepNext/>
              <w:spacing w:before="120" w:after="120" w:line="280" w:lineRule="atLeast"/>
              <w:rPr>
                <w:rFonts w:ascii="Gill Sans MT" w:hAnsi="Gill Sans MT"/>
                <w:b/>
              </w:rPr>
            </w:pPr>
            <w:r w:rsidRPr="009146F9">
              <w:rPr>
                <w:rFonts w:ascii="Gill Sans MT" w:hAnsi="Gill Sans MT"/>
                <w:b/>
              </w:rPr>
              <w:t xml:space="preserve">Indicator(s) </w:t>
            </w:r>
          </w:p>
        </w:tc>
        <w:tc>
          <w:tcPr>
            <w:tcW w:w="1200" w:type="pct"/>
          </w:tcPr>
          <w:p w:rsidR="00A14760" w:rsidRPr="009146F9" w:rsidRDefault="00A14760" w:rsidP="00FC47DF">
            <w:pPr>
              <w:keepNext/>
              <w:spacing w:before="120" w:after="120" w:line="280" w:lineRule="atLeast"/>
              <w:rPr>
                <w:rFonts w:ascii="Gill Sans MT" w:hAnsi="Gill Sans MT"/>
                <w:b/>
              </w:rPr>
            </w:pPr>
            <w:r w:rsidRPr="009146F9">
              <w:rPr>
                <w:rFonts w:ascii="Gill Sans MT" w:hAnsi="Gill Sans MT"/>
                <w:b/>
              </w:rPr>
              <w:t>Data and Trends</w:t>
            </w:r>
          </w:p>
        </w:tc>
        <w:tc>
          <w:tcPr>
            <w:tcW w:w="1411" w:type="pct"/>
          </w:tcPr>
          <w:p w:rsidR="00A14760" w:rsidRPr="009146F9" w:rsidRDefault="00A14760" w:rsidP="00FC47DF">
            <w:pPr>
              <w:keepNext/>
              <w:spacing w:before="120" w:after="120" w:line="280" w:lineRule="atLeast"/>
              <w:rPr>
                <w:rFonts w:ascii="Gill Sans MT" w:hAnsi="Gill Sans MT"/>
                <w:b/>
              </w:rPr>
            </w:pPr>
            <w:r w:rsidRPr="009146F9">
              <w:rPr>
                <w:rFonts w:ascii="Gill Sans MT" w:hAnsi="Gill Sans MT"/>
                <w:b/>
              </w:rPr>
              <w:t>Comments</w:t>
            </w:r>
          </w:p>
        </w:tc>
      </w:tr>
      <w:tr w:rsidR="00A14760" w:rsidRPr="009146F9" w:rsidTr="00E44337">
        <w:tc>
          <w:tcPr>
            <w:tcW w:w="688" w:type="pct"/>
            <w:vMerge w:val="restart"/>
          </w:tcPr>
          <w:p w:rsidR="00A14760" w:rsidRPr="009146F9" w:rsidRDefault="00A14760" w:rsidP="00FC47DF">
            <w:pPr>
              <w:pStyle w:val="ListParagraph"/>
              <w:keepNext/>
              <w:numPr>
                <w:ilvl w:val="6"/>
                <w:numId w:val="12"/>
              </w:numPr>
              <w:tabs>
                <w:tab w:val="clear" w:pos="2520"/>
                <w:tab w:val="num" w:pos="284"/>
              </w:tabs>
              <w:ind w:left="284" w:hanging="284"/>
              <w:rPr>
                <w:rFonts w:ascii="Gill Sans MT" w:hAnsi="Gill Sans MT"/>
              </w:rPr>
            </w:pPr>
            <w:r w:rsidRPr="009146F9">
              <w:rPr>
                <w:rFonts w:ascii="Gill Sans MT" w:hAnsi="Gill Sans MT" w:cstheme="minorHAnsi"/>
              </w:rPr>
              <w:t>Reduce the volume of per capita alcohol consumption in Tasmania</w:t>
            </w:r>
          </w:p>
        </w:tc>
        <w:tc>
          <w:tcPr>
            <w:tcW w:w="800"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Population level alcohol consumption in Tasmania decreases</w:t>
            </w:r>
          </w:p>
        </w:tc>
        <w:tc>
          <w:tcPr>
            <w:tcW w:w="901" w:type="pct"/>
          </w:tcPr>
          <w:p w:rsidR="001E77D2" w:rsidRPr="009146F9" w:rsidRDefault="00A14760" w:rsidP="00FC47DF">
            <w:pPr>
              <w:keepNext/>
              <w:autoSpaceDE w:val="0"/>
              <w:autoSpaceDN w:val="0"/>
              <w:adjustRightInd w:val="0"/>
              <w:rPr>
                <w:rFonts w:ascii="Gill Sans MT" w:hAnsi="Gill Sans MT"/>
              </w:rPr>
            </w:pPr>
            <w:r w:rsidRPr="009146F9">
              <w:rPr>
                <w:rFonts w:ascii="Gill Sans MT" w:hAnsi="Gill Sans MT"/>
              </w:rPr>
              <w:t>Per capita consumption of pure alcohol</w:t>
            </w:r>
          </w:p>
        </w:tc>
        <w:tc>
          <w:tcPr>
            <w:tcW w:w="1200" w:type="pct"/>
          </w:tcPr>
          <w:p w:rsidR="00A14760" w:rsidRPr="009146F9" w:rsidRDefault="00A14760" w:rsidP="00FC47DF">
            <w:pPr>
              <w:keepNext/>
              <w:rPr>
                <w:rFonts w:ascii="Gill Sans MT" w:hAnsi="Gill Sans MT"/>
              </w:rPr>
            </w:pPr>
            <w:r w:rsidRPr="009146F9">
              <w:rPr>
                <w:rFonts w:ascii="Gill Sans MT" w:hAnsi="Gill Sans MT"/>
              </w:rPr>
              <w:t xml:space="preserve">National per capita consumption of pure alcohol decreased from10.53 litres per person in </w:t>
            </w:r>
            <w:r w:rsidR="007A7B67" w:rsidRPr="009146F9">
              <w:rPr>
                <w:rFonts w:ascii="Gill Sans MT" w:hAnsi="Gill Sans MT"/>
              </w:rPr>
              <w:t>2009-</w:t>
            </w:r>
            <w:r w:rsidRPr="009146F9">
              <w:rPr>
                <w:rFonts w:ascii="Gill Sans MT" w:hAnsi="Gill Sans MT"/>
              </w:rPr>
              <w:t xml:space="preserve">10 to 9.7 litres per person in </w:t>
            </w:r>
            <w:r w:rsidR="007A7B67" w:rsidRPr="009146F9">
              <w:rPr>
                <w:rFonts w:ascii="Gill Sans MT" w:hAnsi="Gill Sans MT"/>
              </w:rPr>
              <w:t>2013-</w:t>
            </w:r>
            <w:r w:rsidRPr="009146F9">
              <w:rPr>
                <w:rFonts w:ascii="Gill Sans MT" w:hAnsi="Gill Sans MT"/>
              </w:rPr>
              <w:t>14.</w:t>
            </w:r>
            <w:r w:rsidRPr="009146F9">
              <w:rPr>
                <w:rStyle w:val="FootnoteReference"/>
                <w:rFonts w:ascii="Gill Sans MT" w:hAnsi="Gill Sans MT"/>
              </w:rPr>
              <w:footnoteReference w:id="11"/>
            </w:r>
            <w:r w:rsidRPr="009146F9">
              <w:rPr>
                <w:rFonts w:ascii="Gill Sans MT" w:hAnsi="Gill Sans MT"/>
              </w:rPr>
              <w:t xml:space="preserve"> </w:t>
            </w:r>
          </w:p>
        </w:tc>
        <w:tc>
          <w:tcPr>
            <w:tcW w:w="1411" w:type="pct"/>
          </w:tcPr>
          <w:p w:rsidR="00A14760" w:rsidRPr="009146F9" w:rsidRDefault="00A14760" w:rsidP="00FC47DF">
            <w:pPr>
              <w:keepNext/>
              <w:rPr>
                <w:rFonts w:ascii="Gill Sans MT" w:hAnsi="Gill Sans MT"/>
              </w:rPr>
            </w:pPr>
            <w:r w:rsidRPr="009146F9">
              <w:rPr>
                <w:rFonts w:ascii="Gill Sans MT" w:hAnsi="Gill Sans MT"/>
              </w:rPr>
              <w:t>No Tasmanian specific data is available</w:t>
            </w:r>
          </w:p>
          <w:p w:rsidR="00A14760" w:rsidRPr="009146F9" w:rsidRDefault="00A14760" w:rsidP="00FC47DF">
            <w:pPr>
              <w:keepNext/>
              <w:rPr>
                <w:rFonts w:ascii="Gill Sans MT" w:hAnsi="Gill Sans MT"/>
              </w:rPr>
            </w:pPr>
          </w:p>
          <w:p w:rsidR="00A14760" w:rsidRPr="009146F9" w:rsidRDefault="00A14760" w:rsidP="00FC47DF">
            <w:pPr>
              <w:keepNext/>
              <w:rPr>
                <w:rFonts w:ascii="Gill Sans MT" w:hAnsi="Gill Sans MT"/>
              </w:rPr>
            </w:pPr>
            <w:r w:rsidRPr="009146F9">
              <w:rPr>
                <w:rFonts w:ascii="Gill Sans MT" w:hAnsi="Gill Sans MT"/>
              </w:rPr>
              <w:t>Tasmania has agreed to re-commence the collection and reporting of wholesale alcohol sales data which will be able to provide indications of population level alcohol consumption levels.</w:t>
            </w:r>
          </w:p>
        </w:tc>
      </w:tr>
      <w:tr w:rsidR="00A14760" w:rsidRPr="009146F9" w:rsidTr="00E44337">
        <w:tc>
          <w:tcPr>
            <w:tcW w:w="688" w:type="pct"/>
            <w:vMerge/>
          </w:tcPr>
          <w:p w:rsidR="00A14760" w:rsidRPr="009146F9" w:rsidRDefault="00A14760" w:rsidP="00FC47DF">
            <w:pPr>
              <w:pStyle w:val="ListParagraph"/>
              <w:keepNext/>
              <w:ind w:left="284"/>
              <w:rPr>
                <w:rFonts w:ascii="Gill Sans MT" w:hAnsi="Gill Sans MT" w:cstheme="minorHAnsi"/>
              </w:rPr>
            </w:pPr>
          </w:p>
        </w:tc>
        <w:tc>
          <w:tcPr>
            <w:tcW w:w="800"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Alcohol is less accessible or available</w:t>
            </w: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Number, type and location of liquor licenses</w:t>
            </w:r>
          </w:p>
        </w:tc>
        <w:tc>
          <w:tcPr>
            <w:tcW w:w="1200" w:type="pct"/>
          </w:tcPr>
          <w:p w:rsidR="00A14760" w:rsidRPr="009146F9" w:rsidRDefault="00A14760" w:rsidP="00FC47DF">
            <w:pPr>
              <w:pStyle w:val="BodyCopy"/>
              <w:keepNext/>
              <w:spacing w:after="0" w:line="240" w:lineRule="auto"/>
              <w:ind w:left="0" w:right="60"/>
            </w:pPr>
            <w:r w:rsidRPr="009146F9">
              <w:t>There has been a 22.6 per cent increase in the number of liquor licenses over the last 12 years.</w:t>
            </w:r>
            <w:r w:rsidR="006427DF" w:rsidRPr="009146F9">
              <w:rPr>
                <w:rStyle w:val="FootnoteReference"/>
              </w:rPr>
              <w:footnoteReference w:id="12"/>
            </w:r>
            <w:r w:rsidR="006427DF" w:rsidRPr="009146F9">
              <w:t xml:space="preserve"> </w:t>
            </w:r>
          </w:p>
          <w:p w:rsidR="00A14760" w:rsidRPr="009146F9" w:rsidRDefault="00A14760" w:rsidP="00FC47DF">
            <w:pPr>
              <w:pStyle w:val="BodyCopy"/>
              <w:keepNext/>
              <w:spacing w:after="0" w:line="240" w:lineRule="auto"/>
              <w:ind w:left="0" w:right="60"/>
              <w:rPr>
                <w:noProof/>
              </w:rPr>
            </w:pPr>
            <w:r w:rsidRPr="009146F9">
              <w:rPr>
                <w:noProof/>
              </w:rPr>
              <w:t xml:space="preserve"> </w:t>
            </w:r>
          </w:p>
        </w:tc>
        <w:tc>
          <w:tcPr>
            <w:tcW w:w="1411" w:type="pct"/>
          </w:tcPr>
          <w:p w:rsidR="00A14760" w:rsidRPr="009146F9" w:rsidRDefault="00A14760" w:rsidP="00FC47DF">
            <w:pPr>
              <w:pStyle w:val="BodyCopy"/>
              <w:keepNext/>
              <w:spacing w:after="0" w:line="240" w:lineRule="auto"/>
              <w:ind w:left="142" w:right="60"/>
            </w:pPr>
          </w:p>
        </w:tc>
      </w:tr>
      <w:tr w:rsidR="00A14760" w:rsidRPr="009146F9" w:rsidTr="00E44337">
        <w:tc>
          <w:tcPr>
            <w:tcW w:w="688" w:type="pct"/>
            <w:vMerge w:val="restart"/>
          </w:tcPr>
          <w:p w:rsidR="00A14760" w:rsidRPr="009146F9" w:rsidRDefault="00A14760" w:rsidP="00FC47DF">
            <w:pPr>
              <w:pStyle w:val="ListParagraph"/>
              <w:keepNext/>
              <w:numPr>
                <w:ilvl w:val="6"/>
                <w:numId w:val="12"/>
              </w:numPr>
              <w:tabs>
                <w:tab w:val="clear" w:pos="2520"/>
                <w:tab w:val="num" w:pos="284"/>
              </w:tabs>
              <w:ind w:left="284" w:hanging="284"/>
              <w:rPr>
                <w:rFonts w:ascii="Gill Sans MT" w:hAnsi="Gill Sans MT"/>
              </w:rPr>
            </w:pPr>
            <w:r w:rsidRPr="009146F9">
              <w:rPr>
                <w:rFonts w:ascii="Gill Sans MT" w:hAnsi="Gill Sans MT" w:cstheme="minorHAnsi"/>
              </w:rPr>
              <w:t>Reduce the incidence of illness, accidents and deaths related to the misuse of alcohol</w:t>
            </w:r>
          </w:p>
        </w:tc>
        <w:tc>
          <w:tcPr>
            <w:tcW w:w="800" w:type="pct"/>
            <w:vMerge w:val="restar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Less illness(</w:t>
            </w:r>
            <w:proofErr w:type="spellStart"/>
            <w:r w:rsidRPr="009146F9">
              <w:rPr>
                <w:rFonts w:ascii="Gill Sans MT" w:hAnsi="Gill Sans MT"/>
              </w:rPr>
              <w:t>es</w:t>
            </w:r>
            <w:proofErr w:type="spellEnd"/>
            <w:r w:rsidRPr="009146F9">
              <w:rPr>
                <w:rFonts w:ascii="Gill Sans MT" w:hAnsi="Gill Sans MT"/>
              </w:rPr>
              <w:t>) that can be attributed to the use of alcohol</w:t>
            </w: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 xml:space="preserve">Number of alcohol-related hospital separations by principal drug of concern – on per capital or per 100,000 basis </w:t>
            </w:r>
          </w:p>
        </w:tc>
        <w:tc>
          <w:tcPr>
            <w:tcW w:w="1200" w:type="pct"/>
          </w:tcPr>
          <w:p w:rsidR="00A14760" w:rsidRPr="009146F9" w:rsidRDefault="00A14760" w:rsidP="00FC47DF">
            <w:pPr>
              <w:keepNext/>
              <w:rPr>
                <w:rFonts w:ascii="Gill Sans MT" w:hAnsi="Gill Sans MT"/>
              </w:rPr>
            </w:pPr>
            <w:r w:rsidRPr="009146F9">
              <w:rPr>
                <w:rFonts w:ascii="Gill Sans MT" w:hAnsi="Gill Sans MT"/>
              </w:rPr>
              <w:t>Alcohol-related hospitalisations increased from 859 per 100,000 in men and 582 per100</w:t>
            </w:r>
            <w:proofErr w:type="gramStart"/>
            <w:r w:rsidRPr="009146F9">
              <w:rPr>
                <w:rFonts w:ascii="Gill Sans MT" w:hAnsi="Gill Sans MT"/>
              </w:rPr>
              <w:t>,</w:t>
            </w:r>
            <w:r w:rsidR="005337C4" w:rsidRPr="009146F9">
              <w:rPr>
                <w:rFonts w:ascii="Gill Sans MT" w:hAnsi="Gill Sans MT"/>
              </w:rPr>
              <w:t>000</w:t>
            </w:r>
            <w:proofErr w:type="gramEnd"/>
            <w:r w:rsidR="005337C4" w:rsidRPr="009146F9">
              <w:rPr>
                <w:rFonts w:ascii="Gill Sans MT" w:hAnsi="Gill Sans MT"/>
              </w:rPr>
              <w:t xml:space="preserve"> in women in 2009-</w:t>
            </w:r>
            <w:r w:rsidRPr="009146F9">
              <w:rPr>
                <w:rFonts w:ascii="Gill Sans MT" w:hAnsi="Gill Sans MT"/>
              </w:rPr>
              <w:t xml:space="preserve">10 to 1,021 per 100,000 in men and 845 per </w:t>
            </w:r>
            <w:r w:rsidR="005337C4" w:rsidRPr="009146F9">
              <w:rPr>
                <w:rFonts w:ascii="Gill Sans MT" w:hAnsi="Gill Sans MT"/>
              </w:rPr>
              <w:t>100,000 in women in 2014-</w:t>
            </w:r>
            <w:r w:rsidRPr="009146F9">
              <w:rPr>
                <w:rFonts w:ascii="Gill Sans MT" w:hAnsi="Gill Sans MT"/>
              </w:rPr>
              <w:t>15.</w:t>
            </w:r>
            <w:r w:rsidRPr="009146F9">
              <w:rPr>
                <w:rStyle w:val="FootnoteReference"/>
                <w:rFonts w:ascii="Gill Sans MT" w:hAnsi="Gill Sans MT"/>
              </w:rPr>
              <w:footnoteReference w:id="13"/>
            </w:r>
          </w:p>
          <w:p w:rsidR="00A14760" w:rsidRPr="009146F9" w:rsidRDefault="00A14760" w:rsidP="00FC47DF">
            <w:pPr>
              <w:pStyle w:val="ListParagraph"/>
              <w:keepNext/>
              <w:autoSpaceDE w:val="0"/>
              <w:autoSpaceDN w:val="0"/>
              <w:adjustRightInd w:val="0"/>
              <w:ind w:left="318"/>
              <w:contextualSpacing w:val="0"/>
              <w:rPr>
                <w:rFonts w:ascii="Gill Sans MT" w:hAnsi="Gill Sans MT"/>
              </w:rPr>
            </w:pPr>
          </w:p>
        </w:tc>
        <w:tc>
          <w:tcPr>
            <w:tcW w:w="1411" w:type="pct"/>
          </w:tcPr>
          <w:p w:rsidR="00A14760" w:rsidRPr="009146F9" w:rsidRDefault="00A14760" w:rsidP="00FC47DF">
            <w:pPr>
              <w:keepNext/>
              <w:ind w:left="34"/>
              <w:rPr>
                <w:rFonts w:ascii="Gill Sans MT" w:hAnsi="Gill Sans MT" w:cs="Times New Roman"/>
              </w:rPr>
            </w:pPr>
            <w:r w:rsidRPr="009146F9">
              <w:rPr>
                <w:rFonts w:ascii="Gill Sans MT" w:hAnsi="Gill Sans MT" w:cs="Times New Roman"/>
              </w:rPr>
              <w:t>Derived by applying aetiologic fractions aetiologic fractions (the probability that a particular death or illness is associated with alcohol consumption) to population level mortality and morbidity data.</w:t>
            </w:r>
          </w:p>
          <w:p w:rsidR="00A14760" w:rsidRPr="009146F9" w:rsidRDefault="00A14760" w:rsidP="00FC47DF">
            <w:pPr>
              <w:keepNext/>
              <w:ind w:left="34"/>
              <w:rPr>
                <w:rFonts w:ascii="Gill Sans MT" w:hAnsi="Gill Sans MT"/>
              </w:rPr>
            </w:pPr>
          </w:p>
        </w:tc>
      </w:tr>
      <w:tr w:rsidR="00A14760" w:rsidRPr="009146F9" w:rsidTr="00E44337">
        <w:tc>
          <w:tcPr>
            <w:tcW w:w="688" w:type="pct"/>
            <w:vMerge/>
          </w:tcPr>
          <w:p w:rsidR="00A14760" w:rsidRPr="009146F9" w:rsidRDefault="00A14760" w:rsidP="00FC47DF">
            <w:pPr>
              <w:pStyle w:val="ListParagraph"/>
              <w:keepNext/>
              <w:numPr>
                <w:ilvl w:val="6"/>
                <w:numId w:val="12"/>
              </w:numPr>
              <w:tabs>
                <w:tab w:val="clear" w:pos="2520"/>
                <w:tab w:val="num" w:pos="284"/>
              </w:tabs>
              <w:ind w:left="284" w:hanging="284"/>
              <w:rPr>
                <w:rFonts w:ascii="Gill Sans MT" w:hAnsi="Gill Sans MT" w:cstheme="minorHAnsi"/>
              </w:rPr>
            </w:pPr>
          </w:p>
        </w:tc>
        <w:tc>
          <w:tcPr>
            <w:tcW w:w="800" w:type="pct"/>
            <w:vMerge/>
          </w:tcPr>
          <w:p w:rsidR="00A14760" w:rsidRPr="009146F9" w:rsidRDefault="00A14760" w:rsidP="00FC47DF">
            <w:pPr>
              <w:keepNext/>
              <w:autoSpaceDE w:val="0"/>
              <w:autoSpaceDN w:val="0"/>
              <w:adjustRightInd w:val="0"/>
              <w:rPr>
                <w:rFonts w:ascii="Gill Sans MT" w:hAnsi="Gill Sans MT"/>
              </w:rPr>
            </w:pP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 xml:space="preserve">Presentations to emergency departments for acute alcohol intoxication </w:t>
            </w:r>
          </w:p>
          <w:p w:rsidR="00A14760" w:rsidRPr="009146F9" w:rsidRDefault="00A14760" w:rsidP="00FC47DF">
            <w:pPr>
              <w:keepNext/>
              <w:autoSpaceDE w:val="0"/>
              <w:autoSpaceDN w:val="0"/>
              <w:adjustRightInd w:val="0"/>
              <w:ind w:left="283"/>
              <w:rPr>
                <w:rFonts w:ascii="Gill Sans MT" w:hAnsi="Gill Sans MT"/>
              </w:rPr>
            </w:pPr>
          </w:p>
        </w:tc>
        <w:tc>
          <w:tcPr>
            <w:tcW w:w="1200" w:type="pct"/>
          </w:tcPr>
          <w:p w:rsidR="00A14760" w:rsidRPr="009146F9" w:rsidRDefault="00A14760" w:rsidP="00FC47DF">
            <w:pPr>
              <w:keepNext/>
              <w:ind w:left="35"/>
              <w:rPr>
                <w:rFonts w:ascii="Gill Sans MT" w:hAnsi="Gill Sans MT"/>
              </w:rPr>
            </w:pPr>
            <w:r w:rsidRPr="009146F9">
              <w:rPr>
                <w:rFonts w:ascii="Gill Sans MT" w:hAnsi="Gill Sans MT"/>
              </w:rPr>
              <w:t>Alcohol-related ED presentations rate was152.2</w:t>
            </w:r>
            <w:r w:rsidR="005337C4" w:rsidRPr="009146F9">
              <w:rPr>
                <w:rFonts w:ascii="Gill Sans MT" w:hAnsi="Gill Sans MT"/>
              </w:rPr>
              <w:t xml:space="preserve"> per 100,000 in 2009-</w:t>
            </w:r>
            <w:r w:rsidRPr="009146F9">
              <w:rPr>
                <w:rFonts w:ascii="Gill Sans MT" w:hAnsi="Gill Sans MT"/>
              </w:rPr>
              <w:t xml:space="preserve">10 and 159.5 per </w:t>
            </w:r>
            <w:r w:rsidR="005337C4" w:rsidRPr="009146F9">
              <w:rPr>
                <w:rFonts w:ascii="Gill Sans MT" w:hAnsi="Gill Sans MT"/>
              </w:rPr>
              <w:t>100,000 in 2014-</w:t>
            </w:r>
            <w:r w:rsidRPr="009146F9">
              <w:rPr>
                <w:rFonts w:ascii="Gill Sans MT" w:hAnsi="Gill Sans MT"/>
              </w:rPr>
              <w:t>15 (no statistically significant change).</w:t>
            </w:r>
            <w:r w:rsidRPr="009146F9">
              <w:rPr>
                <w:rStyle w:val="FootnoteReference"/>
                <w:rFonts w:ascii="Gill Sans MT" w:hAnsi="Gill Sans MT"/>
              </w:rPr>
              <w:footnoteReference w:id="14"/>
            </w:r>
            <w:r w:rsidRPr="009146F9">
              <w:rPr>
                <w:rFonts w:ascii="Gill Sans MT" w:hAnsi="Gill Sans MT"/>
              </w:rPr>
              <w:t xml:space="preserve"> </w:t>
            </w:r>
          </w:p>
          <w:p w:rsidR="00A14760" w:rsidRPr="009146F9" w:rsidRDefault="00A14760" w:rsidP="00FC47DF">
            <w:pPr>
              <w:keepNext/>
              <w:rPr>
                <w:rFonts w:ascii="Gill Sans MT" w:hAnsi="Gill Sans MT"/>
              </w:rPr>
            </w:pPr>
          </w:p>
        </w:tc>
        <w:tc>
          <w:tcPr>
            <w:tcW w:w="1411" w:type="pct"/>
          </w:tcPr>
          <w:p w:rsidR="00A14760" w:rsidRPr="009146F9" w:rsidRDefault="00A14760" w:rsidP="00FC47DF">
            <w:pPr>
              <w:keepNext/>
              <w:ind w:left="34"/>
              <w:rPr>
                <w:rFonts w:ascii="Gill Sans MT" w:hAnsi="Gill Sans MT"/>
                <w:lang w:eastAsia="en-AU"/>
              </w:rPr>
            </w:pPr>
            <w:r w:rsidRPr="009146F9">
              <w:rPr>
                <w:rFonts w:ascii="Gill Sans MT" w:hAnsi="Gill Sans MT"/>
              </w:rPr>
              <w:t xml:space="preserve">Based on coding using only primary diagnosis of </w:t>
            </w:r>
            <w:r w:rsidRPr="009146F9">
              <w:rPr>
                <w:rFonts w:ascii="Gill Sans MT" w:hAnsi="Gill Sans MT"/>
                <w:lang w:eastAsia="en-AU"/>
              </w:rPr>
              <w:t>ICD-10 3 digit codes T51 (Toxic effect of alcohol) or F10 (Mental and behavioural disorders due to use of alcohol) so likely to significantly underestimate indicator. National data indicates approximately 8 per cent.</w:t>
            </w:r>
          </w:p>
        </w:tc>
      </w:tr>
      <w:tr w:rsidR="00A14760" w:rsidRPr="009146F9" w:rsidTr="00E44337">
        <w:tc>
          <w:tcPr>
            <w:tcW w:w="688" w:type="pct"/>
            <w:vMerge/>
          </w:tcPr>
          <w:p w:rsidR="00A14760" w:rsidRPr="009146F9" w:rsidRDefault="00A14760" w:rsidP="00FC47DF">
            <w:pPr>
              <w:pStyle w:val="ListParagraph"/>
              <w:keepNext/>
              <w:numPr>
                <w:ilvl w:val="6"/>
                <w:numId w:val="12"/>
              </w:numPr>
              <w:tabs>
                <w:tab w:val="clear" w:pos="2520"/>
                <w:tab w:val="num" w:pos="284"/>
              </w:tabs>
              <w:ind w:left="284" w:hanging="284"/>
              <w:rPr>
                <w:rFonts w:ascii="Gill Sans MT" w:hAnsi="Gill Sans MT" w:cstheme="minorHAnsi"/>
              </w:rPr>
            </w:pPr>
          </w:p>
        </w:tc>
        <w:tc>
          <w:tcPr>
            <w:tcW w:w="800" w:type="pct"/>
            <w:vMerge/>
          </w:tcPr>
          <w:p w:rsidR="00A14760" w:rsidRPr="009146F9" w:rsidRDefault="00A14760" w:rsidP="00FC47DF">
            <w:pPr>
              <w:keepNext/>
              <w:autoSpaceDE w:val="0"/>
              <w:autoSpaceDN w:val="0"/>
              <w:adjustRightInd w:val="0"/>
              <w:rPr>
                <w:rFonts w:ascii="Gill Sans MT" w:hAnsi="Gill Sans MT"/>
              </w:rPr>
            </w:pP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Number of alcohol-related ambulance attendances</w:t>
            </w:r>
          </w:p>
        </w:tc>
        <w:tc>
          <w:tcPr>
            <w:tcW w:w="1200"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163 ambulance call outs per month involving alcohol in 2015.</w:t>
            </w:r>
          </w:p>
          <w:p w:rsidR="00A14760" w:rsidRPr="009146F9" w:rsidRDefault="00A14760" w:rsidP="00FC47DF">
            <w:pPr>
              <w:keepNext/>
              <w:rPr>
                <w:rFonts w:ascii="Gill Sans MT" w:hAnsi="Gill Sans MT"/>
              </w:rPr>
            </w:pPr>
          </w:p>
        </w:tc>
        <w:tc>
          <w:tcPr>
            <w:tcW w:w="1411" w:type="pct"/>
          </w:tcPr>
          <w:p w:rsidR="00A14760" w:rsidRPr="009146F9" w:rsidRDefault="00A14760" w:rsidP="00FC47DF">
            <w:pPr>
              <w:keepNext/>
              <w:ind w:left="34"/>
              <w:rPr>
                <w:rFonts w:ascii="Gill Sans MT" w:hAnsi="Gill Sans MT" w:cs="Times New Roman"/>
              </w:rPr>
            </w:pPr>
            <w:r w:rsidRPr="009146F9">
              <w:rPr>
                <w:rFonts w:ascii="Gill Sans MT" w:hAnsi="Gill Sans MT"/>
              </w:rPr>
              <w:t>No trend data available</w:t>
            </w:r>
          </w:p>
        </w:tc>
      </w:tr>
      <w:tr w:rsidR="00A14760" w:rsidRPr="009146F9" w:rsidTr="00E44337">
        <w:tc>
          <w:tcPr>
            <w:tcW w:w="688" w:type="pct"/>
            <w:vMerge/>
          </w:tcPr>
          <w:p w:rsidR="00A14760" w:rsidRPr="009146F9" w:rsidRDefault="00A14760" w:rsidP="00FC47DF">
            <w:pPr>
              <w:pStyle w:val="ListParagraph"/>
              <w:keepNext/>
              <w:ind w:left="284"/>
              <w:rPr>
                <w:rFonts w:ascii="Gill Sans MT" w:hAnsi="Gill Sans MT" w:cstheme="minorHAnsi"/>
              </w:rPr>
            </w:pPr>
          </w:p>
        </w:tc>
        <w:tc>
          <w:tcPr>
            <w:tcW w:w="800"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Less accidents where alcohol is a contributing factor</w:t>
            </w: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 xml:space="preserve">Number and rate of alcohol-related motor vehicle crashes  </w:t>
            </w:r>
          </w:p>
        </w:tc>
        <w:tc>
          <w:tcPr>
            <w:tcW w:w="1200" w:type="pct"/>
          </w:tcPr>
          <w:p w:rsidR="00A14760" w:rsidRPr="009146F9" w:rsidRDefault="00A14760" w:rsidP="00FC47DF">
            <w:pPr>
              <w:pStyle w:val="ListParagraph"/>
              <w:keepNext/>
              <w:numPr>
                <w:ilvl w:val="0"/>
                <w:numId w:val="46"/>
              </w:numPr>
              <w:ind w:left="318" w:hanging="284"/>
              <w:rPr>
                <w:rFonts w:ascii="Gill Sans MT" w:hAnsi="Gill Sans MT"/>
              </w:rPr>
            </w:pPr>
            <w:r w:rsidRPr="009146F9">
              <w:rPr>
                <w:rFonts w:ascii="Gill Sans MT" w:hAnsi="Gill Sans MT"/>
              </w:rPr>
              <w:t xml:space="preserve">Proportion of serious casualty road crashes involving alcohol fell from 25.1per cent in 2010 to 15.4 per cent in 2015 for all ages. </w:t>
            </w:r>
          </w:p>
          <w:p w:rsidR="00A14760" w:rsidRPr="009146F9" w:rsidRDefault="00A14760" w:rsidP="00FC47DF">
            <w:pPr>
              <w:pStyle w:val="ListParagraph"/>
              <w:keepNext/>
              <w:numPr>
                <w:ilvl w:val="0"/>
                <w:numId w:val="46"/>
              </w:numPr>
              <w:ind w:left="318" w:hanging="283"/>
              <w:rPr>
                <w:rFonts w:ascii="Gill Sans MT" w:hAnsi="Gill Sans MT"/>
              </w:rPr>
            </w:pPr>
            <w:r w:rsidRPr="009146F9">
              <w:rPr>
                <w:rFonts w:ascii="Gill Sans MT" w:hAnsi="Gill Sans MT"/>
              </w:rPr>
              <w:t>For 17-29 year olds the proportion fell from 43.8 per cent in 2010 to 17.9 per cent in 2015.</w:t>
            </w:r>
            <w:r w:rsidRPr="009146F9">
              <w:rPr>
                <w:rStyle w:val="FootnoteReference"/>
                <w:rFonts w:ascii="Gill Sans MT" w:hAnsi="Gill Sans MT"/>
              </w:rPr>
              <w:footnoteReference w:id="15"/>
            </w:r>
            <w:r w:rsidRPr="009146F9">
              <w:rPr>
                <w:rFonts w:ascii="Gill Sans MT" w:hAnsi="Gill Sans MT"/>
              </w:rPr>
              <w:t xml:space="preserve">  </w:t>
            </w:r>
          </w:p>
        </w:tc>
        <w:tc>
          <w:tcPr>
            <w:tcW w:w="1411" w:type="pct"/>
          </w:tcPr>
          <w:p w:rsidR="00A14760" w:rsidRPr="009146F9" w:rsidRDefault="00A14760" w:rsidP="00FC47DF">
            <w:pPr>
              <w:keepNext/>
              <w:autoSpaceDE w:val="0"/>
              <w:autoSpaceDN w:val="0"/>
              <w:adjustRightInd w:val="0"/>
              <w:rPr>
                <w:rFonts w:ascii="Gill Sans MT" w:hAnsi="Gill Sans MT"/>
              </w:rPr>
            </w:pPr>
          </w:p>
        </w:tc>
      </w:tr>
      <w:tr w:rsidR="00A14760" w:rsidRPr="009146F9" w:rsidTr="00E44337">
        <w:tc>
          <w:tcPr>
            <w:tcW w:w="688" w:type="pct"/>
            <w:vMerge/>
          </w:tcPr>
          <w:p w:rsidR="00A14760" w:rsidRPr="009146F9" w:rsidRDefault="00A14760" w:rsidP="00FC47DF">
            <w:pPr>
              <w:pStyle w:val="ListParagraph"/>
              <w:keepNext/>
              <w:ind w:left="284"/>
              <w:rPr>
                <w:rFonts w:ascii="Gill Sans MT" w:hAnsi="Gill Sans MT" w:cstheme="minorHAnsi"/>
              </w:rPr>
            </w:pPr>
          </w:p>
        </w:tc>
        <w:tc>
          <w:tcPr>
            <w:tcW w:w="800" w:type="pct"/>
            <w:vMerge w:val="restar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 xml:space="preserve">Less deaths where alcohol is identified as a contributing factor </w:t>
            </w: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Number and rate of motor vehicle fatalities where alcohol is a factor</w:t>
            </w:r>
          </w:p>
          <w:p w:rsidR="00A14760" w:rsidRPr="009146F9" w:rsidRDefault="00A14760" w:rsidP="00FC47DF">
            <w:pPr>
              <w:keepNext/>
              <w:autoSpaceDE w:val="0"/>
              <w:autoSpaceDN w:val="0"/>
              <w:adjustRightInd w:val="0"/>
              <w:ind w:left="318" w:hanging="283"/>
              <w:rPr>
                <w:rFonts w:ascii="Gill Sans MT" w:hAnsi="Gill Sans MT"/>
              </w:rPr>
            </w:pPr>
          </w:p>
          <w:p w:rsidR="00A14760" w:rsidRPr="009146F9" w:rsidRDefault="00A14760" w:rsidP="00FC47DF">
            <w:pPr>
              <w:keepNext/>
              <w:autoSpaceDE w:val="0"/>
              <w:autoSpaceDN w:val="0"/>
              <w:adjustRightInd w:val="0"/>
              <w:ind w:left="318" w:hanging="283"/>
              <w:rPr>
                <w:rFonts w:ascii="Gill Sans MT" w:hAnsi="Gill Sans MT"/>
              </w:rPr>
            </w:pPr>
          </w:p>
        </w:tc>
        <w:tc>
          <w:tcPr>
            <w:tcW w:w="1200" w:type="pct"/>
          </w:tcPr>
          <w:p w:rsidR="00A14760" w:rsidRPr="009146F9" w:rsidRDefault="00A14760" w:rsidP="00FC47DF">
            <w:pPr>
              <w:pStyle w:val="BodyCopy"/>
              <w:keepNext/>
              <w:numPr>
                <w:ilvl w:val="0"/>
                <w:numId w:val="25"/>
              </w:numPr>
              <w:spacing w:after="0" w:line="240" w:lineRule="auto"/>
              <w:ind w:left="316" w:hanging="284"/>
            </w:pPr>
            <w:r w:rsidRPr="009146F9">
              <w:t>There were 51 road fatalities and serious injuries involving alcohol in 2015</w:t>
            </w:r>
            <w:r w:rsidR="00A31C9C" w:rsidRPr="009146F9">
              <w:rPr>
                <w:rStyle w:val="FootnoteReference"/>
              </w:rPr>
              <w:footnoteReference w:id="16"/>
            </w:r>
            <w:r w:rsidR="00A31C9C" w:rsidRPr="009146F9">
              <w:t xml:space="preserve"> </w:t>
            </w:r>
          </w:p>
          <w:p w:rsidR="00A14760" w:rsidRPr="009146F9" w:rsidRDefault="00A14760" w:rsidP="00FC47DF">
            <w:pPr>
              <w:pStyle w:val="BodyCopy"/>
              <w:keepNext/>
              <w:numPr>
                <w:ilvl w:val="0"/>
                <w:numId w:val="25"/>
              </w:numPr>
              <w:spacing w:after="0" w:line="240" w:lineRule="auto"/>
              <w:ind w:left="316" w:hanging="284"/>
            </w:pPr>
            <w:r w:rsidRPr="009146F9">
              <w:t>Among 17-29 year olds 17.9 per cent of road fatalities and serious injuries involve alcohol</w:t>
            </w:r>
            <w:hyperlink w:anchor="_ENREF_14" w:tooltip="Department of State Growth, 2016 #35" w:history="1">
              <w:r w:rsidRPr="009146F9">
                <w:fldChar w:fldCharType="begin"/>
              </w:r>
              <w:r w:rsidRPr="009146F9">
                <w:instrText xml:space="preserve"> ADDIN EN.CITE &lt;EndNote&gt;&lt;Cite&gt;&lt;Author&gt;Department of State Growth&lt;/Author&gt;&lt;Year&gt;2016&lt;/Year&gt;&lt;RecNum&gt;35&lt;/RecNum&gt;&lt;DisplayText&gt;&lt;style face="superscript"&gt;14&lt;/style&gt;&lt;/DisplayText&gt;&lt;record&gt;&lt;rec-number&gt;35&lt;/rec-number&gt;&lt;foreign-keys&gt;&lt;key app="EN" db-id="d20zxx0xf2efe5e29x4vtdtwtetp2wpzsedt"&gt;35&lt;/key&gt;&lt;/foreign-keys&gt;&lt;ref-type name="Unpublished Work"&gt;34&lt;/ref-type&gt;&lt;contributors&gt;&lt;authors&gt;&lt;author&gt;Department of State Growth,&lt;/author&gt;&lt;/authors&gt;&lt;/contributors&gt;&lt;titles&gt;&lt;title&gt;Crash Data, unpublished data&lt;/title&gt;&lt;/titles&gt;&lt;dates&gt;&lt;year&gt;2016&lt;/year&gt;&lt;/dates&gt;&lt;urls&gt;&lt;/urls&gt;&lt;/record&gt;&lt;/Cite&gt;&lt;/EndNote&gt;</w:instrText>
              </w:r>
              <w:r w:rsidRPr="009146F9">
                <w:fldChar w:fldCharType="end"/>
              </w:r>
            </w:hyperlink>
          </w:p>
          <w:p w:rsidR="00A14760" w:rsidRPr="009146F9" w:rsidRDefault="00A14760" w:rsidP="00FC47DF">
            <w:pPr>
              <w:pStyle w:val="ListParagraph"/>
              <w:keepNext/>
              <w:numPr>
                <w:ilvl w:val="0"/>
                <w:numId w:val="25"/>
              </w:numPr>
              <w:tabs>
                <w:tab w:val="left" w:pos="567"/>
              </w:tabs>
              <w:ind w:left="316" w:hanging="284"/>
              <w:rPr>
                <w:rFonts w:ascii="Gill Sans MT" w:hAnsi="Gill Sans MT"/>
              </w:rPr>
            </w:pPr>
            <w:r w:rsidRPr="009146F9">
              <w:rPr>
                <w:rFonts w:ascii="Gill Sans MT" w:hAnsi="Gill Sans MT"/>
              </w:rPr>
              <w:t>There has been a statistically significant (p&lt;0.001) downward trend in the likelihood of serious casualties involving alcohol for all ages of 11.6 per cent  per annum on average between 2008 and 2015, and a decrease of 23.5 per cent per annum on average for 17-29 year olds between 2010-2015</w:t>
            </w:r>
          </w:p>
        </w:tc>
        <w:tc>
          <w:tcPr>
            <w:tcW w:w="1411" w:type="pct"/>
          </w:tcPr>
          <w:p w:rsidR="00A14760" w:rsidRPr="009146F9" w:rsidRDefault="00A14760" w:rsidP="00FC47DF">
            <w:pPr>
              <w:keepNext/>
              <w:rPr>
                <w:rFonts w:ascii="Gill Sans MT" w:hAnsi="Gill Sans MT"/>
              </w:rPr>
            </w:pPr>
          </w:p>
        </w:tc>
      </w:tr>
      <w:tr w:rsidR="00A14760" w:rsidRPr="009146F9" w:rsidTr="00E44337">
        <w:tc>
          <w:tcPr>
            <w:tcW w:w="688" w:type="pct"/>
            <w:vMerge/>
          </w:tcPr>
          <w:p w:rsidR="00A14760" w:rsidRPr="009146F9" w:rsidRDefault="00A14760" w:rsidP="00FC47DF">
            <w:pPr>
              <w:pStyle w:val="ListParagraph"/>
              <w:keepNext/>
              <w:ind w:left="284"/>
              <w:rPr>
                <w:rFonts w:ascii="Gill Sans MT" w:hAnsi="Gill Sans MT" w:cstheme="minorHAnsi"/>
              </w:rPr>
            </w:pPr>
          </w:p>
        </w:tc>
        <w:tc>
          <w:tcPr>
            <w:tcW w:w="800" w:type="pct"/>
            <w:vMerge/>
          </w:tcPr>
          <w:p w:rsidR="00A14760" w:rsidRPr="009146F9" w:rsidRDefault="00A14760" w:rsidP="00FC47DF">
            <w:pPr>
              <w:keepNext/>
              <w:autoSpaceDE w:val="0"/>
              <w:autoSpaceDN w:val="0"/>
              <w:adjustRightInd w:val="0"/>
              <w:rPr>
                <w:rFonts w:ascii="Gill Sans MT" w:hAnsi="Gill Sans MT"/>
              </w:rPr>
            </w:pP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Alcohol-related deaths</w:t>
            </w:r>
          </w:p>
        </w:tc>
        <w:tc>
          <w:tcPr>
            <w:tcW w:w="1200" w:type="pct"/>
          </w:tcPr>
          <w:p w:rsidR="00A14760" w:rsidRPr="009146F9" w:rsidRDefault="00A14760" w:rsidP="00FC47DF">
            <w:pPr>
              <w:pStyle w:val="BodyCopy"/>
              <w:keepNext/>
              <w:spacing w:after="0" w:line="240" w:lineRule="auto"/>
              <w:ind w:left="0" w:right="198"/>
            </w:pPr>
            <w:r w:rsidRPr="009146F9">
              <w:t>Between 2008 and 2012 the</w:t>
            </w:r>
            <w:r w:rsidR="00A31C9C" w:rsidRPr="009146F9">
              <w:t xml:space="preserve">re was an average of 115 deaths each year </w:t>
            </w:r>
            <w:r w:rsidRPr="009146F9">
              <w:t xml:space="preserve">due to </w:t>
            </w:r>
            <w:r w:rsidR="005337C4" w:rsidRPr="009146F9">
              <w:t>alcohol</w:t>
            </w:r>
            <w:r w:rsidRPr="009146F9">
              <w:rPr>
                <w:rStyle w:val="FootnoteReference"/>
              </w:rPr>
              <w:footnoteReference w:id="17"/>
            </w:r>
            <w:r w:rsidRPr="009146F9">
              <w:t>. Men have a significantly higher death rate from alcohol-related disease than women. Rates have not changed significantly over the last decade.</w:t>
            </w:r>
            <w:r w:rsidR="00A31C9C" w:rsidRPr="009146F9">
              <w:t xml:space="preserve"> </w:t>
            </w:r>
          </w:p>
          <w:p w:rsidR="00A14760" w:rsidRPr="009146F9" w:rsidRDefault="00A14760" w:rsidP="00FC47DF">
            <w:pPr>
              <w:keepNext/>
              <w:rPr>
                <w:rFonts w:ascii="Gill Sans MT" w:hAnsi="Gill Sans MT"/>
              </w:rPr>
            </w:pPr>
          </w:p>
        </w:tc>
        <w:tc>
          <w:tcPr>
            <w:tcW w:w="1411" w:type="pct"/>
          </w:tcPr>
          <w:p w:rsidR="00A14760" w:rsidRPr="009146F9" w:rsidRDefault="00A14760" w:rsidP="00FC47DF">
            <w:pPr>
              <w:keepNext/>
              <w:rPr>
                <w:rFonts w:ascii="Gill Sans MT" w:hAnsi="Gill Sans MT"/>
              </w:rPr>
            </w:pPr>
          </w:p>
        </w:tc>
      </w:tr>
      <w:tr w:rsidR="00A14760" w:rsidRPr="009146F9" w:rsidTr="00E44337">
        <w:tc>
          <w:tcPr>
            <w:tcW w:w="688" w:type="pct"/>
            <w:vMerge/>
          </w:tcPr>
          <w:p w:rsidR="00A14760" w:rsidRPr="009146F9" w:rsidRDefault="00A14760" w:rsidP="00FC47DF">
            <w:pPr>
              <w:pStyle w:val="ListParagraph"/>
              <w:keepNext/>
              <w:ind w:left="284"/>
              <w:rPr>
                <w:rFonts w:ascii="Gill Sans MT" w:hAnsi="Gill Sans MT" w:cstheme="minorHAnsi"/>
              </w:rPr>
            </w:pPr>
          </w:p>
        </w:tc>
        <w:tc>
          <w:tcPr>
            <w:tcW w:w="800"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Access to treatment</w:t>
            </w: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 xml:space="preserve">Number of people in treatment services by principal drug of concern </w:t>
            </w:r>
          </w:p>
        </w:tc>
        <w:tc>
          <w:tcPr>
            <w:tcW w:w="1200"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Alcohol accounted for 40.7 per cent of closed treatment episodes in 2014-15 (1 200 closed treatment episodes)</w:t>
            </w:r>
            <w:r w:rsidRPr="009146F9">
              <w:rPr>
                <w:rStyle w:val="FootnoteReference"/>
                <w:rFonts w:ascii="Gill Sans MT" w:hAnsi="Gill Sans MT"/>
              </w:rPr>
              <w:footnoteReference w:id="18"/>
            </w:r>
            <w:r w:rsidRPr="009146F9">
              <w:rPr>
                <w:rFonts w:ascii="Gill Sans MT" w:hAnsi="Gill Sans MT"/>
              </w:rPr>
              <w:t>. This is consistent with previous years.</w:t>
            </w:r>
          </w:p>
        </w:tc>
        <w:tc>
          <w:tcPr>
            <w:tcW w:w="141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 xml:space="preserve">Access to treatment can be confounded by many factors including number and type of treatment services available; awareness of available services; access; willingness of people to enter into treatment, etc and this measure has been left in the table, but cannot be taken as a true indicator or otherwise of the effectiveness of </w:t>
            </w:r>
            <w:r w:rsidR="005337C4" w:rsidRPr="009146F9">
              <w:rPr>
                <w:rFonts w:ascii="Gill Sans MT" w:hAnsi="Gill Sans MT"/>
              </w:rPr>
              <w:t>this aim.</w:t>
            </w:r>
          </w:p>
          <w:p w:rsidR="00A14760" w:rsidRPr="009146F9" w:rsidRDefault="00A14760" w:rsidP="00FC47DF">
            <w:pPr>
              <w:keepNext/>
              <w:autoSpaceDE w:val="0"/>
              <w:autoSpaceDN w:val="0"/>
              <w:adjustRightInd w:val="0"/>
              <w:rPr>
                <w:rFonts w:ascii="Gill Sans MT" w:hAnsi="Gill Sans MT"/>
              </w:rPr>
            </w:pPr>
          </w:p>
        </w:tc>
      </w:tr>
      <w:tr w:rsidR="00A14760" w:rsidRPr="009146F9" w:rsidTr="00E44337">
        <w:tc>
          <w:tcPr>
            <w:tcW w:w="688" w:type="pct"/>
          </w:tcPr>
          <w:p w:rsidR="00A14760" w:rsidRPr="009146F9" w:rsidRDefault="00A14760" w:rsidP="00FC47DF">
            <w:pPr>
              <w:pStyle w:val="ListParagraph"/>
              <w:keepNext/>
              <w:numPr>
                <w:ilvl w:val="6"/>
                <w:numId w:val="12"/>
              </w:numPr>
              <w:tabs>
                <w:tab w:val="clear" w:pos="2520"/>
                <w:tab w:val="num" w:pos="284"/>
              </w:tabs>
              <w:ind w:left="284" w:hanging="284"/>
              <w:rPr>
                <w:rFonts w:ascii="Gill Sans MT" w:hAnsi="Gill Sans MT"/>
              </w:rPr>
            </w:pPr>
            <w:r w:rsidRPr="009146F9">
              <w:rPr>
                <w:rFonts w:ascii="Gill Sans MT" w:hAnsi="Gill Sans MT" w:cstheme="minorHAnsi"/>
              </w:rPr>
              <w:t>Reduce the level of social, economic, health and legal costs related to the misuse of alcohol</w:t>
            </w:r>
          </w:p>
        </w:tc>
        <w:tc>
          <w:tcPr>
            <w:tcW w:w="800" w:type="pct"/>
          </w:tcPr>
          <w:p w:rsidR="00A14760" w:rsidRPr="009146F9" w:rsidRDefault="00A14760" w:rsidP="00FC47DF">
            <w:pPr>
              <w:keepNext/>
              <w:rPr>
                <w:rFonts w:ascii="Gill Sans MT" w:hAnsi="Gill Sans MT"/>
              </w:rPr>
            </w:pPr>
          </w:p>
        </w:tc>
        <w:tc>
          <w:tcPr>
            <w:tcW w:w="901" w:type="pct"/>
          </w:tcPr>
          <w:p w:rsidR="00A14760" w:rsidRPr="009146F9" w:rsidRDefault="00A14760" w:rsidP="00FC47DF">
            <w:pPr>
              <w:keepNext/>
              <w:rPr>
                <w:rFonts w:ascii="Gill Sans MT" w:hAnsi="Gill Sans MT"/>
              </w:rPr>
            </w:pPr>
            <w:r w:rsidRPr="009146F9">
              <w:rPr>
                <w:rFonts w:ascii="Gill Sans MT" w:hAnsi="Gill Sans MT"/>
              </w:rPr>
              <w:t>No indicators or data currently available in Tasmania</w:t>
            </w:r>
          </w:p>
        </w:tc>
        <w:tc>
          <w:tcPr>
            <w:tcW w:w="1200" w:type="pct"/>
          </w:tcPr>
          <w:p w:rsidR="00A14760" w:rsidRPr="009146F9" w:rsidRDefault="00A14760" w:rsidP="00FC47DF">
            <w:pPr>
              <w:keepNext/>
              <w:rPr>
                <w:rFonts w:ascii="Gill Sans MT" w:hAnsi="Gill Sans MT"/>
              </w:rPr>
            </w:pPr>
          </w:p>
        </w:tc>
        <w:tc>
          <w:tcPr>
            <w:tcW w:w="1411" w:type="pct"/>
          </w:tcPr>
          <w:p w:rsidR="00A14760" w:rsidRPr="009146F9" w:rsidRDefault="00A14760" w:rsidP="00FC47DF">
            <w:pPr>
              <w:keepNext/>
              <w:rPr>
                <w:rFonts w:ascii="Gill Sans MT" w:hAnsi="Gill Sans MT"/>
              </w:rPr>
            </w:pPr>
            <w:r w:rsidRPr="009146F9">
              <w:rPr>
                <w:rFonts w:ascii="Gill Sans MT" w:hAnsi="Gill Sans MT"/>
              </w:rPr>
              <w:t xml:space="preserve">Whilst there are no direct costings for Tasmania, the new TAAF will consider whether a range of possible </w:t>
            </w:r>
            <w:r w:rsidR="00E10707" w:rsidRPr="009146F9">
              <w:rPr>
                <w:rFonts w:ascii="Gill Sans MT" w:hAnsi="Gill Sans MT"/>
              </w:rPr>
              <w:t xml:space="preserve">measures </w:t>
            </w:r>
            <w:r w:rsidRPr="009146F9">
              <w:rPr>
                <w:rFonts w:ascii="Gill Sans MT" w:hAnsi="Gill Sans MT"/>
              </w:rPr>
              <w:t>can be identified which have the potential to provide indicators related to this aim, e.g. the p</w:t>
            </w:r>
            <w:r w:rsidR="004E47B9" w:rsidRPr="009146F9">
              <w:rPr>
                <w:rFonts w:ascii="Gill Sans MT" w:hAnsi="Gill Sans MT"/>
              </w:rPr>
              <w:t>roportion</w:t>
            </w:r>
            <w:r w:rsidRPr="009146F9">
              <w:rPr>
                <w:rFonts w:ascii="Gill Sans MT" w:hAnsi="Gill Sans MT"/>
              </w:rPr>
              <w:t xml:space="preserve"> of court times related to alcohol, the p</w:t>
            </w:r>
            <w:r w:rsidR="004E47B9" w:rsidRPr="009146F9">
              <w:rPr>
                <w:rFonts w:ascii="Gill Sans MT" w:hAnsi="Gill Sans MT"/>
              </w:rPr>
              <w:t>roportion</w:t>
            </w:r>
            <w:r w:rsidRPr="009146F9">
              <w:rPr>
                <w:rFonts w:ascii="Gill Sans MT" w:hAnsi="Gill Sans MT"/>
              </w:rPr>
              <w:t xml:space="preserve"> of prisoners in the Tasmanian prison system with alcohol related offences, etc.</w:t>
            </w:r>
          </w:p>
          <w:p w:rsidR="00A14760" w:rsidRPr="009146F9" w:rsidRDefault="00A14760" w:rsidP="00FC47DF">
            <w:pPr>
              <w:keepNext/>
              <w:rPr>
                <w:rFonts w:ascii="Gill Sans MT" w:hAnsi="Gill Sans MT"/>
              </w:rPr>
            </w:pPr>
            <w:r w:rsidRPr="009146F9">
              <w:rPr>
                <w:rFonts w:ascii="Gill Sans MT" w:hAnsi="Gill Sans MT"/>
              </w:rPr>
              <w:t xml:space="preserve">  </w:t>
            </w:r>
          </w:p>
        </w:tc>
      </w:tr>
      <w:tr w:rsidR="00A14760" w:rsidRPr="009146F9" w:rsidTr="00E44337">
        <w:tc>
          <w:tcPr>
            <w:tcW w:w="688" w:type="pct"/>
            <w:vMerge w:val="restart"/>
          </w:tcPr>
          <w:p w:rsidR="00A14760" w:rsidRPr="009146F9" w:rsidRDefault="00A14760" w:rsidP="00FC47DF">
            <w:pPr>
              <w:pStyle w:val="ListParagraph"/>
              <w:keepNext/>
              <w:numPr>
                <w:ilvl w:val="6"/>
                <w:numId w:val="12"/>
              </w:numPr>
              <w:tabs>
                <w:tab w:val="clear" w:pos="2520"/>
                <w:tab w:val="num" w:pos="284"/>
              </w:tabs>
              <w:ind w:left="284" w:hanging="284"/>
              <w:rPr>
                <w:rFonts w:ascii="Gill Sans MT" w:hAnsi="Gill Sans MT" w:cstheme="minorHAnsi"/>
              </w:rPr>
            </w:pPr>
            <w:r w:rsidRPr="009146F9">
              <w:rPr>
                <w:rFonts w:ascii="Gill Sans MT" w:hAnsi="Gill Sans MT" w:cstheme="minorHAnsi"/>
              </w:rPr>
              <w:t>Reduce the prevalence of violence, including family violence, disruption, antisocial behaviour and crime related to the misuse of alcohol</w:t>
            </w:r>
          </w:p>
        </w:tc>
        <w:tc>
          <w:tcPr>
            <w:tcW w:w="800" w:type="pct"/>
          </w:tcPr>
          <w:p w:rsidR="00A14760" w:rsidRPr="009146F9" w:rsidRDefault="00A14760" w:rsidP="00FC47DF">
            <w:pPr>
              <w:keepNext/>
              <w:rPr>
                <w:rFonts w:ascii="Gill Sans MT" w:hAnsi="Gill Sans MT"/>
              </w:rPr>
            </w:pPr>
            <w:r w:rsidRPr="009146F9">
              <w:rPr>
                <w:rFonts w:ascii="Gill Sans MT" w:hAnsi="Gill Sans MT"/>
              </w:rPr>
              <w:t>Less violence</w:t>
            </w:r>
          </w:p>
        </w:tc>
        <w:tc>
          <w:tcPr>
            <w:tcW w:w="901" w:type="pct"/>
          </w:tcPr>
          <w:p w:rsidR="00A14760" w:rsidRPr="009146F9" w:rsidRDefault="00A14760" w:rsidP="00FC47DF">
            <w:pPr>
              <w:keepNext/>
              <w:rPr>
                <w:rFonts w:ascii="Gill Sans MT" w:hAnsi="Gill Sans MT"/>
              </w:rPr>
            </w:pPr>
            <w:r w:rsidRPr="009146F9">
              <w:rPr>
                <w:rFonts w:ascii="Gill Sans MT" w:hAnsi="Gill Sans MT"/>
              </w:rPr>
              <w:t>Community perception of safety and public order</w:t>
            </w:r>
          </w:p>
        </w:tc>
        <w:tc>
          <w:tcPr>
            <w:tcW w:w="1200" w:type="pct"/>
          </w:tcPr>
          <w:p w:rsidR="00A14760" w:rsidRPr="009146F9" w:rsidRDefault="00A14760" w:rsidP="00FC47DF">
            <w:pPr>
              <w:pStyle w:val="ListParagraph"/>
              <w:keepNext/>
              <w:numPr>
                <w:ilvl w:val="0"/>
                <w:numId w:val="47"/>
              </w:numPr>
              <w:ind w:left="316" w:hanging="316"/>
              <w:rPr>
                <w:rFonts w:ascii="Gill Sans MT" w:hAnsi="Gill Sans MT"/>
              </w:rPr>
            </w:pPr>
            <w:r w:rsidRPr="009146F9">
              <w:rPr>
                <w:rFonts w:ascii="Gill Sans MT" w:hAnsi="Gill Sans MT"/>
              </w:rPr>
              <w:t xml:space="preserve">The number of people </w:t>
            </w:r>
            <w:r w:rsidR="00A8125A" w:rsidRPr="009146F9">
              <w:rPr>
                <w:rFonts w:ascii="Gill Sans MT" w:hAnsi="Gill Sans MT"/>
              </w:rPr>
              <w:t xml:space="preserve">in Tasmania </w:t>
            </w:r>
            <w:r w:rsidRPr="009146F9">
              <w:rPr>
                <w:rFonts w:ascii="Gill Sans MT" w:hAnsi="Gill Sans MT"/>
              </w:rPr>
              <w:t xml:space="preserve">who experienced physical assault </w:t>
            </w:r>
            <w:r w:rsidR="00B92711" w:rsidRPr="009146F9">
              <w:rPr>
                <w:rFonts w:ascii="Gill Sans MT" w:hAnsi="Gill Sans MT"/>
              </w:rPr>
              <w:t>and reported</w:t>
            </w:r>
            <w:r w:rsidRPr="009146F9">
              <w:rPr>
                <w:rFonts w:ascii="Gill Sans MT" w:hAnsi="Gill Sans MT"/>
              </w:rPr>
              <w:t xml:space="preserve"> alcohol or any other substance </w:t>
            </w:r>
            <w:r w:rsidR="00B92711" w:rsidRPr="009146F9">
              <w:rPr>
                <w:rFonts w:ascii="Gill Sans MT" w:hAnsi="Gill Sans MT"/>
              </w:rPr>
              <w:t xml:space="preserve">having </w:t>
            </w:r>
            <w:r w:rsidRPr="009146F9">
              <w:rPr>
                <w:rFonts w:ascii="Gill Sans MT" w:hAnsi="Gill Sans MT"/>
              </w:rPr>
              <w:t>contributed to the incident has reduced since 2010-11 from 10,300 people to  9,000 in 2014-15</w:t>
            </w:r>
            <w:r w:rsidRPr="009146F9">
              <w:rPr>
                <w:rStyle w:val="FootnoteReference"/>
                <w:rFonts w:ascii="Gill Sans MT" w:hAnsi="Gill Sans MT"/>
              </w:rPr>
              <w:footnoteReference w:id="19"/>
            </w:r>
            <w:r w:rsidRPr="009146F9">
              <w:rPr>
                <w:rFonts w:ascii="Gill Sans MT" w:hAnsi="Gill Sans MT"/>
              </w:rPr>
              <w:t xml:space="preserve"> </w:t>
            </w:r>
          </w:p>
          <w:p w:rsidR="00A14760" w:rsidRPr="009146F9" w:rsidRDefault="00A14760" w:rsidP="00FC47DF">
            <w:pPr>
              <w:pStyle w:val="ListParagraph"/>
              <w:keepNext/>
              <w:numPr>
                <w:ilvl w:val="0"/>
                <w:numId w:val="47"/>
              </w:numPr>
              <w:ind w:left="316" w:hanging="316"/>
              <w:rPr>
                <w:rFonts w:ascii="Gill Sans MT" w:hAnsi="Gill Sans MT"/>
              </w:rPr>
            </w:pPr>
            <w:r w:rsidRPr="009146F9">
              <w:rPr>
                <w:rFonts w:ascii="Gill Sans MT" w:hAnsi="Gill Sans MT"/>
              </w:rPr>
              <w:t>The proportion of people</w:t>
            </w:r>
            <w:r w:rsidR="00A8125A" w:rsidRPr="009146F9">
              <w:rPr>
                <w:rFonts w:ascii="Gill Sans MT" w:hAnsi="Gill Sans MT"/>
              </w:rPr>
              <w:t xml:space="preserve"> in Tasmania</w:t>
            </w:r>
            <w:r w:rsidRPr="009146F9">
              <w:rPr>
                <w:rFonts w:ascii="Gill Sans MT" w:hAnsi="Gill Sans MT"/>
              </w:rPr>
              <w:t xml:space="preserve"> who believed alcohol or any other substance contributed </w:t>
            </w:r>
            <w:r w:rsidRPr="009146F9">
              <w:rPr>
                <w:rStyle w:val="FootnoteReference"/>
                <w:rFonts w:ascii="Gill Sans MT" w:hAnsi="Gill Sans MT"/>
              </w:rPr>
              <w:footnoteReference w:id="20"/>
            </w:r>
            <w:r w:rsidRPr="009146F9">
              <w:rPr>
                <w:rFonts w:ascii="Gill Sans MT" w:hAnsi="Gill Sans MT"/>
              </w:rPr>
              <w:t xml:space="preserve"> to a physical assault incident remained steady but did increase from 63.9 per cent </w:t>
            </w:r>
            <w:r w:rsidR="00A8125A" w:rsidRPr="009146F9">
              <w:rPr>
                <w:rFonts w:ascii="Gill Sans MT" w:hAnsi="Gill Sans MT"/>
              </w:rPr>
              <w:t xml:space="preserve">in 2010-11 </w:t>
            </w:r>
            <w:r w:rsidRPr="009146F9">
              <w:rPr>
                <w:rFonts w:ascii="Gill Sans MT" w:hAnsi="Gill Sans MT"/>
              </w:rPr>
              <w:t>to 77.1per cent in 2014-15</w:t>
            </w:r>
          </w:p>
          <w:p w:rsidR="00B92711" w:rsidRPr="009146F9" w:rsidRDefault="00B92711" w:rsidP="00B92711">
            <w:pPr>
              <w:pStyle w:val="ListParagraph"/>
              <w:keepNext/>
              <w:ind w:left="316"/>
              <w:rPr>
                <w:rFonts w:ascii="Gill Sans MT" w:hAnsi="Gill Sans MT"/>
              </w:rPr>
            </w:pPr>
          </w:p>
        </w:tc>
        <w:tc>
          <w:tcPr>
            <w:tcW w:w="1411" w:type="pct"/>
          </w:tcPr>
          <w:p w:rsidR="00A14760" w:rsidRPr="009146F9" w:rsidRDefault="00A14760" w:rsidP="00FC47DF">
            <w:pPr>
              <w:keepNext/>
              <w:rPr>
                <w:rFonts w:ascii="Gill Sans MT" w:hAnsi="Gill Sans MT"/>
              </w:rPr>
            </w:pPr>
          </w:p>
        </w:tc>
      </w:tr>
      <w:tr w:rsidR="00A14760" w:rsidRPr="009146F9" w:rsidTr="00E44337">
        <w:tc>
          <w:tcPr>
            <w:tcW w:w="688" w:type="pct"/>
            <w:vMerge/>
          </w:tcPr>
          <w:p w:rsidR="00A14760" w:rsidRPr="009146F9" w:rsidRDefault="00A14760" w:rsidP="00FC47DF">
            <w:pPr>
              <w:pStyle w:val="ListParagraph"/>
              <w:keepNext/>
              <w:ind w:left="284"/>
              <w:rPr>
                <w:rFonts w:ascii="Gill Sans MT" w:hAnsi="Gill Sans MT" w:cstheme="minorHAnsi"/>
              </w:rPr>
            </w:pPr>
          </w:p>
        </w:tc>
        <w:tc>
          <w:tcPr>
            <w:tcW w:w="800"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Less family violence where alcohol is a factor</w:t>
            </w:r>
          </w:p>
          <w:p w:rsidR="00A14760" w:rsidRPr="009146F9" w:rsidRDefault="00A14760" w:rsidP="00FC47DF">
            <w:pPr>
              <w:keepNext/>
              <w:autoSpaceDE w:val="0"/>
              <w:autoSpaceDN w:val="0"/>
              <w:adjustRightInd w:val="0"/>
              <w:rPr>
                <w:rFonts w:ascii="Gill Sans MT" w:hAnsi="Gill Sans MT"/>
              </w:rPr>
            </w:pPr>
          </w:p>
        </w:tc>
        <w:tc>
          <w:tcPr>
            <w:tcW w:w="901" w:type="pct"/>
          </w:tcPr>
          <w:p w:rsidR="00A14760" w:rsidRPr="009146F9" w:rsidRDefault="00A14760" w:rsidP="00FC47DF">
            <w:pPr>
              <w:keepNext/>
              <w:rPr>
                <w:rFonts w:ascii="Gill Sans MT" w:hAnsi="Gill Sans MT"/>
              </w:rPr>
            </w:pPr>
            <w:r w:rsidRPr="009146F9">
              <w:rPr>
                <w:rFonts w:ascii="Gill Sans MT" w:hAnsi="Gill Sans MT"/>
              </w:rPr>
              <w:t xml:space="preserve">Police-recorded alcohol-related </w:t>
            </w:r>
            <w:r w:rsidR="00733ADB" w:rsidRPr="009146F9">
              <w:rPr>
                <w:rFonts w:ascii="Gill Sans MT" w:hAnsi="Gill Sans MT"/>
              </w:rPr>
              <w:t>family</w:t>
            </w:r>
            <w:r w:rsidRPr="009146F9">
              <w:rPr>
                <w:rFonts w:ascii="Gill Sans MT" w:hAnsi="Gill Sans MT"/>
              </w:rPr>
              <w:t xml:space="preserve"> violence incidents</w:t>
            </w:r>
          </w:p>
        </w:tc>
        <w:tc>
          <w:tcPr>
            <w:tcW w:w="1200" w:type="pct"/>
          </w:tcPr>
          <w:p w:rsidR="00A14760" w:rsidRPr="009146F9" w:rsidRDefault="0055062B" w:rsidP="00FC47DF">
            <w:pPr>
              <w:keepNext/>
              <w:rPr>
                <w:rFonts w:ascii="Gill Sans MT" w:hAnsi="Gill Sans MT"/>
              </w:rPr>
            </w:pPr>
            <w:r w:rsidRPr="009146F9">
              <w:rPr>
                <w:rFonts w:ascii="Gill Sans MT" w:hAnsi="Gill Sans MT"/>
              </w:rPr>
              <w:t>The p</w:t>
            </w:r>
            <w:r w:rsidR="00A14760" w:rsidRPr="009146F9">
              <w:rPr>
                <w:rFonts w:ascii="Gill Sans MT" w:hAnsi="Gill Sans MT"/>
              </w:rPr>
              <w:t xml:space="preserve">roportion of family violence </w:t>
            </w:r>
            <w:r w:rsidR="00733ADB" w:rsidRPr="009146F9">
              <w:rPr>
                <w:rFonts w:ascii="Gill Sans MT" w:hAnsi="Gill Sans MT"/>
              </w:rPr>
              <w:t xml:space="preserve">incidents where offenders </w:t>
            </w:r>
            <w:r w:rsidR="00A14760" w:rsidRPr="009146F9">
              <w:rPr>
                <w:rFonts w:ascii="Gill Sans MT" w:hAnsi="Gill Sans MT"/>
              </w:rPr>
              <w:t>affected by alcohol fell from 30.8 per cent in 2010</w:t>
            </w:r>
            <w:r w:rsidR="005337C4" w:rsidRPr="009146F9">
              <w:rPr>
                <w:rFonts w:ascii="Gill Sans MT" w:hAnsi="Gill Sans MT"/>
              </w:rPr>
              <w:t>-11 to 24.0 per cent in 2015-</w:t>
            </w:r>
            <w:r w:rsidR="00A14760" w:rsidRPr="009146F9">
              <w:rPr>
                <w:rFonts w:ascii="Gill Sans MT" w:hAnsi="Gill Sans MT"/>
              </w:rPr>
              <w:t>16.</w:t>
            </w:r>
            <w:r w:rsidR="00A14760" w:rsidRPr="009146F9">
              <w:rPr>
                <w:rStyle w:val="FootnoteReference"/>
                <w:rFonts w:ascii="Gill Sans MT" w:hAnsi="Gill Sans MT"/>
              </w:rPr>
              <w:footnoteReference w:id="21"/>
            </w:r>
          </w:p>
        </w:tc>
        <w:tc>
          <w:tcPr>
            <w:tcW w:w="1411" w:type="pct"/>
          </w:tcPr>
          <w:p w:rsidR="00A14760" w:rsidRPr="009146F9" w:rsidRDefault="00A14760" w:rsidP="00FC47DF">
            <w:pPr>
              <w:keepNext/>
              <w:rPr>
                <w:rFonts w:ascii="Gill Sans MT" w:hAnsi="Gill Sans MT"/>
              </w:rPr>
            </w:pPr>
          </w:p>
        </w:tc>
      </w:tr>
      <w:tr w:rsidR="00A14760" w:rsidRPr="009146F9" w:rsidTr="00E44337">
        <w:tc>
          <w:tcPr>
            <w:tcW w:w="688" w:type="pct"/>
            <w:vMerge/>
          </w:tcPr>
          <w:p w:rsidR="00A14760" w:rsidRPr="009146F9" w:rsidRDefault="00A14760" w:rsidP="00FC47DF">
            <w:pPr>
              <w:pStyle w:val="ListParagraph"/>
              <w:keepNext/>
              <w:ind w:left="284"/>
              <w:rPr>
                <w:rFonts w:ascii="Gill Sans MT" w:hAnsi="Gill Sans MT" w:cstheme="minorHAnsi"/>
              </w:rPr>
            </w:pPr>
          </w:p>
        </w:tc>
        <w:tc>
          <w:tcPr>
            <w:tcW w:w="800"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Less alcohol-related crime</w:t>
            </w:r>
          </w:p>
          <w:p w:rsidR="00A14760" w:rsidRPr="009146F9" w:rsidRDefault="00A14760" w:rsidP="00FC47DF">
            <w:pPr>
              <w:keepNext/>
              <w:autoSpaceDE w:val="0"/>
              <w:autoSpaceDN w:val="0"/>
              <w:adjustRightInd w:val="0"/>
              <w:rPr>
                <w:rFonts w:ascii="Gill Sans MT" w:hAnsi="Gill Sans MT"/>
              </w:rPr>
            </w:pP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Police</w:t>
            </w:r>
            <w:r w:rsidR="00E12334" w:rsidRPr="009146F9">
              <w:rPr>
                <w:rFonts w:ascii="Gill Sans MT" w:hAnsi="Gill Sans MT"/>
              </w:rPr>
              <w:t>-recorded</w:t>
            </w:r>
            <w:r w:rsidRPr="009146F9">
              <w:rPr>
                <w:rFonts w:ascii="Gill Sans MT" w:hAnsi="Gill Sans MT"/>
              </w:rPr>
              <w:t xml:space="preserve"> public </w:t>
            </w:r>
            <w:r w:rsidR="00E12334" w:rsidRPr="009146F9">
              <w:rPr>
                <w:rFonts w:ascii="Gill Sans MT" w:hAnsi="Gill Sans MT"/>
              </w:rPr>
              <w:t>place assaults where alcohol was involved</w:t>
            </w:r>
          </w:p>
          <w:p w:rsidR="00A14760" w:rsidRPr="009146F9" w:rsidRDefault="00A14760" w:rsidP="00FC47DF">
            <w:pPr>
              <w:keepNext/>
              <w:rPr>
                <w:rFonts w:ascii="Gill Sans MT" w:hAnsi="Gill Sans MT"/>
              </w:rPr>
            </w:pPr>
          </w:p>
        </w:tc>
        <w:tc>
          <w:tcPr>
            <w:tcW w:w="1200" w:type="pct"/>
          </w:tcPr>
          <w:p w:rsidR="00A8125A" w:rsidRPr="009146F9" w:rsidRDefault="00E12334" w:rsidP="00A8125A">
            <w:pPr>
              <w:keepNext/>
              <w:rPr>
                <w:rFonts w:ascii="Gill Sans MT" w:hAnsi="Gill Sans MT"/>
              </w:rPr>
            </w:pPr>
            <w:r w:rsidRPr="009146F9">
              <w:rPr>
                <w:rFonts w:ascii="Gill Sans MT" w:hAnsi="Gill Sans MT"/>
              </w:rPr>
              <w:t xml:space="preserve">From 2012-13 to 2015-16 the percentage of recorded public place assaults involving alcohol </w:t>
            </w:r>
            <w:r w:rsidR="00A8125A" w:rsidRPr="009146F9">
              <w:rPr>
                <w:rFonts w:ascii="Gill Sans MT" w:hAnsi="Gill Sans MT"/>
              </w:rPr>
              <w:t>was</w:t>
            </w:r>
            <w:r w:rsidRPr="009146F9">
              <w:rPr>
                <w:rFonts w:ascii="Gill Sans MT" w:hAnsi="Gill Sans MT"/>
              </w:rPr>
              <w:t xml:space="preserve"> around 30 per cent </w:t>
            </w:r>
            <w:r w:rsidR="00A8125A" w:rsidRPr="009146F9">
              <w:rPr>
                <w:rFonts w:ascii="Gill Sans MT" w:hAnsi="Gill Sans MT"/>
              </w:rPr>
              <w:t>each year</w:t>
            </w:r>
            <w:r w:rsidRPr="009146F9">
              <w:rPr>
                <w:rStyle w:val="FootnoteReference"/>
                <w:rFonts w:ascii="Gill Sans MT" w:hAnsi="Gill Sans MT"/>
              </w:rPr>
              <w:footnoteReference w:id="22"/>
            </w:r>
          </w:p>
          <w:p w:rsidR="00B92711" w:rsidRPr="009146F9" w:rsidRDefault="00B92711" w:rsidP="00A8125A">
            <w:pPr>
              <w:keepNext/>
              <w:rPr>
                <w:rFonts w:ascii="Gill Sans MT" w:hAnsi="Gill Sans MT"/>
              </w:rPr>
            </w:pPr>
          </w:p>
        </w:tc>
        <w:tc>
          <w:tcPr>
            <w:tcW w:w="1411" w:type="pct"/>
          </w:tcPr>
          <w:p w:rsidR="00A14760" w:rsidRPr="009146F9" w:rsidRDefault="00374D63" w:rsidP="00374D63">
            <w:pPr>
              <w:keepNext/>
              <w:rPr>
                <w:rFonts w:ascii="Gill Sans MT" w:hAnsi="Gill Sans MT"/>
              </w:rPr>
            </w:pPr>
            <w:r w:rsidRPr="009146F9">
              <w:rPr>
                <w:rFonts w:ascii="Gill Sans MT" w:hAnsi="Gill Sans MT"/>
              </w:rPr>
              <w:t xml:space="preserve">Information has only been collected since mid-2012, and is based on the perception of police officers.  There </w:t>
            </w:r>
            <w:proofErr w:type="gramStart"/>
            <w:r w:rsidRPr="009146F9">
              <w:rPr>
                <w:rFonts w:ascii="Gill Sans MT" w:hAnsi="Gill Sans MT"/>
              </w:rPr>
              <w:t>is</w:t>
            </w:r>
            <w:proofErr w:type="gramEnd"/>
            <w:r w:rsidRPr="009146F9">
              <w:rPr>
                <w:rFonts w:ascii="Gill Sans MT" w:hAnsi="Gill Sans MT"/>
              </w:rPr>
              <w:t xml:space="preserve"> a high percentage of ‘unknown’ criteria recorded, i.e. between 47.3 to 56.6 per cent. </w:t>
            </w:r>
          </w:p>
        </w:tc>
      </w:tr>
      <w:tr w:rsidR="00A14760" w:rsidRPr="009146F9" w:rsidTr="00E44337">
        <w:tc>
          <w:tcPr>
            <w:tcW w:w="688" w:type="pct"/>
            <w:vMerge w:val="restart"/>
          </w:tcPr>
          <w:p w:rsidR="00A14760" w:rsidRPr="009146F9" w:rsidRDefault="00A14760" w:rsidP="00FC47DF">
            <w:pPr>
              <w:pStyle w:val="ListParagraph"/>
              <w:keepNext/>
              <w:numPr>
                <w:ilvl w:val="6"/>
                <w:numId w:val="12"/>
              </w:numPr>
              <w:tabs>
                <w:tab w:val="clear" w:pos="2520"/>
                <w:tab w:val="num" w:pos="284"/>
              </w:tabs>
              <w:ind w:left="284" w:hanging="284"/>
              <w:rPr>
                <w:rFonts w:ascii="Gill Sans MT" w:hAnsi="Gill Sans MT" w:cstheme="minorHAnsi"/>
              </w:rPr>
            </w:pPr>
            <w:bookmarkStart w:id="15" w:name="_Ref475371632"/>
            <w:r w:rsidRPr="009146F9">
              <w:rPr>
                <w:rFonts w:ascii="Gill Sans MT" w:hAnsi="Gill Sans MT" w:cstheme="minorHAnsi"/>
              </w:rPr>
              <w:t>Reduce the incidence of harmful alcohol use in the Tasmanian community</w:t>
            </w:r>
            <w:bookmarkEnd w:id="15"/>
          </w:p>
        </w:tc>
        <w:tc>
          <w:tcPr>
            <w:tcW w:w="800" w:type="pct"/>
            <w:vMerge w:val="restar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 xml:space="preserve">Less people drinking alcohol at levels that puts them at risk </w:t>
            </w:r>
          </w:p>
          <w:p w:rsidR="00A14760" w:rsidRPr="009146F9" w:rsidRDefault="00A14760" w:rsidP="00FC47DF">
            <w:pPr>
              <w:keepNext/>
              <w:autoSpaceDE w:val="0"/>
              <w:autoSpaceDN w:val="0"/>
              <w:adjustRightInd w:val="0"/>
              <w:rPr>
                <w:rFonts w:ascii="Gill Sans MT" w:hAnsi="Gill Sans MT"/>
              </w:rPr>
            </w:pP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Prevalence of risky alcohol consumption:</w:t>
            </w:r>
          </w:p>
          <w:p w:rsidR="00A14760" w:rsidRPr="009146F9" w:rsidRDefault="00A14760" w:rsidP="00FC47DF">
            <w:pPr>
              <w:pStyle w:val="ListParagraph"/>
              <w:keepNext/>
              <w:numPr>
                <w:ilvl w:val="0"/>
                <w:numId w:val="44"/>
              </w:numPr>
              <w:autoSpaceDE w:val="0"/>
              <w:autoSpaceDN w:val="0"/>
              <w:adjustRightInd w:val="0"/>
              <w:rPr>
                <w:rFonts w:ascii="Gill Sans MT" w:hAnsi="Gill Sans MT"/>
              </w:rPr>
            </w:pPr>
            <w:r w:rsidRPr="009146F9">
              <w:rPr>
                <w:rFonts w:ascii="Gill Sans MT" w:hAnsi="Gill Sans MT"/>
              </w:rPr>
              <w:t>Lifetime risk</w:t>
            </w:r>
          </w:p>
          <w:p w:rsidR="00A14760" w:rsidRPr="009146F9" w:rsidRDefault="00A14760" w:rsidP="00FC47DF">
            <w:pPr>
              <w:pStyle w:val="ListParagraph"/>
              <w:keepNext/>
              <w:numPr>
                <w:ilvl w:val="0"/>
                <w:numId w:val="44"/>
              </w:numPr>
              <w:autoSpaceDE w:val="0"/>
              <w:autoSpaceDN w:val="0"/>
              <w:adjustRightInd w:val="0"/>
              <w:rPr>
                <w:rFonts w:ascii="Gill Sans MT" w:hAnsi="Gill Sans MT"/>
              </w:rPr>
            </w:pPr>
            <w:r w:rsidRPr="009146F9">
              <w:rPr>
                <w:rFonts w:ascii="Gill Sans MT" w:hAnsi="Gill Sans MT"/>
              </w:rPr>
              <w:t xml:space="preserve">Single occasion risk </w:t>
            </w:r>
          </w:p>
        </w:tc>
        <w:tc>
          <w:tcPr>
            <w:tcW w:w="1200" w:type="pct"/>
          </w:tcPr>
          <w:p w:rsidR="00A14760" w:rsidRPr="009146F9" w:rsidRDefault="00A14760" w:rsidP="00FC47DF">
            <w:pPr>
              <w:keepNext/>
              <w:numPr>
                <w:ilvl w:val="0"/>
                <w:numId w:val="44"/>
              </w:numPr>
              <w:ind w:left="318" w:hanging="318"/>
              <w:contextualSpacing/>
              <w:rPr>
                <w:rFonts w:ascii="Gill Sans MT" w:hAnsi="Gill Sans MT"/>
              </w:rPr>
            </w:pPr>
            <w:r w:rsidRPr="009146F9">
              <w:rPr>
                <w:rFonts w:ascii="Gill Sans MT" w:hAnsi="Gill Sans MT"/>
              </w:rPr>
              <w:t xml:space="preserve">Proportion of Tasmanian adults aged 18 and over exceeding NHMRC lifetime risk guideline was 22.7 per cent </w:t>
            </w:r>
            <w:r w:rsidR="00A31C9C" w:rsidRPr="009146F9">
              <w:rPr>
                <w:rFonts w:ascii="Gill Sans MT" w:hAnsi="Gill Sans MT"/>
              </w:rPr>
              <w:t>in 2011-</w:t>
            </w:r>
            <w:r w:rsidRPr="009146F9">
              <w:rPr>
                <w:rFonts w:ascii="Gill Sans MT" w:hAnsi="Gill Sans MT"/>
              </w:rPr>
              <w:t>12 and 18.6 per cent in 2014-15</w:t>
            </w:r>
            <w:r w:rsidRPr="009146F9">
              <w:rPr>
                <w:rStyle w:val="FootnoteReference"/>
                <w:rFonts w:ascii="Gill Sans MT" w:hAnsi="Gill Sans MT"/>
              </w:rPr>
              <w:footnoteReference w:id="23"/>
            </w:r>
            <w:r w:rsidRPr="009146F9">
              <w:rPr>
                <w:rFonts w:ascii="Gill Sans MT" w:hAnsi="Gill Sans MT"/>
                <w:vertAlign w:val="superscript"/>
              </w:rPr>
              <w:t>,</w:t>
            </w:r>
            <w:r w:rsidR="00A31C9C" w:rsidRPr="009146F9">
              <w:rPr>
                <w:rFonts w:ascii="Gill Sans MT" w:hAnsi="Gill Sans MT"/>
                <w:vertAlign w:val="superscript"/>
              </w:rPr>
              <w:t xml:space="preserve"> </w:t>
            </w:r>
            <w:r w:rsidRPr="009146F9">
              <w:rPr>
                <w:rStyle w:val="FootnoteReference"/>
                <w:rFonts w:ascii="Gill Sans MT" w:hAnsi="Gill Sans MT"/>
              </w:rPr>
              <w:footnoteReference w:id="24"/>
            </w:r>
          </w:p>
          <w:p w:rsidR="00A14760" w:rsidRPr="009146F9" w:rsidRDefault="00A14760" w:rsidP="00FC47DF">
            <w:pPr>
              <w:keepNext/>
              <w:numPr>
                <w:ilvl w:val="0"/>
                <w:numId w:val="44"/>
              </w:numPr>
              <w:ind w:left="318" w:hanging="318"/>
              <w:contextualSpacing/>
              <w:rPr>
                <w:rFonts w:ascii="Gill Sans MT" w:hAnsi="Gill Sans MT"/>
              </w:rPr>
            </w:pPr>
            <w:r w:rsidRPr="009146F9">
              <w:rPr>
                <w:rFonts w:ascii="Gill Sans MT" w:hAnsi="Gill Sans MT"/>
              </w:rPr>
              <w:t>Proportion of Tasmanian adults aged 18 and over exceeding NHMRC single occasion risk guidelines was 48.9</w:t>
            </w:r>
            <w:r w:rsidR="00A31C9C" w:rsidRPr="009146F9">
              <w:rPr>
                <w:rFonts w:ascii="Gill Sans MT" w:hAnsi="Gill Sans MT"/>
              </w:rPr>
              <w:t xml:space="preserve"> per cent</w:t>
            </w:r>
            <w:r w:rsidRPr="009146F9">
              <w:rPr>
                <w:rFonts w:ascii="Gill Sans MT" w:hAnsi="Gill Sans MT"/>
              </w:rPr>
              <w:t xml:space="preserve"> in 2011</w:t>
            </w:r>
            <w:r w:rsidR="00A31C9C" w:rsidRPr="009146F9">
              <w:rPr>
                <w:rFonts w:ascii="Gill Sans MT" w:hAnsi="Gill Sans MT"/>
              </w:rPr>
              <w:t>-12 and 49.2 per cent in 2014-</w:t>
            </w:r>
            <w:r w:rsidRPr="009146F9">
              <w:rPr>
                <w:rFonts w:ascii="Gill Sans MT" w:hAnsi="Gill Sans MT"/>
              </w:rPr>
              <w:t>15</w:t>
            </w:r>
            <w:r w:rsidRPr="009146F9">
              <w:rPr>
                <w:rStyle w:val="FootnoteReference"/>
                <w:rFonts w:ascii="Gill Sans MT" w:hAnsi="Gill Sans MT"/>
              </w:rPr>
              <w:footnoteReference w:id="25"/>
            </w:r>
            <w:r w:rsidRPr="009146F9">
              <w:rPr>
                <w:rFonts w:ascii="Gill Sans MT" w:hAnsi="Gill Sans MT"/>
                <w:vertAlign w:val="superscript"/>
              </w:rPr>
              <w:t>,</w:t>
            </w:r>
            <w:r w:rsidR="00A31C9C" w:rsidRPr="009146F9">
              <w:rPr>
                <w:rFonts w:ascii="Gill Sans MT" w:hAnsi="Gill Sans MT"/>
                <w:vertAlign w:val="superscript"/>
              </w:rPr>
              <w:t xml:space="preserve"> </w:t>
            </w:r>
            <w:r w:rsidRPr="009146F9">
              <w:rPr>
                <w:rStyle w:val="FootnoteReference"/>
                <w:rFonts w:ascii="Gill Sans MT" w:hAnsi="Gill Sans MT"/>
              </w:rPr>
              <w:footnoteReference w:id="26"/>
            </w:r>
          </w:p>
          <w:p w:rsidR="00A14760" w:rsidRPr="009146F9" w:rsidRDefault="00A14760" w:rsidP="00FC47DF">
            <w:pPr>
              <w:keepNext/>
              <w:rPr>
                <w:rFonts w:ascii="Gill Sans MT" w:hAnsi="Gill Sans MT"/>
              </w:rPr>
            </w:pPr>
          </w:p>
        </w:tc>
        <w:tc>
          <w:tcPr>
            <w:tcW w:w="1411" w:type="pct"/>
          </w:tcPr>
          <w:p w:rsidR="00A14760" w:rsidRPr="009146F9" w:rsidRDefault="00A14760" w:rsidP="00FC47DF">
            <w:pPr>
              <w:keepNext/>
              <w:rPr>
                <w:rFonts w:ascii="Gill Sans MT" w:hAnsi="Gill Sans MT"/>
              </w:rPr>
            </w:pPr>
          </w:p>
        </w:tc>
      </w:tr>
      <w:tr w:rsidR="00A14760" w:rsidRPr="009146F9" w:rsidTr="00E44337">
        <w:tc>
          <w:tcPr>
            <w:tcW w:w="688" w:type="pct"/>
            <w:vMerge/>
          </w:tcPr>
          <w:p w:rsidR="00A14760" w:rsidRPr="009146F9" w:rsidRDefault="00A14760" w:rsidP="00FC47DF">
            <w:pPr>
              <w:keepNext/>
              <w:rPr>
                <w:rFonts w:ascii="Gill Sans MT" w:hAnsi="Gill Sans MT" w:cstheme="minorHAnsi"/>
              </w:rPr>
            </w:pPr>
          </w:p>
        </w:tc>
        <w:tc>
          <w:tcPr>
            <w:tcW w:w="800" w:type="pct"/>
            <w:vMerge/>
          </w:tcPr>
          <w:p w:rsidR="00A14760" w:rsidRPr="009146F9" w:rsidRDefault="00A14760" w:rsidP="00FC47DF">
            <w:pPr>
              <w:keepNext/>
              <w:autoSpaceDE w:val="0"/>
              <w:autoSpaceDN w:val="0"/>
              <w:adjustRightInd w:val="0"/>
              <w:rPr>
                <w:rFonts w:ascii="Gill Sans MT" w:hAnsi="Gill Sans MT"/>
              </w:rPr>
            </w:pPr>
          </w:p>
        </w:tc>
        <w:tc>
          <w:tcPr>
            <w:tcW w:w="901" w:type="pct"/>
          </w:tcPr>
          <w:p w:rsidR="00A14760" w:rsidRPr="009146F9" w:rsidRDefault="00A14760" w:rsidP="00FC47DF">
            <w:pPr>
              <w:keepNext/>
              <w:rPr>
                <w:rFonts w:ascii="Gill Sans MT" w:hAnsi="Gill Sans MT"/>
              </w:rPr>
            </w:pPr>
            <w:r w:rsidRPr="009146F9">
              <w:rPr>
                <w:rFonts w:ascii="Gill Sans MT" w:hAnsi="Gill Sans MT"/>
              </w:rPr>
              <w:t>Prevalence of young people’s alcohol use</w:t>
            </w:r>
          </w:p>
        </w:tc>
        <w:tc>
          <w:tcPr>
            <w:tcW w:w="1200" w:type="pct"/>
          </w:tcPr>
          <w:p w:rsidR="00A14760" w:rsidRPr="009146F9" w:rsidRDefault="00A14760" w:rsidP="00FC47DF">
            <w:pPr>
              <w:keepNext/>
              <w:numPr>
                <w:ilvl w:val="0"/>
                <w:numId w:val="45"/>
              </w:numPr>
              <w:ind w:left="318" w:hanging="283"/>
              <w:contextualSpacing/>
              <w:rPr>
                <w:rFonts w:ascii="Gill Sans MT" w:hAnsi="Gill Sans MT"/>
              </w:rPr>
            </w:pPr>
            <w:r w:rsidRPr="009146F9">
              <w:rPr>
                <w:rFonts w:ascii="Gill Sans MT" w:hAnsi="Gill Sans MT"/>
              </w:rPr>
              <w:t>Proportion of 12-15 year olds drinking in their lifetime has fallen from 85 per cent in 2008 to 71 per cent in 2014 (significant difference p&lt;0.01) and having drunk in last 7 days has fallen from 21</w:t>
            </w:r>
            <w:r w:rsidR="00A31C9C" w:rsidRPr="009146F9">
              <w:rPr>
                <w:rFonts w:ascii="Gill Sans MT" w:hAnsi="Gill Sans MT"/>
              </w:rPr>
              <w:t xml:space="preserve"> per cent</w:t>
            </w:r>
            <w:r w:rsidRPr="009146F9">
              <w:rPr>
                <w:rFonts w:ascii="Gill Sans MT" w:hAnsi="Gill Sans MT"/>
              </w:rPr>
              <w:t xml:space="preserve"> in 2008 to 10 per cent in 2014 (significant difference p&lt;0.01)</w:t>
            </w:r>
            <w:r w:rsidRPr="009146F9">
              <w:rPr>
                <w:rStyle w:val="FootnoteReference"/>
                <w:rFonts w:ascii="Gill Sans MT" w:hAnsi="Gill Sans MT"/>
              </w:rPr>
              <w:footnoteReference w:id="27"/>
            </w:r>
          </w:p>
          <w:p w:rsidR="00A14760" w:rsidRPr="009146F9" w:rsidRDefault="00A14760" w:rsidP="00FC47DF">
            <w:pPr>
              <w:pStyle w:val="ListParagraph"/>
              <w:keepNext/>
              <w:numPr>
                <w:ilvl w:val="0"/>
                <w:numId w:val="45"/>
              </w:numPr>
              <w:ind w:left="318" w:hanging="283"/>
              <w:rPr>
                <w:rFonts w:ascii="Gill Sans MT" w:hAnsi="Gill Sans MT"/>
              </w:rPr>
            </w:pPr>
            <w:r w:rsidRPr="009146F9">
              <w:rPr>
                <w:rFonts w:ascii="Gill Sans MT" w:hAnsi="Gill Sans MT"/>
              </w:rPr>
              <w:t>Proportion of 16 to17 year olds drinking in their lifetime has fallen from 97 per cent in 2008 to 93 per cent in 2014 (significant difference p&lt;0.05) and having drunk in last 7 days has fallen from 48 per cent in 2008 to 34 per cent in 2014 (significant difference p&lt;0.01)</w:t>
            </w:r>
            <w:r w:rsidRPr="009146F9">
              <w:rPr>
                <w:rStyle w:val="FootnoteReference"/>
                <w:rFonts w:ascii="Gill Sans MT" w:hAnsi="Gill Sans MT"/>
              </w:rPr>
              <w:footnoteReference w:id="28"/>
            </w:r>
          </w:p>
          <w:p w:rsidR="00A14760" w:rsidRPr="009146F9" w:rsidRDefault="00A14760" w:rsidP="00FC47DF">
            <w:pPr>
              <w:pStyle w:val="ListParagraph"/>
              <w:keepNext/>
              <w:ind w:left="318"/>
              <w:rPr>
                <w:rFonts w:ascii="Gill Sans MT" w:hAnsi="Gill Sans MT"/>
              </w:rPr>
            </w:pPr>
          </w:p>
        </w:tc>
        <w:tc>
          <w:tcPr>
            <w:tcW w:w="1411" w:type="pct"/>
          </w:tcPr>
          <w:p w:rsidR="00A14760" w:rsidRPr="009146F9" w:rsidRDefault="00A14760" w:rsidP="00FC47DF">
            <w:pPr>
              <w:keepNext/>
              <w:rPr>
                <w:rFonts w:ascii="Gill Sans MT" w:hAnsi="Gill Sans MT"/>
              </w:rPr>
            </w:pPr>
          </w:p>
        </w:tc>
      </w:tr>
      <w:tr w:rsidR="00A14760" w:rsidRPr="009146F9" w:rsidTr="00E44337">
        <w:tc>
          <w:tcPr>
            <w:tcW w:w="688" w:type="pct"/>
            <w:vMerge/>
          </w:tcPr>
          <w:p w:rsidR="00A14760" w:rsidRPr="009146F9" w:rsidRDefault="00A14760" w:rsidP="00FC47DF">
            <w:pPr>
              <w:keepNext/>
              <w:rPr>
                <w:rFonts w:ascii="Gill Sans MT" w:hAnsi="Gill Sans MT" w:cstheme="minorHAnsi"/>
              </w:rPr>
            </w:pPr>
          </w:p>
        </w:tc>
        <w:tc>
          <w:tcPr>
            <w:tcW w:w="800" w:type="pct"/>
            <w:vMerge/>
          </w:tcPr>
          <w:p w:rsidR="00A14760" w:rsidRPr="009146F9" w:rsidRDefault="00A14760" w:rsidP="00FC47DF">
            <w:pPr>
              <w:keepNext/>
              <w:autoSpaceDE w:val="0"/>
              <w:autoSpaceDN w:val="0"/>
              <w:adjustRightInd w:val="0"/>
              <w:rPr>
                <w:rFonts w:ascii="Gill Sans MT" w:hAnsi="Gill Sans MT"/>
              </w:rPr>
            </w:pPr>
          </w:p>
        </w:tc>
        <w:tc>
          <w:tcPr>
            <w:tcW w:w="901" w:type="pct"/>
          </w:tcPr>
          <w:p w:rsidR="00A14760" w:rsidRPr="009146F9" w:rsidRDefault="00A14760" w:rsidP="00FC47DF">
            <w:pPr>
              <w:keepNext/>
              <w:rPr>
                <w:rFonts w:ascii="Gill Sans MT" w:hAnsi="Gill Sans MT"/>
              </w:rPr>
            </w:pPr>
            <w:r w:rsidRPr="009146F9">
              <w:rPr>
                <w:rFonts w:ascii="Gill Sans MT" w:hAnsi="Gill Sans MT"/>
              </w:rPr>
              <w:t xml:space="preserve">Rates of drinking during pregnancy </w:t>
            </w:r>
          </w:p>
        </w:tc>
        <w:tc>
          <w:tcPr>
            <w:tcW w:w="1200" w:type="pct"/>
          </w:tcPr>
          <w:p w:rsidR="00A14760" w:rsidRPr="009146F9" w:rsidRDefault="00A14760" w:rsidP="00FC47DF">
            <w:pPr>
              <w:keepNext/>
              <w:contextualSpacing/>
              <w:rPr>
                <w:rFonts w:ascii="Gill Sans MT" w:hAnsi="Gill Sans MT"/>
              </w:rPr>
            </w:pPr>
            <w:r w:rsidRPr="009146F9">
              <w:rPr>
                <w:rFonts w:ascii="Gill Sans MT" w:hAnsi="Gill Sans MT"/>
              </w:rPr>
              <w:t>Women self-reporting of drinking alcohol in pregnancy fell from 11.2 per cent in 2009 to 6.4 per cent in 2013.</w:t>
            </w:r>
            <w:r w:rsidRPr="009146F9">
              <w:rPr>
                <w:rStyle w:val="FootnoteReference"/>
                <w:rFonts w:ascii="Gill Sans MT" w:hAnsi="Gill Sans MT"/>
              </w:rPr>
              <w:footnoteReference w:id="29"/>
            </w:r>
          </w:p>
          <w:p w:rsidR="00A14760" w:rsidRPr="009146F9" w:rsidRDefault="00A14760" w:rsidP="00FC47DF">
            <w:pPr>
              <w:keepNext/>
              <w:contextualSpacing/>
              <w:rPr>
                <w:rFonts w:ascii="Gill Sans MT" w:hAnsi="Gill Sans MT"/>
              </w:rPr>
            </w:pPr>
          </w:p>
        </w:tc>
        <w:tc>
          <w:tcPr>
            <w:tcW w:w="1411" w:type="pct"/>
          </w:tcPr>
          <w:p w:rsidR="00A14760" w:rsidRPr="009146F9" w:rsidRDefault="00A14760" w:rsidP="00FC47DF">
            <w:pPr>
              <w:keepNext/>
              <w:rPr>
                <w:rFonts w:ascii="Gill Sans MT" w:hAnsi="Gill Sans MT"/>
              </w:rPr>
            </w:pPr>
          </w:p>
        </w:tc>
      </w:tr>
      <w:tr w:rsidR="00A14760" w:rsidRPr="009146F9" w:rsidTr="00E44337">
        <w:tc>
          <w:tcPr>
            <w:tcW w:w="688" w:type="pct"/>
            <w:vMerge/>
          </w:tcPr>
          <w:p w:rsidR="00A14760" w:rsidRPr="009146F9" w:rsidRDefault="00A14760" w:rsidP="00FC47DF">
            <w:pPr>
              <w:keepNext/>
              <w:rPr>
                <w:rFonts w:ascii="Gill Sans MT" w:hAnsi="Gill Sans MT" w:cstheme="minorHAnsi"/>
              </w:rPr>
            </w:pPr>
          </w:p>
        </w:tc>
        <w:tc>
          <w:tcPr>
            <w:tcW w:w="800"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Less people drink driving</w:t>
            </w:r>
          </w:p>
        </w:tc>
        <w:tc>
          <w:tcPr>
            <w:tcW w:w="901" w:type="pct"/>
          </w:tcPr>
          <w:p w:rsidR="00A14760" w:rsidRPr="009146F9" w:rsidRDefault="00A14760" w:rsidP="00FC47DF">
            <w:pPr>
              <w:keepNext/>
              <w:rPr>
                <w:rFonts w:ascii="Gill Sans MT" w:hAnsi="Gill Sans MT"/>
              </w:rPr>
            </w:pPr>
            <w:r w:rsidRPr="009146F9">
              <w:rPr>
                <w:rFonts w:ascii="Gill Sans MT" w:hAnsi="Gill Sans MT"/>
              </w:rPr>
              <w:t>Number and rate of drink-driving incidences</w:t>
            </w:r>
          </w:p>
        </w:tc>
        <w:tc>
          <w:tcPr>
            <w:tcW w:w="1200" w:type="pct"/>
          </w:tcPr>
          <w:p w:rsidR="00A14760" w:rsidRPr="009146F9" w:rsidRDefault="00A14760" w:rsidP="00FC47DF">
            <w:pPr>
              <w:keepNext/>
              <w:contextualSpacing/>
              <w:rPr>
                <w:rFonts w:ascii="Gill Sans MT" w:hAnsi="Gill Sans MT"/>
              </w:rPr>
            </w:pPr>
            <w:r w:rsidRPr="009146F9">
              <w:rPr>
                <w:rFonts w:ascii="Gill Sans MT" w:hAnsi="Gill Sans MT"/>
              </w:rPr>
              <w:t>The number of people charged with drink driving of</w:t>
            </w:r>
            <w:r w:rsidR="005337C4" w:rsidRPr="009146F9">
              <w:rPr>
                <w:rFonts w:ascii="Gill Sans MT" w:hAnsi="Gill Sans MT"/>
              </w:rPr>
              <w:t>fences has decreased since 2011-</w:t>
            </w:r>
            <w:r w:rsidRPr="009146F9">
              <w:rPr>
                <w:rFonts w:ascii="Gill Sans MT" w:hAnsi="Gill Sans MT"/>
              </w:rPr>
              <w:t>12</w:t>
            </w:r>
            <w:r w:rsidRPr="009146F9">
              <w:rPr>
                <w:rStyle w:val="FootnoteReference"/>
                <w:rFonts w:ascii="Gill Sans MT" w:hAnsi="Gill Sans MT"/>
              </w:rPr>
              <w:footnoteReference w:id="30"/>
            </w:r>
            <w:r w:rsidRPr="009146F9">
              <w:rPr>
                <w:rFonts w:ascii="Gill Sans MT" w:hAnsi="Gill Sans MT"/>
              </w:rPr>
              <w:t>, however the number of random breath tests undertaken has also decreased.</w:t>
            </w:r>
          </w:p>
          <w:p w:rsidR="00A14760" w:rsidRPr="009146F9" w:rsidRDefault="00A14760" w:rsidP="00FC47DF">
            <w:pPr>
              <w:keepNext/>
              <w:contextualSpacing/>
              <w:rPr>
                <w:rFonts w:ascii="Gill Sans MT" w:hAnsi="Gill Sans MT"/>
              </w:rPr>
            </w:pPr>
          </w:p>
        </w:tc>
        <w:tc>
          <w:tcPr>
            <w:tcW w:w="1411" w:type="pct"/>
          </w:tcPr>
          <w:p w:rsidR="00A14760" w:rsidRPr="009146F9" w:rsidRDefault="00A14760" w:rsidP="00FC47DF">
            <w:pPr>
              <w:keepNext/>
              <w:rPr>
                <w:rFonts w:ascii="Gill Sans MT" w:hAnsi="Gill Sans MT"/>
              </w:rPr>
            </w:pPr>
            <w:r w:rsidRPr="009146F9">
              <w:rPr>
                <w:rFonts w:ascii="Gill Sans MT" w:hAnsi="Gill Sans MT"/>
              </w:rPr>
              <w:t>Whilst this data has been left in this table and the body of the report, the number of random-breath testing undertaken by Tasmania Police fluctuates year to year.</w:t>
            </w:r>
          </w:p>
          <w:p w:rsidR="00A14760" w:rsidRPr="009146F9" w:rsidRDefault="00A14760" w:rsidP="00FC47DF">
            <w:pPr>
              <w:keepNext/>
              <w:rPr>
                <w:rFonts w:ascii="Gill Sans MT" w:hAnsi="Gill Sans MT"/>
              </w:rPr>
            </w:pPr>
          </w:p>
        </w:tc>
      </w:tr>
      <w:tr w:rsidR="00A14760" w:rsidRPr="009146F9" w:rsidTr="00E44337">
        <w:tc>
          <w:tcPr>
            <w:tcW w:w="688" w:type="pct"/>
            <w:vMerge/>
          </w:tcPr>
          <w:p w:rsidR="00A14760" w:rsidRPr="009146F9" w:rsidRDefault="00A14760" w:rsidP="00FC47DF">
            <w:pPr>
              <w:keepNext/>
              <w:rPr>
                <w:rFonts w:ascii="Gill Sans MT" w:hAnsi="Gill Sans MT" w:cstheme="minorHAnsi"/>
              </w:rPr>
            </w:pPr>
          </w:p>
        </w:tc>
        <w:tc>
          <w:tcPr>
            <w:tcW w:w="800" w:type="pct"/>
            <w:vMerge w:val="restar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Safer drinking settings</w:t>
            </w: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Number, type and location of liquor licenses</w:t>
            </w:r>
          </w:p>
          <w:p w:rsidR="00A14760" w:rsidRPr="009146F9" w:rsidRDefault="00A14760" w:rsidP="00FC47DF">
            <w:pPr>
              <w:keepNext/>
              <w:rPr>
                <w:rFonts w:ascii="Gill Sans MT" w:hAnsi="Gill Sans MT"/>
              </w:rPr>
            </w:pPr>
          </w:p>
        </w:tc>
        <w:tc>
          <w:tcPr>
            <w:tcW w:w="1200" w:type="pct"/>
          </w:tcPr>
          <w:p w:rsidR="00A14760" w:rsidRPr="009146F9" w:rsidRDefault="00A14760" w:rsidP="00FC47DF">
            <w:pPr>
              <w:keepNext/>
              <w:contextualSpacing/>
              <w:rPr>
                <w:rFonts w:ascii="Gill Sans MT" w:hAnsi="Gill Sans MT"/>
              </w:rPr>
            </w:pPr>
            <w:r w:rsidRPr="009146F9">
              <w:rPr>
                <w:rFonts w:ascii="Gill Sans MT" w:hAnsi="Gill Sans MT"/>
              </w:rPr>
              <w:t>The number of liquor licenses increased over the last 12 years by 22.6 per cent</w:t>
            </w:r>
            <w:r w:rsidRPr="009146F9">
              <w:rPr>
                <w:rStyle w:val="FootnoteReference"/>
                <w:rFonts w:ascii="Gill Sans MT" w:hAnsi="Gill Sans MT"/>
              </w:rPr>
              <w:footnoteReference w:id="31"/>
            </w:r>
            <w:r w:rsidRPr="009146F9">
              <w:rPr>
                <w:rFonts w:ascii="Gill Sans MT" w:hAnsi="Gill Sans MT"/>
              </w:rPr>
              <w:t>. The largest increase has been in off licenses which have increased by 78.3 per cent over the last 12 years, from 18 to 83.</w:t>
            </w:r>
          </w:p>
          <w:p w:rsidR="00501C21" w:rsidRPr="009146F9" w:rsidRDefault="00501C21" w:rsidP="00FC47DF">
            <w:pPr>
              <w:keepNext/>
              <w:contextualSpacing/>
              <w:rPr>
                <w:rFonts w:ascii="Gill Sans MT" w:hAnsi="Gill Sans MT"/>
              </w:rPr>
            </w:pPr>
          </w:p>
        </w:tc>
        <w:tc>
          <w:tcPr>
            <w:tcW w:w="1411" w:type="pct"/>
          </w:tcPr>
          <w:p w:rsidR="00A14760" w:rsidRPr="009146F9" w:rsidRDefault="00A14760" w:rsidP="00FC47DF">
            <w:pPr>
              <w:keepNext/>
              <w:rPr>
                <w:rFonts w:ascii="Gill Sans MT" w:hAnsi="Gill Sans MT"/>
              </w:rPr>
            </w:pPr>
          </w:p>
        </w:tc>
      </w:tr>
      <w:tr w:rsidR="00A14760" w:rsidRPr="009146F9" w:rsidTr="00E44337">
        <w:trPr>
          <w:trHeight w:val="77"/>
        </w:trPr>
        <w:tc>
          <w:tcPr>
            <w:tcW w:w="688" w:type="pct"/>
            <w:vMerge/>
          </w:tcPr>
          <w:p w:rsidR="00A14760" w:rsidRPr="009146F9" w:rsidRDefault="00A14760" w:rsidP="00FC47DF">
            <w:pPr>
              <w:keepNext/>
              <w:rPr>
                <w:rFonts w:ascii="Gill Sans MT" w:hAnsi="Gill Sans MT" w:cstheme="minorHAnsi"/>
              </w:rPr>
            </w:pPr>
          </w:p>
        </w:tc>
        <w:tc>
          <w:tcPr>
            <w:tcW w:w="800" w:type="pct"/>
            <w:vMerge/>
          </w:tcPr>
          <w:p w:rsidR="00A14760" w:rsidRPr="009146F9" w:rsidRDefault="00A14760" w:rsidP="00FC47DF">
            <w:pPr>
              <w:keepNext/>
              <w:autoSpaceDE w:val="0"/>
              <w:autoSpaceDN w:val="0"/>
              <w:adjustRightInd w:val="0"/>
              <w:rPr>
                <w:rFonts w:ascii="Gill Sans MT" w:hAnsi="Gill Sans MT"/>
              </w:rPr>
            </w:pPr>
          </w:p>
        </w:tc>
        <w:tc>
          <w:tcPr>
            <w:tcW w:w="90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License Infringements</w:t>
            </w:r>
          </w:p>
        </w:tc>
        <w:tc>
          <w:tcPr>
            <w:tcW w:w="1200"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The number of Liquor Infringement Notices issued by Tasmania Police fluctuates year to year as indicated in Table 3.3</w:t>
            </w:r>
            <w:r w:rsidR="00A31C9C" w:rsidRPr="009146F9">
              <w:rPr>
                <w:rFonts w:ascii="Gill Sans MT" w:hAnsi="Gill Sans MT"/>
              </w:rPr>
              <w:t xml:space="preserve"> </w:t>
            </w:r>
          </w:p>
        </w:tc>
        <w:tc>
          <w:tcPr>
            <w:tcW w:w="1411" w:type="pct"/>
          </w:tcPr>
          <w:p w:rsidR="00A14760" w:rsidRPr="009146F9" w:rsidRDefault="00A14760" w:rsidP="00FC47DF">
            <w:pPr>
              <w:keepNext/>
              <w:autoSpaceDE w:val="0"/>
              <w:autoSpaceDN w:val="0"/>
              <w:adjustRightInd w:val="0"/>
              <w:rPr>
                <w:rFonts w:ascii="Gill Sans MT" w:hAnsi="Gill Sans MT"/>
              </w:rPr>
            </w:pPr>
            <w:r w:rsidRPr="009146F9">
              <w:rPr>
                <w:rFonts w:ascii="Gill Sans MT" w:hAnsi="Gill Sans MT"/>
              </w:rPr>
              <w:t>Whist this has been left in this table as an indicator and in the body of the report, the number of license infringements is dependent upon a number of other factors, e.g. number of licensed premises visited; Tasmania Police and Liquor and Gaming resources.</w:t>
            </w:r>
          </w:p>
          <w:p w:rsidR="00A14760" w:rsidRPr="009146F9" w:rsidRDefault="00A14760" w:rsidP="00FC47DF">
            <w:pPr>
              <w:keepNext/>
              <w:autoSpaceDE w:val="0"/>
              <w:autoSpaceDN w:val="0"/>
              <w:adjustRightInd w:val="0"/>
              <w:rPr>
                <w:rFonts w:ascii="Gill Sans MT" w:hAnsi="Gill Sans MT"/>
              </w:rPr>
            </w:pPr>
          </w:p>
        </w:tc>
      </w:tr>
      <w:tr w:rsidR="00A14760" w:rsidRPr="009146F9" w:rsidTr="00E44337">
        <w:tc>
          <w:tcPr>
            <w:tcW w:w="688" w:type="pct"/>
          </w:tcPr>
          <w:p w:rsidR="00A14760" w:rsidRPr="009146F9" w:rsidRDefault="00A14760" w:rsidP="00FC47DF">
            <w:pPr>
              <w:pStyle w:val="ListParagraph"/>
              <w:keepNext/>
              <w:numPr>
                <w:ilvl w:val="6"/>
                <w:numId w:val="12"/>
              </w:numPr>
              <w:tabs>
                <w:tab w:val="clear" w:pos="2520"/>
                <w:tab w:val="num" w:pos="284"/>
              </w:tabs>
              <w:ind w:left="284" w:hanging="284"/>
              <w:rPr>
                <w:rFonts w:ascii="Gill Sans MT" w:hAnsi="Gill Sans MT"/>
              </w:rPr>
            </w:pPr>
            <w:r w:rsidRPr="009146F9">
              <w:rPr>
                <w:rFonts w:ascii="Gill Sans MT" w:hAnsi="Gill Sans MT" w:cstheme="minorHAnsi"/>
              </w:rPr>
              <w:t>Reduce the focus on alcohol as a necessary component of social activity in Tasmania</w:t>
            </w:r>
          </w:p>
        </w:tc>
        <w:tc>
          <w:tcPr>
            <w:tcW w:w="800" w:type="pct"/>
          </w:tcPr>
          <w:p w:rsidR="00A14760" w:rsidRPr="009146F9" w:rsidRDefault="00A14760" w:rsidP="00FC47DF">
            <w:pPr>
              <w:keepNext/>
              <w:rPr>
                <w:rFonts w:ascii="Gill Sans MT" w:hAnsi="Gill Sans MT"/>
              </w:rPr>
            </w:pPr>
          </w:p>
        </w:tc>
        <w:tc>
          <w:tcPr>
            <w:tcW w:w="901" w:type="pct"/>
          </w:tcPr>
          <w:p w:rsidR="00A14760" w:rsidRPr="009146F9" w:rsidRDefault="00A14760" w:rsidP="00FC47DF">
            <w:pPr>
              <w:keepNext/>
              <w:rPr>
                <w:rFonts w:ascii="Gill Sans MT" w:hAnsi="Gill Sans MT"/>
              </w:rPr>
            </w:pPr>
            <w:r w:rsidRPr="009146F9">
              <w:rPr>
                <w:rFonts w:ascii="Gill Sans MT" w:hAnsi="Gill Sans MT"/>
              </w:rPr>
              <w:t>No indicator or data currently available in Tasmania</w:t>
            </w:r>
          </w:p>
        </w:tc>
        <w:tc>
          <w:tcPr>
            <w:tcW w:w="1200" w:type="pct"/>
          </w:tcPr>
          <w:p w:rsidR="00A14760" w:rsidRPr="009146F9" w:rsidRDefault="00A14760" w:rsidP="00FC47DF">
            <w:pPr>
              <w:keepNext/>
              <w:rPr>
                <w:rFonts w:ascii="Gill Sans MT" w:hAnsi="Gill Sans MT"/>
              </w:rPr>
            </w:pPr>
          </w:p>
        </w:tc>
        <w:tc>
          <w:tcPr>
            <w:tcW w:w="1411" w:type="pct"/>
          </w:tcPr>
          <w:p w:rsidR="00A14760" w:rsidRPr="009146F9" w:rsidRDefault="00A14760" w:rsidP="00FC47DF">
            <w:pPr>
              <w:keepNext/>
              <w:rPr>
                <w:rFonts w:ascii="Gill Sans MT" w:hAnsi="Gill Sans MT"/>
              </w:rPr>
            </w:pPr>
            <w:r w:rsidRPr="009146F9">
              <w:rPr>
                <w:rFonts w:ascii="Gill Sans MT" w:hAnsi="Gill Sans MT"/>
              </w:rPr>
              <w:t>Whilst there is no identified measure or indicator for Tasmania, the new TAAF will consider a range of possible measures and indicators which have the potential to provide data for this aim e.g. special permits in the community; Tasmanian sc</w:t>
            </w:r>
            <w:r w:rsidR="00A76B1C" w:rsidRPr="009146F9">
              <w:rPr>
                <w:rFonts w:ascii="Gill Sans MT" w:hAnsi="Gill Sans MT"/>
              </w:rPr>
              <w:t xml:space="preserve">hool’s fund-raising activities </w:t>
            </w:r>
            <w:r w:rsidRPr="009146F9">
              <w:rPr>
                <w:rFonts w:ascii="Gill Sans MT" w:hAnsi="Gill Sans MT"/>
              </w:rPr>
              <w:t>where alcohol is involved or w</w:t>
            </w:r>
            <w:r w:rsidR="005D658A" w:rsidRPr="009146F9">
              <w:rPr>
                <w:rFonts w:ascii="Gill Sans MT" w:hAnsi="Gill Sans MT"/>
              </w:rPr>
              <w:t>here school age children serve</w:t>
            </w:r>
            <w:r w:rsidRPr="009146F9">
              <w:rPr>
                <w:rFonts w:ascii="Gill Sans MT" w:hAnsi="Gill Sans MT"/>
              </w:rPr>
              <w:t xml:space="preserve"> alcohol.</w:t>
            </w:r>
          </w:p>
          <w:p w:rsidR="00A14760" w:rsidRPr="009146F9" w:rsidRDefault="00A14760" w:rsidP="00FC47DF">
            <w:pPr>
              <w:keepNext/>
              <w:rPr>
                <w:rFonts w:ascii="Gill Sans MT" w:hAnsi="Gill Sans MT"/>
              </w:rPr>
            </w:pPr>
          </w:p>
        </w:tc>
      </w:tr>
    </w:tbl>
    <w:p w:rsidR="00A14760" w:rsidRPr="009146F9" w:rsidRDefault="00A14760" w:rsidP="00FC47DF">
      <w:pPr>
        <w:keepNext/>
        <w:spacing w:before="120" w:after="120" w:line="280" w:lineRule="atLeast"/>
        <w:rPr>
          <w:rFonts w:ascii="Gill Sans MT" w:hAnsi="Gill Sans MT"/>
          <w:sz w:val="20"/>
        </w:rPr>
      </w:pPr>
    </w:p>
    <w:p w:rsidR="00A53861" w:rsidRPr="009146F9" w:rsidRDefault="00A53861" w:rsidP="00FC47DF">
      <w:pPr>
        <w:pStyle w:val="BodyCopy"/>
        <w:keepNext/>
        <w:spacing w:before="120" w:after="120" w:line="280" w:lineRule="atLeast"/>
        <w:ind w:left="0" w:right="198"/>
        <w:contextualSpacing/>
      </w:pPr>
    </w:p>
    <w:p w:rsidR="00A53861" w:rsidRPr="009146F9" w:rsidRDefault="00A53861" w:rsidP="00FC47DF">
      <w:pPr>
        <w:pStyle w:val="BodyCopy"/>
        <w:keepNext/>
        <w:spacing w:before="120" w:after="120" w:line="280" w:lineRule="atLeast"/>
        <w:ind w:left="0" w:right="198"/>
        <w:contextualSpacing/>
        <w:sectPr w:rsidR="00A53861" w:rsidRPr="009146F9" w:rsidSect="00146B9B">
          <w:footerReference w:type="default" r:id="rId33"/>
          <w:footnotePr>
            <w:numFmt w:val="lowerRoman"/>
          </w:footnotePr>
          <w:endnotePr>
            <w:numFmt w:val="decimal"/>
          </w:endnotePr>
          <w:pgSz w:w="16838" w:h="11906" w:orient="landscape"/>
          <w:pgMar w:top="1440" w:right="1440" w:bottom="1440" w:left="1440" w:header="708" w:footer="708" w:gutter="0"/>
          <w:cols w:space="708"/>
          <w:titlePg/>
          <w:docGrid w:linePitch="360"/>
        </w:sectPr>
      </w:pPr>
    </w:p>
    <w:p w:rsidR="00456BC9" w:rsidRPr="009146F9" w:rsidRDefault="00796BC2" w:rsidP="009146F9">
      <w:pPr>
        <w:pStyle w:val="Heading1"/>
      </w:pPr>
      <w:bookmarkStart w:id="16" w:name="_Toc476322103"/>
      <w:r w:rsidRPr="009146F9">
        <w:t xml:space="preserve">Appendix 1: </w:t>
      </w:r>
      <w:r w:rsidR="00456BC9" w:rsidRPr="009146F9">
        <w:t xml:space="preserve">Alcohol in Tasmania </w:t>
      </w:r>
      <w:r w:rsidR="00DB40DC" w:rsidRPr="009146F9">
        <w:t>- Summary</w:t>
      </w:r>
      <w:bookmarkEnd w:id="16"/>
    </w:p>
    <w:p w:rsidR="00456BC9" w:rsidRPr="009146F9" w:rsidRDefault="00456BC9" w:rsidP="009146F9">
      <w:pPr>
        <w:pStyle w:val="Heading2"/>
      </w:pPr>
      <w:r w:rsidRPr="009146F9">
        <w:t>Alcohol as a Risk Factor</w:t>
      </w:r>
    </w:p>
    <w:p w:rsidR="00456BC9" w:rsidRPr="009146F9" w:rsidRDefault="00456BC9" w:rsidP="00FC47DF">
      <w:pPr>
        <w:pStyle w:val="BodyCopy"/>
        <w:keepNext/>
        <w:spacing w:before="120" w:after="120" w:line="280" w:lineRule="atLeast"/>
        <w:ind w:left="142" w:right="60"/>
      </w:pPr>
      <w:r w:rsidRPr="009146F9">
        <w:t>In Tasmania, as elsewhere, a substantial proportion of people drink at levels that increase the risk of alcohol-related harm. This includes both short term harms, such as accidents, injuries, car accidents, and violence; as well as longer term harms, such as some cancers, cardiovascular disease, liver disease, diabetes, mental illness, and dependence.</w:t>
      </w:r>
      <w:hyperlink w:anchor="_ENREF_1" w:tooltip="World Health Organization, 2014 #9" w:history="1">
        <w:r w:rsidRPr="009146F9">
          <w:fldChar w:fldCharType="begin"/>
        </w:r>
        <w:r w:rsidRPr="009146F9">
          <w:instrText xml:space="preserve"> ADDIN EN.CITE &lt;EndNote&gt;&lt;Cite&gt;&lt;Author&gt;World Health Organization&lt;/Author&gt;&lt;Year&gt;2014&lt;/Year&gt;&lt;RecNum&gt;9&lt;/RecNum&gt;&lt;DisplayText&gt;&lt;style face="superscript"&gt;1&lt;/style&gt;&lt;/DisplayText&gt;&lt;record&gt;&lt;rec-number&gt;9&lt;/rec-number&gt;&lt;foreign-keys&gt;&lt;key app="EN" db-id="d20zxx0xf2efe5e29x4vtdtwtetp2wpzsedt"&gt;9&lt;/key&gt;&lt;/foreign-keys&gt;&lt;ref-type name="Report"&gt;27&lt;/ref-type&gt;&lt;contributors&gt;&lt;authors&gt;&lt;author&gt;World Health Organization,&lt;/author&gt;&lt;/authors&gt;&lt;/contributors&gt;&lt;titles&gt;&lt;title&gt;Global status report on alcohol and health 2014&lt;/title&gt;&lt;/titles&gt;&lt;dates&gt;&lt;year&gt;2014&lt;/year&gt;&lt;/dates&gt;&lt;pub-location&gt;Geneva&lt;/pub-location&gt;&lt;urls&gt;&lt;related-urls&gt;&lt;url&gt;http://www.who.int/substance_abuse/publications/global_alcohol_report/en/&lt;/url&gt;&lt;/related-urls&gt;&lt;/urls&gt;&lt;access-date&gt;01 Aug 2016&lt;/access-date&gt;&lt;/record&gt;&lt;/Cite&gt;&lt;/EndNote&gt;</w:instrText>
        </w:r>
        <w:r w:rsidRPr="009146F9">
          <w:fldChar w:fldCharType="separate"/>
        </w:r>
        <w:r w:rsidRPr="009146F9">
          <w:rPr>
            <w:noProof/>
            <w:vertAlign w:val="superscript"/>
          </w:rPr>
          <w:t>1</w:t>
        </w:r>
        <w:r w:rsidRPr="009146F9">
          <w:fldChar w:fldCharType="end"/>
        </w:r>
      </w:hyperlink>
      <w:r w:rsidRPr="009146F9">
        <w:t xml:space="preserve"> </w:t>
      </w:r>
    </w:p>
    <w:p w:rsidR="00456BC9" w:rsidRPr="009146F9" w:rsidRDefault="00456BC9" w:rsidP="009146F9">
      <w:pPr>
        <w:pStyle w:val="Heading2"/>
      </w:pPr>
      <w:r w:rsidRPr="009146F9">
        <w:t>Alcohol Availability</w:t>
      </w:r>
    </w:p>
    <w:p w:rsidR="00456BC9" w:rsidRPr="009146F9" w:rsidRDefault="00456BC9" w:rsidP="00FC47DF">
      <w:pPr>
        <w:pStyle w:val="BodyCopy"/>
        <w:keepNext/>
        <w:spacing w:before="120" w:after="120" w:line="280" w:lineRule="atLeast"/>
        <w:ind w:left="142" w:right="60"/>
        <w:rPr>
          <w:noProof/>
        </w:rPr>
      </w:pPr>
      <w:r w:rsidRPr="009146F9">
        <w:t>Alcohol has become more readily available in Tasmania, with a 22.6</w:t>
      </w:r>
      <w:r w:rsidR="005832A8" w:rsidRPr="009146F9">
        <w:t xml:space="preserve"> per cent</w:t>
      </w:r>
      <w:r w:rsidRPr="009146F9">
        <w:t xml:space="preserve"> increase in the number of liquor licenses over the last 12 years.</w:t>
      </w:r>
      <w:hyperlink w:anchor="_ENREF_2" w:tooltip="Department of Treasury and Finance, 2016 #30" w:history="1">
        <w:r w:rsidRPr="009146F9">
          <w:fldChar w:fldCharType="begin"/>
        </w:r>
        <w:r w:rsidRPr="009146F9">
          <w:instrText xml:space="preserve"> ADDIN EN.CITE &lt;EndNote&gt;&lt;Cite&gt;&lt;Author&gt;Department of Treasury and Finance&lt;/Author&gt;&lt;Year&gt;2016&lt;/Year&gt;&lt;RecNum&gt;30&lt;/RecNum&gt;&lt;DisplayText&gt;&lt;style face="superscript"&gt;2&lt;/style&gt;&lt;/DisplayText&gt;&lt;record&gt;&lt;rec-number&gt;30&lt;/rec-number&gt;&lt;foreign-keys&gt;&lt;key app="EN" db-id="d20zxx0xf2efe5e29x4vtdtwtetp2wpzsedt"&gt;30&lt;/key&gt;&lt;/foreign-keys&gt;&lt;ref-type name="Web Page"&gt;12&lt;/ref-type&gt;&lt;contributors&gt;&lt;authors&gt;&lt;author&gt;Department of Treasury and Finance,&lt;/author&gt;&lt;/authors&gt;&lt;/contributors&gt;&lt;titles&gt;&lt;title&gt;Liquor industry data in Tasmania&lt;/title&gt;&lt;/titles&gt;&lt;volume&gt;2016&lt;/volume&gt;&lt;number&gt;16 Aug&lt;/number&gt;&lt;dates&gt;&lt;year&gt;2016&lt;/year&gt;&lt;/dates&gt;&lt;pub-location&gt;Hobart&lt;/pub-location&gt;&lt;publisher&gt;Tasmanian Government&lt;/publisher&gt;&lt;urls&gt;&lt;related-urls&gt;&lt;url&gt;http://www.treasury.tas.gov.au/domino/dtf/dtf.nsf/v-liq-and-gaming/E1E056468959C8E7CA257D8200177211&lt;/url&gt;&lt;/related-urls&gt;&lt;/urls&gt;&lt;/record&gt;&lt;/Cite&gt;&lt;/EndNote&gt;</w:instrText>
        </w:r>
        <w:r w:rsidRPr="009146F9">
          <w:fldChar w:fldCharType="separate"/>
        </w:r>
        <w:r w:rsidRPr="009146F9">
          <w:rPr>
            <w:noProof/>
            <w:vertAlign w:val="superscript"/>
          </w:rPr>
          <w:t>2</w:t>
        </w:r>
        <w:r w:rsidRPr="009146F9">
          <w:fldChar w:fldCharType="end"/>
        </w:r>
      </w:hyperlink>
      <w:r w:rsidRPr="009146F9">
        <w:rPr>
          <w:noProof/>
        </w:rPr>
        <w:t xml:space="preserve"> </w:t>
      </w:r>
    </w:p>
    <w:p w:rsidR="00485A79" w:rsidRPr="009146F9" w:rsidRDefault="00485A79" w:rsidP="00FC47DF">
      <w:pPr>
        <w:pStyle w:val="Caption"/>
        <w:keepNext/>
        <w:jc w:val="center"/>
      </w:pPr>
      <w:bookmarkStart w:id="17" w:name="_Ref454965311"/>
      <w:r w:rsidRPr="009146F9">
        <w:rPr>
          <w:noProof/>
          <w:lang w:eastAsia="en-AU"/>
        </w:rPr>
        <w:drawing>
          <wp:inline distT="0" distB="0" distL="0" distR="0" wp14:anchorId="5867BB39" wp14:editId="1E8669F4">
            <wp:extent cx="3614468" cy="2009955"/>
            <wp:effectExtent l="0" t="0" r="5080" b="0"/>
            <wp:docPr id="129" name="Chart 6" descr="chart demonstrates in the 22.6% increase in the number of liquor licences over 2002-2015" title="total number of liquor licenc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bookmarkEnd w:id="17"/>
    <w:p w:rsidR="00485A79" w:rsidRPr="009146F9" w:rsidRDefault="00485A79" w:rsidP="00FC47DF">
      <w:pPr>
        <w:pStyle w:val="Caption"/>
        <w:keepNext/>
        <w:spacing w:before="0" w:after="0" w:line="240" w:lineRule="auto"/>
        <w:ind w:left="567"/>
        <w:jc w:val="center"/>
      </w:pPr>
      <w:r w:rsidRPr="009146F9">
        <w:t>Total number of annual liquor licences issued, Tasmania, 2002-2015.</w:t>
      </w:r>
    </w:p>
    <w:p w:rsidR="00485A79" w:rsidRPr="009146F9" w:rsidRDefault="00485A79" w:rsidP="00FC47DF">
      <w:pPr>
        <w:pStyle w:val="Caption"/>
        <w:keepNext/>
        <w:spacing w:before="0" w:after="0" w:line="240" w:lineRule="auto"/>
        <w:jc w:val="center"/>
        <w:rPr>
          <w:b w:val="0"/>
          <w:i/>
        </w:rPr>
      </w:pPr>
      <w:r w:rsidRPr="009146F9">
        <w:rPr>
          <w:b w:val="0"/>
          <w:i/>
        </w:rPr>
        <w:t>Source: Department of Treasury and Finance. Licensed premises in Tasmania</w:t>
      </w:r>
    </w:p>
    <w:p w:rsidR="00485A79" w:rsidRPr="009146F9" w:rsidRDefault="00485A79" w:rsidP="00FC47DF">
      <w:pPr>
        <w:keepNext/>
        <w:spacing w:after="0" w:line="240" w:lineRule="auto"/>
        <w:rPr>
          <w:rFonts w:ascii="Gill Sans MT" w:hAnsi="Gill Sans MT"/>
        </w:rPr>
      </w:pPr>
    </w:p>
    <w:p w:rsidR="00456BC9" w:rsidRPr="009146F9" w:rsidRDefault="00456BC9" w:rsidP="009146F9">
      <w:pPr>
        <w:pStyle w:val="Heading2"/>
      </w:pPr>
      <w:r w:rsidRPr="009146F9">
        <w:t>Alcohol Consumption</w:t>
      </w:r>
    </w:p>
    <w:p w:rsidR="00456BC9" w:rsidRPr="009146F9" w:rsidRDefault="00456BC9" w:rsidP="00FC47DF">
      <w:pPr>
        <w:pStyle w:val="BodyCopy"/>
        <w:keepNext/>
        <w:tabs>
          <w:tab w:val="left" w:pos="4199"/>
        </w:tabs>
        <w:spacing w:before="120" w:after="120" w:line="280" w:lineRule="atLeast"/>
        <w:ind w:left="142" w:right="-54"/>
      </w:pPr>
      <w:r w:rsidRPr="009146F9">
        <w:t>In Australia we drink on average 2.1 standard drinks per day (2013-14).</w:t>
      </w:r>
      <w:hyperlink w:anchor="_ENREF_3" w:tooltip="Australian Bureau of Statistics, 2015 #21" w:history="1">
        <w:r w:rsidRPr="009146F9">
          <w:fldChar w:fldCharType="begin"/>
        </w:r>
        <w:r w:rsidRPr="009146F9">
          <w:instrText xml:space="preserve"> ADDIN EN.CITE &lt;EndNote&gt;&lt;Cite&gt;&lt;Author&gt;Australian Bureau of Statistics&lt;/Author&gt;&lt;Year&gt;2015&lt;/Year&gt;&lt;RecNum&gt;21&lt;/RecNum&gt;&lt;DisplayText&gt;&lt;style face="superscript"&gt;3&lt;/style&gt;&lt;/DisplayText&gt;&lt;record&gt;&lt;rec-number&gt;21&lt;/rec-number&gt;&lt;foreign-keys&gt;&lt;key app="EN" db-id="d20zxx0xf2efe5e29x4vtdtwtetp2wpzsedt"&gt;21&lt;/key&gt;&lt;/foreign-keys&gt;&lt;ref-type name="Web Page"&gt;12&lt;/ref-type&gt;&lt;contributors&gt;&lt;authors&gt;&lt;author&gt;Australian Bureau of Statistics,&lt;/author&gt;&lt;/authors&gt;&lt;/contributors&gt;&lt;titles&gt;&lt;title&gt;Apparent consumption of alcohol, Australia, 2013-2014&lt;/title&gt;&lt;/titles&gt;&lt;volume&gt;2016&lt;/volume&gt;&lt;number&gt;08 Jun&lt;/number&gt;&lt;dates&gt;&lt;year&gt;2015&lt;/year&gt;&lt;/dates&gt;&lt;pub-location&gt;Canberra&lt;/pub-location&gt;&lt;work-type&gt;Internet&lt;/work-type&gt;&lt;urls&gt;&lt;related-urls&gt;&lt;url&gt;http://www.abs.gov.au/AUSSTATS/abs@.nsf/mf/4307.0.55.001/&lt;/url&gt;&lt;/related-urls&gt;&lt;/urls&gt;&lt;/record&gt;&lt;/Cite&gt;&lt;/EndNote&gt;</w:instrText>
        </w:r>
        <w:r w:rsidRPr="009146F9">
          <w:fldChar w:fldCharType="separate"/>
        </w:r>
        <w:r w:rsidRPr="009146F9">
          <w:rPr>
            <w:noProof/>
            <w:vertAlign w:val="superscript"/>
          </w:rPr>
          <w:t>3</w:t>
        </w:r>
        <w:r w:rsidRPr="009146F9">
          <w:fldChar w:fldCharType="end"/>
        </w:r>
      </w:hyperlink>
      <w:r w:rsidRPr="009146F9">
        <w:t xml:space="preserve"> This has decreased since 2004-05 when average consumption was 2.3 standard drinks per day. </w:t>
      </w:r>
    </w:p>
    <w:p w:rsidR="00456BC9" w:rsidRPr="009146F9" w:rsidRDefault="00456BC9" w:rsidP="00FC47DF">
      <w:pPr>
        <w:pStyle w:val="BodyCopy"/>
        <w:keepNext/>
        <w:spacing w:before="120" w:after="120" w:line="280" w:lineRule="atLeast"/>
        <w:ind w:left="142" w:right="-54"/>
      </w:pPr>
      <w:r w:rsidRPr="009146F9">
        <w:t xml:space="preserve">In Tasmania a high proportion of people are drinking at levels that put them at risk. </w:t>
      </w:r>
    </w:p>
    <w:p w:rsidR="00456BC9" w:rsidRPr="009146F9" w:rsidRDefault="00456BC9" w:rsidP="00BA74FA">
      <w:pPr>
        <w:pStyle w:val="Heading3"/>
      </w:pPr>
      <w:r w:rsidRPr="009146F9">
        <w:t>Lifetime risk of harm</w:t>
      </w:r>
    </w:p>
    <w:p w:rsidR="00456BC9" w:rsidRPr="009146F9" w:rsidRDefault="00456BC9" w:rsidP="00FC47DF">
      <w:pPr>
        <w:pStyle w:val="BodyCopy"/>
        <w:keepNext/>
        <w:tabs>
          <w:tab w:val="left" w:pos="4111"/>
        </w:tabs>
        <w:spacing w:before="120" w:after="120" w:line="280" w:lineRule="atLeast"/>
        <w:ind w:left="142" w:right="88"/>
        <w:rPr>
          <w:b/>
          <w:color w:val="365F91" w:themeColor="accent1" w:themeShade="BF"/>
        </w:rPr>
      </w:pPr>
      <w:r w:rsidRPr="009146F9">
        <w:rPr>
          <w:b/>
          <w:color w:val="365F91" w:themeColor="accent1" w:themeShade="BF"/>
        </w:rPr>
        <w:t>Drinking more than 2 standard drinks on any day increases our risk of lifetime harm from alcohol-related disease and injury</w:t>
      </w:r>
      <w:hyperlink w:anchor="_ENREF_4" w:tooltip="National Health and Medical Research Council, 2009 #26" w:history="1">
        <w:r w:rsidRPr="009146F9">
          <w:rPr>
            <w:b/>
            <w:color w:val="365F91" w:themeColor="accent1" w:themeShade="BF"/>
          </w:rPr>
          <w:fldChar w:fldCharType="begin"/>
        </w:r>
        <w:r w:rsidRPr="009146F9">
          <w:rPr>
            <w:b/>
            <w:color w:val="365F91" w:themeColor="accent1" w:themeShade="BF"/>
          </w:rPr>
          <w:instrText xml:space="preserve"> ADDIN EN.CITE &lt;EndNote&gt;&lt;Cite&gt;&lt;Author&gt;National Health and Medical Research Council&lt;/Author&gt;&lt;Year&gt;2009&lt;/Year&gt;&lt;RecNum&gt;26&lt;/RecNum&gt;&lt;DisplayText&gt;&lt;style face="superscript"&gt;4&lt;/style&gt;&lt;/DisplayText&gt;&lt;record&gt;&lt;rec-number&gt;26&lt;/rec-number&gt;&lt;foreign-keys&gt;&lt;key app="EN" db-id="d20zxx0xf2efe5e29x4vtdtwtetp2wpzsedt"&gt;26&lt;/key&gt;&lt;/foreign-keys&gt;&lt;ref-type name="Government Document"&gt;46&lt;/ref-type&gt;&lt;contributors&gt;&lt;authors&gt;&lt;author&gt;National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alcohol&lt;/title&gt;&lt;/titles&gt;&lt;dates&gt;&lt;year&gt;2009&lt;/year&gt;&lt;/dates&gt;&lt;pub-location&gt;Canberra&lt;/pub-location&gt;&lt;publisher&gt;Commonwealth of Australia&lt;/publisher&gt;&lt;urls&gt;&lt;/urls&gt;&lt;/record&gt;&lt;/Cite&gt;&lt;/EndNote&gt;</w:instrText>
        </w:r>
        <w:r w:rsidRPr="009146F9">
          <w:rPr>
            <w:b/>
            <w:color w:val="365F91" w:themeColor="accent1" w:themeShade="BF"/>
          </w:rPr>
          <w:fldChar w:fldCharType="separate"/>
        </w:r>
        <w:r w:rsidRPr="009146F9">
          <w:rPr>
            <w:b/>
            <w:noProof/>
            <w:color w:val="365F91" w:themeColor="accent1" w:themeShade="BF"/>
            <w:vertAlign w:val="superscript"/>
          </w:rPr>
          <w:t>4</w:t>
        </w:r>
        <w:r w:rsidRPr="009146F9">
          <w:rPr>
            <w:b/>
            <w:color w:val="365F91" w:themeColor="accent1" w:themeShade="BF"/>
          </w:rPr>
          <w:fldChar w:fldCharType="end"/>
        </w:r>
      </w:hyperlink>
    </w:p>
    <w:p w:rsidR="00456BC9" w:rsidRPr="009146F9" w:rsidRDefault="00456BC9" w:rsidP="00FC47DF">
      <w:pPr>
        <w:pStyle w:val="BodyCopy"/>
        <w:keepNext/>
        <w:numPr>
          <w:ilvl w:val="0"/>
          <w:numId w:val="19"/>
        </w:numPr>
        <w:tabs>
          <w:tab w:val="left" w:pos="4199"/>
        </w:tabs>
        <w:spacing w:before="120" w:after="120" w:line="280" w:lineRule="atLeast"/>
        <w:ind w:left="426" w:right="88" w:hanging="284"/>
      </w:pPr>
      <w:r w:rsidRPr="009146F9">
        <w:t>19.1</w:t>
      </w:r>
      <w:r w:rsidR="005832A8" w:rsidRPr="009146F9">
        <w:t xml:space="preserve"> per cent</w:t>
      </w:r>
      <w:r w:rsidRPr="009146F9">
        <w:t xml:space="preserve"> of Tasmanian adults (over 18 years) exceeded the lifetime risk guideline  in 2014-15</w:t>
      </w:r>
      <w:hyperlink w:anchor="_ENREF_5" w:tooltip="Australian Bureau of Statistics, 2015 #29" w:history="1">
        <w:r w:rsidRPr="009146F9">
          <w:fldChar w:fldCharType="begin"/>
        </w:r>
        <w:r w:rsidRPr="009146F9">
          <w:instrText xml:space="preserve"> ADDIN EN.CITE &lt;EndNote&gt;&lt;Cite&gt;&lt;Author&gt;Australian Bureau of Statistics&lt;/Author&gt;&lt;Year&gt;2015&lt;/Year&gt;&lt;RecNum&gt;29&lt;/RecNum&gt;&lt;DisplayText&gt;&lt;style face="superscript"&gt;5&lt;/style&gt;&lt;/DisplayText&gt;&lt;record&gt;&lt;rec-number&gt;29&lt;/rec-number&gt;&lt;foreign-keys&gt;&lt;key app="EN" db-id="d20zxx0xf2efe5e29x4vtdtwtetp2wpzsedt"&gt;29&lt;/key&gt;&lt;/foreign-keys&gt;&lt;ref-type name="Web Page"&gt;12&lt;/ref-type&gt;&lt;contributors&gt;&lt;authors&gt;&lt;author&gt;Australian Bureau of Statistics,&lt;/author&gt;&lt;/authors&gt;&lt;/contributors&gt;&lt;titles&gt;&lt;title&gt;National Health Survey: First Results, 2014-15&lt;/title&gt;&lt;/titles&gt;&lt;volume&gt;2016&lt;/volume&gt;&lt;number&gt;15 Jun&lt;/number&gt;&lt;dates&gt;&lt;year&gt;2015&lt;/year&gt;&lt;/dates&gt;&lt;pub-location&gt;Canberra&lt;/pub-location&gt;&lt;publisher&gt;ABS&lt;/publisher&gt;&lt;work-type&gt;INTERNET&lt;/work-type&gt;&lt;urls&gt;&lt;related-urls&gt;&lt;url&gt;http://www.abs.gov.au/AUSSTATS/abs@.nsf/DetailsPage/4364.0.55.0012014-15?OpenDocument&lt;/url&gt;&lt;/related-urls&gt;&lt;/urls&gt;&lt;/record&gt;&lt;/Cite&gt;&lt;/EndNote&gt;</w:instrText>
        </w:r>
        <w:r w:rsidRPr="009146F9">
          <w:fldChar w:fldCharType="separate"/>
        </w:r>
        <w:r w:rsidRPr="009146F9">
          <w:rPr>
            <w:noProof/>
            <w:vertAlign w:val="superscript"/>
          </w:rPr>
          <w:t>5</w:t>
        </w:r>
        <w:r w:rsidRPr="009146F9">
          <w:fldChar w:fldCharType="end"/>
        </w:r>
      </w:hyperlink>
      <w:r w:rsidRPr="009146F9">
        <w:t>. This has decreased from 22.7</w:t>
      </w:r>
      <w:r w:rsidR="005832A8" w:rsidRPr="009146F9">
        <w:t xml:space="preserve"> per cent</w:t>
      </w:r>
      <w:r w:rsidRPr="009146F9">
        <w:t xml:space="preserve"> in 2011-12.</w:t>
      </w:r>
    </w:p>
    <w:p w:rsidR="00485A79" w:rsidRPr="009146F9" w:rsidRDefault="00456BC9" w:rsidP="00FC47DF">
      <w:pPr>
        <w:pStyle w:val="BodyCopy"/>
        <w:keepNext/>
        <w:numPr>
          <w:ilvl w:val="0"/>
          <w:numId w:val="19"/>
        </w:numPr>
        <w:tabs>
          <w:tab w:val="left" w:pos="4111"/>
          <w:tab w:val="left" w:pos="4199"/>
        </w:tabs>
        <w:spacing w:before="120" w:after="120" w:line="280" w:lineRule="atLeast"/>
        <w:ind w:left="426" w:right="88" w:hanging="284"/>
      </w:pPr>
      <w:r w:rsidRPr="009146F9">
        <w:t>Tasmania had the second highest rate of adults exceeding the guideline in Australia</w:t>
      </w:r>
      <w:hyperlink w:anchor="_ENREF_5" w:tooltip="Australian Bureau of Statistics, 2015 #29" w:history="1">
        <w:r w:rsidRPr="009146F9">
          <w:fldChar w:fldCharType="begin"/>
        </w:r>
        <w:r w:rsidRPr="009146F9">
          <w:instrText xml:space="preserve"> ADDIN EN.CITE &lt;EndNote&gt;&lt;Cite&gt;&lt;Author&gt;Australian Bureau of Statistics&lt;/Author&gt;&lt;Year&gt;2015&lt;/Year&gt;&lt;RecNum&gt;29&lt;/RecNum&gt;&lt;DisplayText&gt;&lt;style face="superscript"&gt;5&lt;/style&gt;&lt;/DisplayText&gt;&lt;record&gt;&lt;rec-number&gt;29&lt;/rec-number&gt;&lt;foreign-keys&gt;&lt;key app="EN" db-id="d20zxx0xf2efe5e29x4vtdtwtetp2wpzsedt"&gt;29&lt;/key&gt;&lt;/foreign-keys&gt;&lt;ref-type name="Web Page"&gt;12&lt;/ref-type&gt;&lt;contributors&gt;&lt;authors&gt;&lt;author&gt;Australian Bureau of Statistics,&lt;/author&gt;&lt;/authors&gt;&lt;/contributors&gt;&lt;titles&gt;&lt;title&gt;National Health Survey: First Results, 2014-15&lt;/title&gt;&lt;/titles&gt;&lt;volume&gt;2016&lt;/volume&gt;&lt;number&gt;15 Jun&lt;/number&gt;&lt;dates&gt;&lt;year&gt;2015&lt;/year&gt;&lt;/dates&gt;&lt;pub-location&gt;Canberra&lt;/pub-location&gt;&lt;publisher&gt;ABS&lt;/publisher&gt;&lt;work-type&gt;INTERNET&lt;/work-type&gt;&lt;urls&gt;&lt;related-urls&gt;&lt;url&gt;http://www.abs.gov.au/AUSSTATS/abs@.nsf/DetailsPage/4364.0.55.0012014-15?OpenDocument&lt;/url&gt;&lt;/related-urls&gt;&lt;/urls&gt;&lt;/record&gt;&lt;/Cite&gt;&lt;/EndNote&gt;</w:instrText>
        </w:r>
        <w:r w:rsidRPr="009146F9">
          <w:fldChar w:fldCharType="separate"/>
        </w:r>
        <w:r w:rsidRPr="009146F9">
          <w:rPr>
            <w:noProof/>
            <w:vertAlign w:val="superscript"/>
          </w:rPr>
          <w:t>5</w:t>
        </w:r>
        <w:r w:rsidRPr="009146F9">
          <w:fldChar w:fldCharType="end"/>
        </w:r>
      </w:hyperlink>
    </w:p>
    <w:p w:rsidR="00485A79" w:rsidRPr="009146F9" w:rsidRDefault="00485A79" w:rsidP="00FC47DF">
      <w:pPr>
        <w:pStyle w:val="BodyCopy"/>
        <w:keepNext/>
        <w:tabs>
          <w:tab w:val="left" w:pos="4111"/>
          <w:tab w:val="left" w:pos="4199"/>
        </w:tabs>
        <w:spacing w:before="120" w:after="120" w:line="280" w:lineRule="atLeast"/>
        <w:ind w:left="426" w:right="88"/>
        <w:jc w:val="center"/>
      </w:pPr>
      <w:r w:rsidRPr="009146F9">
        <w:rPr>
          <w:noProof/>
        </w:rPr>
        <w:drawing>
          <wp:inline distT="0" distB="0" distL="0" distR="0" wp14:anchorId="74582C8E" wp14:editId="75B237CC">
            <wp:extent cx="3821502" cy="1768415"/>
            <wp:effectExtent l="0" t="0" r="7620" b="3810"/>
            <wp:docPr id="157" name="Object 157" descr="Summary of information in this chart provided in preceeding paragraph." title="Proportion of population drinking more than two standard drinks on any day"/>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85A79" w:rsidRPr="009146F9" w:rsidRDefault="00485A79" w:rsidP="00FC47DF">
      <w:pPr>
        <w:pStyle w:val="Caption"/>
        <w:keepNext/>
        <w:spacing w:before="0" w:after="0" w:line="240" w:lineRule="auto"/>
        <w:ind w:left="919"/>
        <w:rPr>
          <w:noProof/>
          <w:lang w:eastAsia="en-AU"/>
        </w:rPr>
      </w:pPr>
      <w:r w:rsidRPr="009146F9">
        <w:t>Alcohol consumption exceeding lifetime risk NHMRC 2009 guidelines by jurisdiction 2014-15</w:t>
      </w:r>
      <w:r w:rsidRPr="009146F9">
        <w:rPr>
          <w:noProof/>
          <w:lang w:eastAsia="en-AU"/>
        </w:rPr>
        <w:t xml:space="preserve"> (age standardised) </w:t>
      </w:r>
    </w:p>
    <w:p w:rsidR="00485A79" w:rsidRPr="009146F9" w:rsidRDefault="00485A79" w:rsidP="00FC47DF">
      <w:pPr>
        <w:pStyle w:val="ListParagraph"/>
        <w:keepNext/>
        <w:spacing w:after="0" w:line="240" w:lineRule="auto"/>
        <w:ind w:left="919"/>
        <w:rPr>
          <w:rFonts w:ascii="Gill Sans MT" w:hAnsi="Gill Sans MT"/>
          <w:i/>
          <w:noProof/>
          <w:sz w:val="20"/>
          <w:szCs w:val="20"/>
          <w:lang w:eastAsia="en-AU"/>
        </w:rPr>
      </w:pPr>
      <w:r w:rsidRPr="009146F9">
        <w:rPr>
          <w:rFonts w:ascii="Gill Sans MT" w:hAnsi="Gill Sans MT"/>
          <w:i/>
          <w:sz w:val="20"/>
          <w:szCs w:val="20"/>
        </w:rPr>
        <w:t xml:space="preserve">Source:  Based on Australian Bureau of Statistics material, Australian Health Survey First Results, 2014-15 </w:t>
      </w:r>
      <w:r w:rsidRPr="009146F9">
        <w:rPr>
          <w:rFonts w:ascii="Gill Sans MT" w:hAnsi="Gill Sans MT"/>
          <w:i/>
          <w:sz w:val="20"/>
          <w:szCs w:val="20"/>
        </w:rPr>
        <w:fldChar w:fldCharType="begin"/>
      </w:r>
      <w:r w:rsidRPr="009146F9">
        <w:rPr>
          <w:rFonts w:ascii="Gill Sans MT" w:hAnsi="Gill Sans MT"/>
          <w:i/>
          <w:sz w:val="20"/>
          <w:szCs w:val="20"/>
        </w:rPr>
        <w:instrText xml:space="preserve"> ADDIN EN.CITE &lt;EndNote&gt;&lt;Cite&gt;&lt;Author&gt;Australian Bureau of Statistics&lt;/Author&gt;&lt;Year&gt;2015&lt;/Year&gt;&lt;RecNum&gt;29&lt;/RecNum&gt;&lt;DisplayText&gt;(10)&lt;/DisplayText&gt;&lt;record&gt;&lt;rec-number&gt;29&lt;/rec-number&gt;&lt;foreign-keys&gt;&lt;key app="EN" db-id="d20zxx0xf2efe5e29x4vtdtwtetp2wpzsedt"&gt;29&lt;/key&gt;&lt;/foreign-keys&gt;&lt;ref-type name="Web Page"&gt;12&lt;/ref-type&gt;&lt;contributors&gt;&lt;authors&gt;&lt;author&gt;Australian Bureau of Statistics,&lt;/author&gt;&lt;/authors&gt;&lt;/contributors&gt;&lt;titles&gt;&lt;title&gt;National Health Survey: First Results, 2014-15&lt;/title&gt;&lt;/titles&gt;&lt;volume&gt;2016&lt;/volume&gt;&lt;number&gt;15 Jun&lt;/number&gt;&lt;dates&gt;&lt;year&gt;2015&lt;/year&gt;&lt;/dates&gt;&lt;pub-location&gt;Canberra&lt;/pub-location&gt;&lt;publisher&gt;ABS&lt;/publisher&gt;&lt;work-type&gt;INTERNET&lt;/work-type&gt;&lt;urls&gt;&lt;related-urls&gt;&lt;url&gt;http://www.abs.gov.au/AUSSTATS/abs@.nsf/DetailsPage/4364.0.55.0012014-15?OpenDocument&lt;/url&gt;&lt;/related-urls&gt;&lt;/urls&gt;&lt;/record&gt;&lt;/Cite&gt;&lt;/EndNote&gt;</w:instrText>
      </w:r>
      <w:r w:rsidRPr="009146F9">
        <w:rPr>
          <w:rFonts w:ascii="Gill Sans MT" w:hAnsi="Gill Sans MT"/>
          <w:i/>
          <w:sz w:val="20"/>
          <w:szCs w:val="20"/>
        </w:rPr>
        <w:fldChar w:fldCharType="separate"/>
      </w:r>
      <w:r w:rsidRPr="009146F9">
        <w:rPr>
          <w:rFonts w:ascii="Gill Sans MT" w:hAnsi="Gill Sans MT"/>
          <w:i/>
          <w:noProof/>
          <w:sz w:val="20"/>
          <w:szCs w:val="20"/>
        </w:rPr>
        <w:t>(</w:t>
      </w:r>
      <w:hyperlink w:anchor="_ENREF_10" w:tooltip="Australian Bureau of Statistics, 2015 #29" w:history="1">
        <w:r w:rsidRPr="009146F9">
          <w:rPr>
            <w:rFonts w:ascii="Gill Sans MT" w:hAnsi="Gill Sans MT"/>
            <w:i/>
            <w:noProof/>
            <w:sz w:val="20"/>
            <w:szCs w:val="20"/>
          </w:rPr>
          <w:t>10</w:t>
        </w:r>
      </w:hyperlink>
      <w:r w:rsidRPr="009146F9">
        <w:rPr>
          <w:rFonts w:ascii="Gill Sans MT" w:hAnsi="Gill Sans MT"/>
          <w:i/>
          <w:noProof/>
          <w:sz w:val="20"/>
          <w:szCs w:val="20"/>
        </w:rPr>
        <w:t>)</w:t>
      </w:r>
      <w:r w:rsidRPr="009146F9">
        <w:rPr>
          <w:rFonts w:ascii="Gill Sans MT" w:hAnsi="Gill Sans MT"/>
          <w:i/>
          <w:sz w:val="20"/>
          <w:szCs w:val="20"/>
        </w:rPr>
        <w:fldChar w:fldCharType="end"/>
      </w:r>
    </w:p>
    <w:p w:rsidR="00456BC9" w:rsidRPr="009146F9" w:rsidRDefault="00456BC9" w:rsidP="00BA74FA">
      <w:pPr>
        <w:pStyle w:val="Heading3"/>
      </w:pPr>
      <w:r w:rsidRPr="009146F9">
        <w:t xml:space="preserve">Single occasion risk of harm </w:t>
      </w:r>
    </w:p>
    <w:p w:rsidR="00456BC9" w:rsidRPr="009146F9" w:rsidRDefault="00456BC9" w:rsidP="00FC47DF">
      <w:pPr>
        <w:pStyle w:val="BodyCopy"/>
        <w:keepNext/>
        <w:spacing w:before="120" w:after="120" w:line="280" w:lineRule="atLeast"/>
        <w:rPr>
          <w:b/>
          <w:color w:val="365F91" w:themeColor="accent1" w:themeShade="BF"/>
        </w:rPr>
      </w:pPr>
      <w:r w:rsidRPr="009146F9">
        <w:rPr>
          <w:b/>
          <w:color w:val="365F91" w:themeColor="accent1" w:themeShade="BF"/>
        </w:rPr>
        <w:t>Drinking more than 4 standard drinks on any occasion increases our risk of alcohol-related injury on that occasion</w:t>
      </w:r>
      <w:hyperlink w:anchor="_ENREF_4" w:tooltip="National Health and Medical Research Council, 2009 #26" w:history="1">
        <w:r w:rsidRPr="009146F9">
          <w:rPr>
            <w:b/>
            <w:color w:val="365F91" w:themeColor="accent1" w:themeShade="BF"/>
          </w:rPr>
          <w:fldChar w:fldCharType="begin"/>
        </w:r>
        <w:r w:rsidRPr="009146F9">
          <w:rPr>
            <w:b/>
            <w:color w:val="365F91" w:themeColor="accent1" w:themeShade="BF"/>
          </w:rPr>
          <w:instrText xml:space="preserve"> ADDIN EN.CITE &lt;EndNote&gt;&lt;Cite&gt;&lt;Author&gt;National Health and Medical Research Council&lt;/Author&gt;&lt;Year&gt;2009&lt;/Year&gt;&lt;RecNum&gt;26&lt;/RecNum&gt;&lt;DisplayText&gt;&lt;style face="superscript"&gt;4&lt;/style&gt;&lt;/DisplayText&gt;&lt;record&gt;&lt;rec-number&gt;26&lt;/rec-number&gt;&lt;foreign-keys&gt;&lt;key app="EN" db-id="d20zxx0xf2efe5e29x4vtdtwtetp2wpzsedt"&gt;26&lt;/key&gt;&lt;/foreign-keys&gt;&lt;ref-type name="Government Document"&gt;46&lt;/ref-type&gt;&lt;contributors&gt;&lt;authors&gt;&lt;author&gt;National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alcohol&lt;/title&gt;&lt;/titles&gt;&lt;dates&gt;&lt;year&gt;2009&lt;/year&gt;&lt;/dates&gt;&lt;pub-location&gt;Canberra&lt;/pub-location&gt;&lt;publisher&gt;Commonwealth of Australia&lt;/publisher&gt;&lt;urls&gt;&lt;/urls&gt;&lt;/record&gt;&lt;/Cite&gt;&lt;/EndNote&gt;</w:instrText>
        </w:r>
        <w:r w:rsidRPr="009146F9">
          <w:rPr>
            <w:b/>
            <w:color w:val="365F91" w:themeColor="accent1" w:themeShade="BF"/>
          </w:rPr>
          <w:fldChar w:fldCharType="separate"/>
        </w:r>
        <w:r w:rsidRPr="009146F9">
          <w:rPr>
            <w:b/>
            <w:noProof/>
            <w:color w:val="365F91" w:themeColor="accent1" w:themeShade="BF"/>
            <w:vertAlign w:val="superscript"/>
          </w:rPr>
          <w:t>4</w:t>
        </w:r>
        <w:r w:rsidRPr="009146F9">
          <w:rPr>
            <w:b/>
            <w:color w:val="365F91" w:themeColor="accent1" w:themeShade="BF"/>
          </w:rPr>
          <w:fldChar w:fldCharType="end"/>
        </w:r>
      </w:hyperlink>
    </w:p>
    <w:p w:rsidR="00456BC9" w:rsidRPr="009146F9" w:rsidRDefault="00456BC9" w:rsidP="00FC47DF">
      <w:pPr>
        <w:pStyle w:val="BodyCopy"/>
        <w:keepNext/>
        <w:numPr>
          <w:ilvl w:val="0"/>
          <w:numId w:val="20"/>
        </w:numPr>
        <w:spacing w:before="120" w:after="120" w:line="280" w:lineRule="atLeast"/>
        <w:ind w:left="567" w:hanging="283"/>
      </w:pPr>
      <w:r w:rsidRPr="009146F9">
        <w:t>49.2</w:t>
      </w:r>
      <w:r w:rsidR="005832A8" w:rsidRPr="009146F9">
        <w:t xml:space="preserve"> per cent</w:t>
      </w:r>
      <w:r w:rsidRPr="009146F9">
        <w:t xml:space="preserve"> of Tasmanian adults exceeded the guidelines in 2014-15</w:t>
      </w:r>
      <w:hyperlink w:anchor="_ENREF_5" w:tooltip="Australian Bureau of Statistics, 2015 #29" w:history="1">
        <w:r w:rsidRPr="009146F9">
          <w:fldChar w:fldCharType="begin"/>
        </w:r>
        <w:r w:rsidRPr="009146F9">
          <w:instrText xml:space="preserve"> ADDIN EN.CITE &lt;EndNote&gt;&lt;Cite&gt;&lt;Author&gt;Australian Bureau of Statistics&lt;/Author&gt;&lt;Year&gt;2015&lt;/Year&gt;&lt;RecNum&gt;29&lt;/RecNum&gt;&lt;DisplayText&gt;&lt;style face="superscript"&gt;5&lt;/style&gt;&lt;/DisplayText&gt;&lt;record&gt;&lt;rec-number&gt;29&lt;/rec-number&gt;&lt;foreign-keys&gt;&lt;key app="EN" db-id="d20zxx0xf2efe5e29x4vtdtwtetp2wpzsedt"&gt;29&lt;/key&gt;&lt;/foreign-keys&gt;&lt;ref-type name="Web Page"&gt;12&lt;/ref-type&gt;&lt;contributors&gt;&lt;authors&gt;&lt;author&gt;Australian Bureau of Statistics,&lt;/author&gt;&lt;/authors&gt;&lt;/contributors&gt;&lt;titles&gt;&lt;title&gt;National Health Survey: First Results, 2014-15&lt;/title&gt;&lt;/titles&gt;&lt;volume&gt;2016&lt;/volume&gt;&lt;number&gt;15 Jun&lt;/number&gt;&lt;dates&gt;&lt;year&gt;2015&lt;/year&gt;&lt;/dates&gt;&lt;pub-location&gt;Canberra&lt;/pub-location&gt;&lt;publisher&gt;ABS&lt;/publisher&gt;&lt;work-type&gt;INTERNET&lt;/work-type&gt;&lt;urls&gt;&lt;related-urls&gt;&lt;url&gt;http://www.abs.gov.au/AUSSTATS/abs@.nsf/DetailsPage/4364.0.55.0012014-15?OpenDocument&lt;/url&gt;&lt;/related-urls&gt;&lt;/urls&gt;&lt;/record&gt;&lt;/Cite&gt;&lt;/EndNote&gt;</w:instrText>
        </w:r>
        <w:r w:rsidRPr="009146F9">
          <w:fldChar w:fldCharType="separate"/>
        </w:r>
        <w:r w:rsidRPr="009146F9">
          <w:rPr>
            <w:noProof/>
            <w:vertAlign w:val="superscript"/>
          </w:rPr>
          <w:t>5</w:t>
        </w:r>
        <w:r w:rsidRPr="009146F9">
          <w:fldChar w:fldCharType="end"/>
        </w:r>
      </w:hyperlink>
      <w:r w:rsidRPr="009146F9">
        <w:t>. The rate was similar (48.9</w:t>
      </w:r>
      <w:r w:rsidR="005832A8" w:rsidRPr="009146F9">
        <w:t xml:space="preserve"> per cent</w:t>
      </w:r>
      <w:r w:rsidRPr="009146F9">
        <w:t xml:space="preserve">) in 2011-12.  </w:t>
      </w:r>
    </w:p>
    <w:p w:rsidR="00456BC9" w:rsidRPr="009146F9" w:rsidRDefault="00456BC9" w:rsidP="00FC47DF">
      <w:pPr>
        <w:pStyle w:val="BodyCopy"/>
        <w:keepNext/>
        <w:numPr>
          <w:ilvl w:val="0"/>
          <w:numId w:val="20"/>
        </w:numPr>
        <w:spacing w:before="120" w:after="120" w:line="280" w:lineRule="atLeast"/>
        <w:ind w:left="567" w:hanging="283"/>
      </w:pPr>
      <w:r w:rsidRPr="009146F9">
        <w:t>Tasmania has the highest rate of adults exceeding the guideline in Australia</w:t>
      </w:r>
      <w:hyperlink w:anchor="_ENREF_5" w:tooltip="Australian Bureau of Statistics, 2015 #29" w:history="1">
        <w:r w:rsidRPr="009146F9">
          <w:fldChar w:fldCharType="begin"/>
        </w:r>
        <w:r w:rsidRPr="009146F9">
          <w:instrText xml:space="preserve"> ADDIN EN.CITE &lt;EndNote&gt;&lt;Cite&gt;&lt;Author&gt;Australian Bureau of Statistics&lt;/Author&gt;&lt;Year&gt;2015&lt;/Year&gt;&lt;RecNum&gt;29&lt;/RecNum&gt;&lt;DisplayText&gt;&lt;style face="superscript"&gt;5&lt;/style&gt;&lt;/DisplayText&gt;&lt;record&gt;&lt;rec-number&gt;29&lt;/rec-number&gt;&lt;foreign-keys&gt;&lt;key app="EN" db-id="d20zxx0xf2efe5e29x4vtdtwtetp2wpzsedt"&gt;29&lt;/key&gt;&lt;/foreign-keys&gt;&lt;ref-type name="Web Page"&gt;12&lt;/ref-type&gt;&lt;contributors&gt;&lt;authors&gt;&lt;author&gt;Australian Bureau of Statistics,&lt;/author&gt;&lt;/authors&gt;&lt;/contributors&gt;&lt;titles&gt;&lt;title&gt;National Health Survey: First Results, 2014-15&lt;/title&gt;&lt;/titles&gt;&lt;volume&gt;2016&lt;/volume&gt;&lt;number&gt;15 Jun&lt;/number&gt;&lt;dates&gt;&lt;year&gt;2015&lt;/year&gt;&lt;/dates&gt;&lt;pub-location&gt;Canberra&lt;/pub-location&gt;&lt;publisher&gt;ABS&lt;/publisher&gt;&lt;work-type&gt;INTERNET&lt;/work-type&gt;&lt;urls&gt;&lt;related-urls&gt;&lt;url&gt;http://www.abs.gov.au/AUSSTATS/abs@.nsf/DetailsPage/4364.0.55.0012014-15?OpenDocument&lt;/url&gt;&lt;/related-urls&gt;&lt;/urls&gt;&lt;/record&gt;&lt;/Cite&gt;&lt;/EndNote&gt;</w:instrText>
        </w:r>
        <w:r w:rsidRPr="009146F9">
          <w:fldChar w:fldCharType="separate"/>
        </w:r>
        <w:r w:rsidRPr="009146F9">
          <w:rPr>
            <w:noProof/>
            <w:vertAlign w:val="superscript"/>
          </w:rPr>
          <w:t>5</w:t>
        </w:r>
        <w:r w:rsidRPr="009146F9">
          <w:fldChar w:fldCharType="end"/>
        </w:r>
      </w:hyperlink>
    </w:p>
    <w:p w:rsidR="00485A79" w:rsidRPr="009146F9" w:rsidRDefault="00485A79" w:rsidP="00FC47DF">
      <w:pPr>
        <w:keepNext/>
        <w:jc w:val="center"/>
        <w:rPr>
          <w:rFonts w:ascii="Gill Sans MT" w:hAnsi="Gill Sans MT"/>
        </w:rPr>
      </w:pPr>
      <w:r w:rsidRPr="009146F9">
        <w:rPr>
          <w:rFonts w:ascii="Gill Sans MT" w:hAnsi="Gill Sans MT"/>
          <w:noProof/>
          <w:lang w:eastAsia="en-AU"/>
        </w:rPr>
        <w:drawing>
          <wp:inline distT="0" distB="0" distL="0" distR="0" wp14:anchorId="39A5C94D" wp14:editId="2828551B">
            <wp:extent cx="4166559" cy="2277374"/>
            <wp:effectExtent l="0" t="0" r="5715" b="8890"/>
            <wp:docPr id="29" name="Chart 10" descr="Summary of this chart provided in preceeding paragraph." title="Proportion of population drinking exceeding guidelin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85A79" w:rsidRPr="009146F9" w:rsidRDefault="00485A79" w:rsidP="00FC47DF">
      <w:pPr>
        <w:pStyle w:val="Caption"/>
        <w:keepNext/>
        <w:tabs>
          <w:tab w:val="clear" w:pos="567"/>
          <w:tab w:val="left" w:pos="993"/>
        </w:tabs>
        <w:spacing w:before="0" w:after="0" w:line="240" w:lineRule="auto"/>
        <w:ind w:left="993"/>
      </w:pPr>
      <w:r w:rsidRPr="009146F9">
        <w:t xml:space="preserve">Alcohol consumption exceeding single occasion risk, 18 years and over, by jurisdiction, 2014-15 (age standardised).  </w:t>
      </w:r>
    </w:p>
    <w:p w:rsidR="00485A79" w:rsidRPr="009146F9" w:rsidRDefault="00485A79" w:rsidP="00FC47DF">
      <w:pPr>
        <w:keepNext/>
        <w:tabs>
          <w:tab w:val="left" w:pos="993"/>
        </w:tabs>
        <w:spacing w:after="0" w:line="240" w:lineRule="auto"/>
        <w:ind w:left="993"/>
        <w:rPr>
          <w:rFonts w:ascii="Gill Sans MT" w:hAnsi="Gill Sans MT"/>
          <w:i/>
          <w:sz w:val="20"/>
          <w:szCs w:val="20"/>
        </w:rPr>
      </w:pPr>
      <w:r w:rsidRPr="009146F9">
        <w:rPr>
          <w:rFonts w:ascii="Gill Sans MT" w:hAnsi="Gill Sans MT"/>
          <w:i/>
          <w:sz w:val="20"/>
          <w:szCs w:val="20"/>
        </w:rPr>
        <w:t xml:space="preserve">Source: Based on Australian Bureau of Statistics material, Australian Health Survey First Results, 2014-15 </w:t>
      </w:r>
      <w:r w:rsidRPr="009146F9">
        <w:rPr>
          <w:rFonts w:ascii="Gill Sans MT" w:hAnsi="Gill Sans MT"/>
          <w:i/>
          <w:sz w:val="20"/>
          <w:szCs w:val="20"/>
        </w:rPr>
        <w:fldChar w:fldCharType="begin"/>
      </w:r>
      <w:r w:rsidRPr="009146F9">
        <w:rPr>
          <w:rFonts w:ascii="Gill Sans MT" w:hAnsi="Gill Sans MT"/>
          <w:i/>
          <w:sz w:val="20"/>
          <w:szCs w:val="20"/>
        </w:rPr>
        <w:instrText xml:space="preserve"> ADDIN EN.CITE &lt;EndNote&gt;&lt;Cite&gt;&lt;Author&gt;Australian Bureau of Statistics&lt;/Author&gt;&lt;Year&gt;2015&lt;/Year&gt;&lt;RecNum&gt;29&lt;/RecNum&gt;&lt;DisplayText&gt;(10)&lt;/DisplayText&gt;&lt;record&gt;&lt;rec-number&gt;29&lt;/rec-number&gt;&lt;foreign-keys&gt;&lt;key app="EN" db-id="d20zxx0xf2efe5e29x4vtdtwtetp2wpzsedt"&gt;29&lt;/key&gt;&lt;/foreign-keys&gt;&lt;ref-type name="Web Page"&gt;12&lt;/ref-type&gt;&lt;contributors&gt;&lt;authors&gt;&lt;author&gt;Australian Bureau of Statistics,&lt;/author&gt;&lt;/authors&gt;&lt;/contributors&gt;&lt;titles&gt;&lt;title&gt;National Health Survey: First Results, 2014-15&lt;/title&gt;&lt;/titles&gt;&lt;volume&gt;2016&lt;/volume&gt;&lt;number&gt;15 Jun&lt;/number&gt;&lt;dates&gt;&lt;year&gt;2015&lt;/year&gt;&lt;/dates&gt;&lt;pub-location&gt;Canberra&lt;/pub-location&gt;&lt;publisher&gt;ABS&lt;/publisher&gt;&lt;work-type&gt;INTERNET&lt;/work-type&gt;&lt;urls&gt;&lt;related-urls&gt;&lt;url&gt;http://www.abs.gov.au/AUSSTATS/abs@.nsf/DetailsPage/4364.0.55.0012014-15?OpenDocument&lt;/url&gt;&lt;/related-urls&gt;&lt;/urls&gt;&lt;/record&gt;&lt;/Cite&gt;&lt;/EndNote&gt;</w:instrText>
      </w:r>
      <w:r w:rsidRPr="009146F9">
        <w:rPr>
          <w:rFonts w:ascii="Gill Sans MT" w:hAnsi="Gill Sans MT"/>
          <w:i/>
          <w:sz w:val="20"/>
          <w:szCs w:val="20"/>
        </w:rPr>
        <w:fldChar w:fldCharType="separate"/>
      </w:r>
      <w:r w:rsidRPr="009146F9">
        <w:rPr>
          <w:rFonts w:ascii="Gill Sans MT" w:hAnsi="Gill Sans MT"/>
          <w:i/>
          <w:noProof/>
          <w:sz w:val="20"/>
          <w:szCs w:val="20"/>
        </w:rPr>
        <w:t>(</w:t>
      </w:r>
      <w:hyperlink w:anchor="_ENREF_10" w:tooltip="Australian Bureau of Statistics, 2015 #29" w:history="1">
        <w:r w:rsidRPr="009146F9">
          <w:rPr>
            <w:rFonts w:ascii="Gill Sans MT" w:hAnsi="Gill Sans MT"/>
            <w:i/>
            <w:noProof/>
            <w:sz w:val="20"/>
            <w:szCs w:val="20"/>
          </w:rPr>
          <w:t>10</w:t>
        </w:r>
      </w:hyperlink>
      <w:r w:rsidRPr="009146F9">
        <w:rPr>
          <w:rFonts w:ascii="Gill Sans MT" w:hAnsi="Gill Sans MT"/>
          <w:i/>
          <w:noProof/>
          <w:sz w:val="20"/>
          <w:szCs w:val="20"/>
        </w:rPr>
        <w:t>)</w:t>
      </w:r>
      <w:r w:rsidRPr="009146F9">
        <w:rPr>
          <w:rFonts w:ascii="Gill Sans MT" w:hAnsi="Gill Sans MT"/>
          <w:i/>
          <w:sz w:val="20"/>
          <w:szCs w:val="20"/>
        </w:rPr>
        <w:fldChar w:fldCharType="end"/>
      </w:r>
    </w:p>
    <w:p w:rsidR="00456BC9" w:rsidRPr="009146F9" w:rsidRDefault="00456BC9" w:rsidP="009146F9">
      <w:pPr>
        <w:pStyle w:val="Heading2"/>
      </w:pPr>
      <w:r w:rsidRPr="009146F9">
        <w:t xml:space="preserve">Alcohol </w:t>
      </w:r>
      <w:r w:rsidR="00DB40DC" w:rsidRPr="009146F9">
        <w:t>use by</w:t>
      </w:r>
      <w:r w:rsidRPr="009146F9">
        <w:t xml:space="preserve"> Young People</w:t>
      </w:r>
    </w:p>
    <w:p w:rsidR="00456BC9" w:rsidRPr="009146F9" w:rsidRDefault="00456BC9" w:rsidP="00FC47DF">
      <w:pPr>
        <w:pStyle w:val="BodyCopy"/>
        <w:keepNext/>
        <w:spacing w:before="120" w:after="120" w:line="280" w:lineRule="atLeast"/>
        <w:rPr>
          <w:b/>
          <w:color w:val="365F91" w:themeColor="accent1" w:themeShade="BF"/>
        </w:rPr>
      </w:pPr>
      <w:r w:rsidRPr="009146F9">
        <w:rPr>
          <w:b/>
          <w:color w:val="365F91" w:themeColor="accent1" w:themeShade="BF"/>
        </w:rPr>
        <w:t>Young people under the age of 18 are at higher risk of alcohol related harm and are recommended not to drink any alcohol</w:t>
      </w:r>
      <w:hyperlink w:anchor="_ENREF_4" w:tooltip="National Health and Medical Research Council, 2009 #26" w:history="1">
        <w:r w:rsidRPr="009146F9">
          <w:rPr>
            <w:b/>
            <w:color w:val="365F91" w:themeColor="accent1" w:themeShade="BF"/>
          </w:rPr>
          <w:fldChar w:fldCharType="begin"/>
        </w:r>
        <w:r w:rsidRPr="009146F9">
          <w:rPr>
            <w:b/>
            <w:color w:val="365F91" w:themeColor="accent1" w:themeShade="BF"/>
          </w:rPr>
          <w:instrText xml:space="preserve"> ADDIN EN.CITE &lt;EndNote&gt;&lt;Cite&gt;&lt;Author&gt;National Health and Medical Research Council&lt;/Author&gt;&lt;Year&gt;2009&lt;/Year&gt;&lt;RecNum&gt;26&lt;/RecNum&gt;&lt;DisplayText&gt;&lt;style face="superscript"&gt;4&lt;/style&gt;&lt;/DisplayText&gt;&lt;record&gt;&lt;rec-number&gt;26&lt;/rec-number&gt;&lt;foreign-keys&gt;&lt;key app="EN" db-id="d20zxx0xf2efe5e29x4vtdtwtetp2wpzsedt"&gt;26&lt;/key&gt;&lt;/foreign-keys&gt;&lt;ref-type name="Government Document"&gt;46&lt;/ref-type&gt;&lt;contributors&gt;&lt;authors&gt;&lt;author&gt;National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alcohol&lt;/title&gt;&lt;/titles&gt;&lt;dates&gt;&lt;year&gt;2009&lt;/year&gt;&lt;/dates&gt;&lt;pub-location&gt;Canberra&lt;/pub-location&gt;&lt;publisher&gt;Commonwealth of Australia&lt;/publisher&gt;&lt;urls&gt;&lt;/urls&gt;&lt;/record&gt;&lt;/Cite&gt;&lt;/EndNote&gt;</w:instrText>
        </w:r>
        <w:r w:rsidRPr="009146F9">
          <w:rPr>
            <w:b/>
            <w:color w:val="365F91" w:themeColor="accent1" w:themeShade="BF"/>
          </w:rPr>
          <w:fldChar w:fldCharType="separate"/>
        </w:r>
        <w:r w:rsidRPr="009146F9">
          <w:rPr>
            <w:b/>
            <w:noProof/>
            <w:color w:val="365F91" w:themeColor="accent1" w:themeShade="BF"/>
            <w:vertAlign w:val="superscript"/>
          </w:rPr>
          <w:t>4</w:t>
        </w:r>
        <w:r w:rsidRPr="009146F9">
          <w:rPr>
            <w:b/>
            <w:color w:val="365F91" w:themeColor="accent1" w:themeShade="BF"/>
          </w:rPr>
          <w:fldChar w:fldCharType="end"/>
        </w:r>
      </w:hyperlink>
    </w:p>
    <w:p w:rsidR="00456BC9" w:rsidRPr="009146F9" w:rsidRDefault="00456BC9" w:rsidP="00FC47DF">
      <w:pPr>
        <w:pStyle w:val="BodyCopy"/>
        <w:keepNext/>
        <w:numPr>
          <w:ilvl w:val="0"/>
          <w:numId w:val="28"/>
        </w:numPr>
        <w:spacing w:before="120" w:after="120" w:line="280" w:lineRule="atLeast"/>
        <w:ind w:left="567" w:hanging="283"/>
      </w:pPr>
      <w:r w:rsidRPr="009146F9">
        <w:t>In Tasmania, many young people have had some experience with alcohol, with 58</w:t>
      </w:r>
      <w:r w:rsidR="005832A8" w:rsidRPr="009146F9">
        <w:t xml:space="preserve"> per cent</w:t>
      </w:r>
      <w:r w:rsidRPr="009146F9">
        <w:t xml:space="preserve"> of 12 to 13 year olds, and 95</w:t>
      </w:r>
      <w:r w:rsidR="005832A8" w:rsidRPr="009146F9">
        <w:t xml:space="preserve"> per cent</w:t>
      </w:r>
      <w:r w:rsidRPr="009146F9">
        <w:t xml:space="preserve"> of 17 year olds reporting having ever drunk alcohol </w:t>
      </w:r>
      <w:hyperlink w:anchor="_ENREF_6" w:tooltip="Williams, 2016 #37" w:history="1">
        <w:r w:rsidRPr="009146F9">
          <w:fldChar w:fldCharType="begin"/>
        </w:r>
        <w:r w:rsidRPr="009146F9">
          <w:instrText xml:space="preserve"> ADDIN EN.CITE &lt;EndNote&gt;&lt;Cite&gt;&lt;Author&gt;Williams&lt;/Author&gt;&lt;Year&gt;2016&lt;/Year&gt;&lt;RecNum&gt;37&lt;/RecNum&gt;&lt;DisplayText&gt;&lt;style face="superscript"&gt;6&lt;/style&gt;&lt;/DisplayText&gt;&lt;record&gt;&lt;rec-number&gt;37&lt;/rec-number&gt;&lt;foreign-keys&gt;&lt;key app="EN" db-id="d20zxx0xf2efe5e29x4vtdtwtetp2wpzsedt"&gt;37&lt;/key&gt;&lt;/foreign-keys&gt;&lt;ref-type name="Report"&gt;27&lt;/ref-type&gt;&lt;contributors&gt;&lt;authors&gt;&lt;author&gt;Williams, T&lt;/author&gt;&lt;author&gt;Katherine, Scalzo&lt;/author&gt;&lt;/authors&gt;&lt;/contributors&gt;&lt;titles&gt;&lt;title&gt;The use of alcohol, tobacco, over-the-counter substances, among Tasmanian secondary school students in 2014 and trends over time&lt;/title&gt;&lt;/titles&gt;&lt;dates&gt;&lt;year&gt;2016&lt;/year&gt;&lt;/dates&gt;&lt;publisher&gt;Centre for Behavioural Research in Cancer Council Victoria, prapared for Cancer Council Tasmania&lt;/publisher&gt;&lt;urls&gt;&lt;/urls&gt;&lt;/record&gt;&lt;/Cite&gt;&lt;/EndNote&gt;</w:instrText>
        </w:r>
        <w:r w:rsidRPr="009146F9">
          <w:fldChar w:fldCharType="separate"/>
        </w:r>
        <w:r w:rsidRPr="009146F9">
          <w:rPr>
            <w:noProof/>
            <w:vertAlign w:val="superscript"/>
          </w:rPr>
          <w:t>6</w:t>
        </w:r>
        <w:r w:rsidRPr="009146F9">
          <w:fldChar w:fldCharType="end"/>
        </w:r>
      </w:hyperlink>
    </w:p>
    <w:p w:rsidR="00456BC9" w:rsidRPr="009146F9" w:rsidRDefault="00456BC9" w:rsidP="00FC47DF">
      <w:pPr>
        <w:pStyle w:val="BodyCopy"/>
        <w:keepNext/>
        <w:numPr>
          <w:ilvl w:val="0"/>
          <w:numId w:val="28"/>
        </w:numPr>
        <w:spacing w:before="120" w:after="120" w:line="280" w:lineRule="atLeast"/>
        <w:ind w:left="567" w:hanging="283"/>
      </w:pPr>
      <w:r w:rsidRPr="009146F9">
        <w:t>Just over 40</w:t>
      </w:r>
      <w:r w:rsidR="005832A8" w:rsidRPr="009146F9">
        <w:t xml:space="preserve"> per cent</w:t>
      </w:r>
      <w:r w:rsidRPr="009146F9">
        <w:t xml:space="preserve"> of young people believe that it is “easy” or “very easy” to obtain alcohol</w:t>
      </w:r>
      <w:hyperlink w:anchor="_ENREF_6" w:tooltip="Williams, 2016 #37" w:history="1">
        <w:r w:rsidRPr="009146F9">
          <w:fldChar w:fldCharType="begin"/>
        </w:r>
        <w:r w:rsidRPr="009146F9">
          <w:instrText xml:space="preserve"> ADDIN EN.CITE &lt;EndNote&gt;&lt;Cite&gt;&lt;Author&gt;Williams&lt;/Author&gt;&lt;Year&gt;2016&lt;/Year&gt;&lt;RecNum&gt;37&lt;/RecNum&gt;&lt;DisplayText&gt;&lt;style face="superscript"&gt;6&lt;/style&gt;&lt;/DisplayText&gt;&lt;record&gt;&lt;rec-number&gt;37&lt;/rec-number&gt;&lt;foreign-keys&gt;&lt;key app="EN" db-id="d20zxx0xf2efe5e29x4vtdtwtetp2wpzsedt"&gt;37&lt;/key&gt;&lt;/foreign-keys&gt;&lt;ref-type name="Report"&gt;27&lt;/ref-type&gt;&lt;contributors&gt;&lt;authors&gt;&lt;author&gt;Williams, T&lt;/author&gt;&lt;author&gt;Katherine, Scalzo&lt;/author&gt;&lt;/authors&gt;&lt;/contributors&gt;&lt;titles&gt;&lt;title&gt;The use of alcohol, tobacco, over-the-counter substances, among Tasmanian secondary school students in 2014 and trends over time&lt;/title&gt;&lt;/titles&gt;&lt;dates&gt;&lt;year&gt;2016&lt;/year&gt;&lt;/dates&gt;&lt;publisher&gt;Centre for Behavioural Research in Cancer Council Victoria, prapared for Cancer Council Tasmania&lt;/publisher&gt;&lt;urls&gt;&lt;/urls&gt;&lt;/record&gt;&lt;/Cite&gt;&lt;/EndNote&gt;</w:instrText>
        </w:r>
        <w:r w:rsidRPr="009146F9">
          <w:fldChar w:fldCharType="separate"/>
        </w:r>
        <w:r w:rsidRPr="009146F9">
          <w:rPr>
            <w:noProof/>
            <w:vertAlign w:val="superscript"/>
          </w:rPr>
          <w:t>6</w:t>
        </w:r>
        <w:r w:rsidRPr="009146F9">
          <w:fldChar w:fldCharType="end"/>
        </w:r>
      </w:hyperlink>
    </w:p>
    <w:p w:rsidR="00456BC9" w:rsidRPr="009146F9" w:rsidRDefault="00456BC9" w:rsidP="00FC47DF">
      <w:pPr>
        <w:pStyle w:val="BodyCopy"/>
        <w:keepNext/>
        <w:numPr>
          <w:ilvl w:val="0"/>
          <w:numId w:val="28"/>
        </w:numPr>
        <w:spacing w:before="120" w:after="120" w:line="280" w:lineRule="atLeast"/>
        <w:ind w:left="567" w:hanging="283"/>
      </w:pPr>
      <w:r w:rsidRPr="009146F9">
        <w:t>18-24 year olds are the age group with the highest level of single occasion risky drinking (76.2</w:t>
      </w:r>
      <w:r w:rsidR="005832A8" w:rsidRPr="009146F9">
        <w:t xml:space="preserve"> per cent</w:t>
      </w:r>
      <w:r w:rsidRPr="009146F9">
        <w:t>)</w:t>
      </w:r>
      <w:hyperlink w:anchor="_ENREF_5" w:tooltip="Australian Bureau of Statistics, 2015 #29" w:history="1">
        <w:r w:rsidRPr="009146F9">
          <w:fldChar w:fldCharType="begin"/>
        </w:r>
        <w:r w:rsidRPr="009146F9">
          <w:instrText xml:space="preserve"> ADDIN EN.CITE &lt;EndNote&gt;&lt;Cite&gt;&lt;Author&gt;Australian Bureau of Statistics&lt;/Author&gt;&lt;Year&gt;2015&lt;/Year&gt;&lt;RecNum&gt;29&lt;/RecNum&gt;&lt;DisplayText&gt;&lt;style face="superscript"&gt;5&lt;/style&gt;&lt;/DisplayText&gt;&lt;record&gt;&lt;rec-number&gt;29&lt;/rec-number&gt;&lt;foreign-keys&gt;&lt;key app="EN" db-id="d20zxx0xf2efe5e29x4vtdtwtetp2wpzsedt"&gt;29&lt;/key&gt;&lt;/foreign-keys&gt;&lt;ref-type name="Web Page"&gt;12&lt;/ref-type&gt;&lt;contributors&gt;&lt;authors&gt;&lt;author&gt;Australian Bureau of Statistics,&lt;/author&gt;&lt;/authors&gt;&lt;/contributors&gt;&lt;titles&gt;&lt;title&gt;National Health Survey: First Results, 2014-15&lt;/title&gt;&lt;/titles&gt;&lt;volume&gt;2016&lt;/volume&gt;&lt;number&gt;15 Jun&lt;/number&gt;&lt;dates&gt;&lt;year&gt;2015&lt;/year&gt;&lt;/dates&gt;&lt;pub-location&gt;Canberra&lt;/pub-location&gt;&lt;publisher&gt;ABS&lt;/publisher&gt;&lt;work-type&gt;INTERNET&lt;/work-type&gt;&lt;urls&gt;&lt;related-urls&gt;&lt;url&gt;http://www.abs.gov.au/AUSSTATS/abs@.nsf/DetailsPage/4364.0.55.0012014-15?OpenDocument&lt;/url&gt;&lt;/related-urls&gt;&lt;/urls&gt;&lt;/record&gt;&lt;/Cite&gt;&lt;/EndNote&gt;</w:instrText>
        </w:r>
        <w:r w:rsidRPr="009146F9">
          <w:fldChar w:fldCharType="separate"/>
        </w:r>
        <w:r w:rsidRPr="009146F9">
          <w:rPr>
            <w:noProof/>
            <w:vertAlign w:val="superscript"/>
          </w:rPr>
          <w:t>5</w:t>
        </w:r>
        <w:r w:rsidRPr="009146F9">
          <w:fldChar w:fldCharType="end"/>
        </w:r>
      </w:hyperlink>
      <w:r w:rsidRPr="009146F9">
        <w:t xml:space="preserve">  </w:t>
      </w:r>
    </w:p>
    <w:p w:rsidR="00456BC9" w:rsidRPr="009146F9" w:rsidRDefault="00456BC9" w:rsidP="009146F9">
      <w:pPr>
        <w:pStyle w:val="Heading2"/>
      </w:pPr>
      <w:r w:rsidRPr="009146F9">
        <w:t xml:space="preserve">Alcohol </w:t>
      </w:r>
      <w:r w:rsidR="00485A79" w:rsidRPr="009146F9">
        <w:t xml:space="preserve">use </w:t>
      </w:r>
      <w:r w:rsidRPr="009146F9">
        <w:t>in Pregnancy</w:t>
      </w:r>
    </w:p>
    <w:p w:rsidR="00456BC9" w:rsidRPr="009146F9" w:rsidRDefault="00456BC9" w:rsidP="00FC47DF">
      <w:pPr>
        <w:pStyle w:val="BodyCopy"/>
        <w:keepNext/>
        <w:tabs>
          <w:tab w:val="left" w:pos="4111"/>
        </w:tabs>
        <w:spacing w:before="120" w:after="120" w:line="280" w:lineRule="atLeast"/>
        <w:ind w:left="284" w:right="88"/>
        <w:rPr>
          <w:b/>
          <w:color w:val="365F91" w:themeColor="accent1" w:themeShade="BF"/>
        </w:rPr>
      </w:pPr>
      <w:r w:rsidRPr="009146F9">
        <w:rPr>
          <w:b/>
          <w:color w:val="365F91" w:themeColor="accent1" w:themeShade="BF"/>
        </w:rPr>
        <w:t>Drinking alcohol in pregnancy can harm the unborn baby. Pregnant or breastfeeding women, and women planning a pregnancy are recommended not to drink any alcohol</w:t>
      </w:r>
      <w:hyperlink w:anchor="_ENREF_4" w:tooltip="National Health and Medical Research Council, 2009 #26" w:history="1">
        <w:r w:rsidRPr="009146F9">
          <w:rPr>
            <w:b/>
            <w:color w:val="365F91" w:themeColor="accent1" w:themeShade="BF"/>
          </w:rPr>
          <w:fldChar w:fldCharType="begin"/>
        </w:r>
        <w:r w:rsidRPr="009146F9">
          <w:rPr>
            <w:b/>
            <w:color w:val="365F91" w:themeColor="accent1" w:themeShade="BF"/>
          </w:rPr>
          <w:instrText xml:space="preserve"> ADDIN EN.CITE &lt;EndNote&gt;&lt;Cite&gt;&lt;Author&gt;National Health and Medical Research Council&lt;/Author&gt;&lt;Year&gt;2009&lt;/Year&gt;&lt;RecNum&gt;26&lt;/RecNum&gt;&lt;DisplayText&gt;&lt;style face="superscript"&gt;4&lt;/style&gt;&lt;/DisplayText&gt;&lt;record&gt;&lt;rec-number&gt;26&lt;/rec-number&gt;&lt;foreign-keys&gt;&lt;key app="EN" db-id="d20zxx0xf2efe5e29x4vtdtwtetp2wpzsedt"&gt;26&lt;/key&gt;&lt;/foreign-keys&gt;&lt;ref-type name="Government Document"&gt;46&lt;/ref-type&gt;&lt;contributors&gt;&lt;authors&gt;&lt;author&gt;National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alcohol&lt;/title&gt;&lt;/titles&gt;&lt;dates&gt;&lt;year&gt;2009&lt;/year&gt;&lt;/dates&gt;&lt;pub-location&gt;Canberra&lt;/pub-location&gt;&lt;publisher&gt;Commonwealth of Australia&lt;/publisher&gt;&lt;urls&gt;&lt;/urls&gt;&lt;/record&gt;&lt;/Cite&gt;&lt;/EndNote&gt;</w:instrText>
        </w:r>
        <w:r w:rsidRPr="009146F9">
          <w:rPr>
            <w:b/>
            <w:color w:val="365F91" w:themeColor="accent1" w:themeShade="BF"/>
          </w:rPr>
          <w:fldChar w:fldCharType="separate"/>
        </w:r>
        <w:r w:rsidRPr="009146F9">
          <w:rPr>
            <w:b/>
            <w:noProof/>
            <w:color w:val="365F91" w:themeColor="accent1" w:themeShade="BF"/>
            <w:vertAlign w:val="superscript"/>
          </w:rPr>
          <w:t>4</w:t>
        </w:r>
        <w:r w:rsidRPr="009146F9">
          <w:rPr>
            <w:b/>
            <w:color w:val="365F91" w:themeColor="accent1" w:themeShade="BF"/>
          </w:rPr>
          <w:fldChar w:fldCharType="end"/>
        </w:r>
      </w:hyperlink>
      <w:r w:rsidRPr="009146F9">
        <w:rPr>
          <w:b/>
          <w:color w:val="365F91" w:themeColor="accent1" w:themeShade="BF"/>
        </w:rPr>
        <w:t xml:space="preserve"> </w:t>
      </w:r>
    </w:p>
    <w:p w:rsidR="00456BC9" w:rsidRPr="009146F9" w:rsidRDefault="00456BC9" w:rsidP="00FC47DF">
      <w:pPr>
        <w:pStyle w:val="BodyCopy"/>
        <w:keepNext/>
        <w:numPr>
          <w:ilvl w:val="0"/>
          <w:numId w:val="27"/>
        </w:numPr>
        <w:spacing w:before="120" w:after="120" w:line="280" w:lineRule="atLeast"/>
        <w:ind w:left="567" w:hanging="283"/>
      </w:pPr>
      <w:r w:rsidRPr="009146F9">
        <w:t>The number of women drinking alcohol in pregnancy has decreased in recent years in Tasmania</w:t>
      </w:r>
      <w:hyperlink w:anchor="_ENREF_7" w:tooltip="Department of Health and Human Services, 2015 #31" w:history="1">
        <w:r w:rsidRPr="009146F9">
          <w:fldChar w:fldCharType="begin"/>
        </w:r>
        <w:r w:rsidRPr="009146F9">
          <w:instrText xml:space="preserve"> ADDIN EN.CITE &lt;EndNote&gt;&lt;Cite&gt;&lt;Author&gt;Department of Health and Human Services&lt;/Author&gt;&lt;Year&gt;2015&lt;/Year&gt;&lt;RecNum&gt;31&lt;/RecNum&gt;&lt;DisplayText&gt;&lt;style face="superscript"&gt;7&lt;/style&gt;&lt;/DisplayText&gt;&lt;record&gt;&lt;rec-number&gt;31&lt;/rec-number&gt;&lt;foreign-keys&gt;&lt;key app="EN" db-id="d20zxx0xf2efe5e29x4vtdtwtetp2wpzsedt"&gt;31&lt;/key&gt;&lt;/foreign-keys&gt;&lt;ref-type name="Personal Communication"&gt;26&lt;/ref-type&gt;&lt;contributors&gt;&lt;authors&gt;&lt;author&gt;Department of Health and Human Services,&lt;/author&gt;&lt;/authors&gt;&lt;/contributors&gt;&lt;titles&gt;&lt;title&gt;Council of Obstetric &amp;amp; Paediatric Mortality &amp;amp; Morbidity Annua reprt 2013&lt;/title&gt;&lt;/titles&gt;&lt;dates&gt;&lt;year&gt;2015&lt;/year&gt;&lt;/dates&gt;&lt;pub-location&gt;Hobart&lt;/pub-location&gt;&lt;publisher&gt;Tasmanian Government&lt;/publisher&gt;&lt;urls&gt;&lt;/urls&gt;&lt;/record&gt;&lt;/Cite&gt;&lt;/EndNote&gt;</w:instrText>
        </w:r>
        <w:r w:rsidRPr="009146F9">
          <w:fldChar w:fldCharType="separate"/>
        </w:r>
        <w:r w:rsidRPr="009146F9">
          <w:rPr>
            <w:noProof/>
            <w:vertAlign w:val="superscript"/>
          </w:rPr>
          <w:t>7</w:t>
        </w:r>
        <w:r w:rsidRPr="009146F9">
          <w:fldChar w:fldCharType="end"/>
        </w:r>
      </w:hyperlink>
    </w:p>
    <w:p w:rsidR="00FC47DF" w:rsidRPr="009146F9" w:rsidRDefault="00FC47DF" w:rsidP="00FC47DF">
      <w:pPr>
        <w:pStyle w:val="BodyCopy"/>
        <w:keepNext/>
        <w:numPr>
          <w:ilvl w:val="0"/>
          <w:numId w:val="27"/>
        </w:numPr>
        <w:spacing w:before="120" w:after="120" w:line="280" w:lineRule="atLeast"/>
        <w:ind w:left="567" w:hanging="284"/>
      </w:pPr>
      <w:r w:rsidRPr="009146F9">
        <w:t>In 2013 6.4 per cent of women reported consumption of alcohol during pregnancy</w:t>
      </w:r>
      <w:hyperlink w:anchor="_ENREF_7" w:tooltip="Department of Health and Human Services, 2015 #31" w:history="1">
        <w:r w:rsidRPr="009146F9">
          <w:fldChar w:fldCharType="begin"/>
        </w:r>
        <w:r w:rsidRPr="009146F9">
          <w:instrText xml:space="preserve"> ADDIN EN.CITE &lt;EndNote&gt;&lt;Cite&gt;&lt;Author&gt;Department of Health and Human Services&lt;/Author&gt;&lt;Year&gt;2015&lt;/Year&gt;&lt;RecNum&gt;31&lt;/RecNum&gt;&lt;DisplayText&gt;&lt;style face="superscript"&gt;7&lt;/style&gt;&lt;/DisplayText&gt;&lt;record&gt;&lt;rec-number&gt;31&lt;/rec-number&gt;&lt;foreign-keys&gt;&lt;key app="EN" db-id="d20zxx0xf2efe5e29x4vtdtwtetp2wpzsedt"&gt;31&lt;/key&gt;&lt;/foreign-keys&gt;&lt;ref-type name="Personal Communication"&gt;26&lt;/ref-type&gt;&lt;contributors&gt;&lt;authors&gt;&lt;author&gt;Department of Health and Human Services,&lt;/author&gt;&lt;/authors&gt;&lt;/contributors&gt;&lt;titles&gt;&lt;title&gt;Council of Obstetric &amp;amp; Paediatric Mortality &amp;amp; Morbidity Annua reprt 2013&lt;/title&gt;&lt;/titles&gt;&lt;dates&gt;&lt;year&gt;2015&lt;/year&gt;&lt;/dates&gt;&lt;pub-location&gt;Hobart&lt;/pub-location&gt;&lt;publisher&gt;Tasmanian Government&lt;/publisher&gt;&lt;urls&gt;&lt;/urls&gt;&lt;/record&gt;&lt;/Cite&gt;&lt;/EndNote&gt;</w:instrText>
        </w:r>
        <w:r w:rsidRPr="009146F9">
          <w:fldChar w:fldCharType="separate"/>
        </w:r>
        <w:r w:rsidRPr="009146F9">
          <w:rPr>
            <w:noProof/>
            <w:vertAlign w:val="superscript"/>
          </w:rPr>
          <w:t>7</w:t>
        </w:r>
        <w:r w:rsidRPr="009146F9">
          <w:fldChar w:fldCharType="end"/>
        </w:r>
      </w:hyperlink>
    </w:p>
    <w:p w:rsidR="00FC47DF" w:rsidRPr="009146F9" w:rsidRDefault="00FC47DF" w:rsidP="00FC47DF">
      <w:pPr>
        <w:pStyle w:val="BodyCopy"/>
        <w:keepNext/>
        <w:numPr>
          <w:ilvl w:val="0"/>
          <w:numId w:val="27"/>
        </w:numPr>
        <w:spacing w:before="120" w:after="120" w:line="280" w:lineRule="atLeast"/>
        <w:ind w:left="567" w:hanging="284"/>
      </w:pPr>
      <w:r w:rsidRPr="009146F9">
        <w:t>Alcohol consumption in pregnancy is more common in older mothers and public obstetric patients</w:t>
      </w:r>
      <w:hyperlink w:anchor="_ENREF_7" w:tooltip="Department of Health and Human Services, 2015 #31" w:history="1">
        <w:r w:rsidRPr="009146F9">
          <w:fldChar w:fldCharType="begin"/>
        </w:r>
        <w:r w:rsidRPr="009146F9">
          <w:instrText xml:space="preserve"> ADDIN EN.CITE &lt;EndNote&gt;&lt;Cite&gt;&lt;Author&gt;Department of Health and Human Services&lt;/Author&gt;&lt;Year&gt;2015&lt;/Year&gt;&lt;RecNum&gt;31&lt;/RecNum&gt;&lt;DisplayText&gt;&lt;style face="superscript"&gt;7&lt;/style&gt;&lt;/DisplayText&gt;&lt;record&gt;&lt;rec-number&gt;31&lt;/rec-number&gt;&lt;foreign-keys&gt;&lt;key app="EN" db-id="d20zxx0xf2efe5e29x4vtdtwtetp2wpzsedt"&gt;31&lt;/key&gt;&lt;/foreign-keys&gt;&lt;ref-type name="Personal Communication"&gt;26&lt;/ref-type&gt;&lt;contributors&gt;&lt;authors&gt;&lt;author&gt;Department of Health and Human Services,&lt;/author&gt;&lt;/authors&gt;&lt;/contributors&gt;&lt;titles&gt;&lt;title&gt;Council of Obstetric &amp;amp; Paediatric Mortality &amp;amp; Morbidity Annua reprt 2013&lt;/title&gt;&lt;/titles&gt;&lt;dates&gt;&lt;year&gt;2015&lt;/year&gt;&lt;/dates&gt;&lt;pub-location&gt;Hobart&lt;/pub-location&gt;&lt;publisher&gt;Tasmanian Government&lt;/publisher&gt;&lt;urls&gt;&lt;/urls&gt;&lt;/record&gt;&lt;/Cite&gt;&lt;/EndNote&gt;</w:instrText>
        </w:r>
        <w:r w:rsidRPr="009146F9">
          <w:fldChar w:fldCharType="separate"/>
        </w:r>
        <w:r w:rsidRPr="009146F9">
          <w:rPr>
            <w:noProof/>
            <w:vertAlign w:val="superscript"/>
          </w:rPr>
          <w:t>7</w:t>
        </w:r>
        <w:r w:rsidRPr="009146F9">
          <w:fldChar w:fldCharType="end"/>
        </w:r>
      </w:hyperlink>
    </w:p>
    <w:p w:rsidR="00485A79" w:rsidRPr="009146F9" w:rsidRDefault="00485A79" w:rsidP="00FC47DF">
      <w:pPr>
        <w:keepNext/>
        <w:jc w:val="center"/>
        <w:rPr>
          <w:rFonts w:ascii="Gill Sans MT" w:hAnsi="Gill Sans MT"/>
        </w:rPr>
      </w:pPr>
      <w:r w:rsidRPr="009146F9">
        <w:rPr>
          <w:rFonts w:ascii="Gill Sans MT" w:hAnsi="Gill Sans MT"/>
          <w:noProof/>
          <w:lang w:eastAsia="en-AU"/>
        </w:rPr>
        <w:drawing>
          <wp:inline distT="0" distB="0" distL="0" distR="0" wp14:anchorId="2E55C740" wp14:editId="2BC99EF2">
            <wp:extent cx="3769743" cy="1958196"/>
            <wp:effectExtent l="0" t="0" r="2540" b="4445"/>
            <wp:docPr id="26" name="Chart 14" descr="Preceeding paragraph provides summary of the information contained in the chart." title="Proportion of pregnant women drinking alcohol"/>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85A79" w:rsidRPr="009146F9" w:rsidRDefault="00485A79" w:rsidP="00FC47DF">
      <w:pPr>
        <w:pStyle w:val="Caption"/>
        <w:keepNext/>
        <w:spacing w:before="0" w:after="0" w:line="240" w:lineRule="auto"/>
        <w:ind w:left="567"/>
      </w:pPr>
      <w:r w:rsidRPr="009146F9">
        <w:t xml:space="preserve">Self-reported alcohol consumption during pregnancy, Tasmania, 2005-2013 </w:t>
      </w:r>
    </w:p>
    <w:p w:rsidR="00485A79" w:rsidRPr="009146F9" w:rsidRDefault="00485A79" w:rsidP="00FC47DF">
      <w:pPr>
        <w:keepNext/>
        <w:spacing w:after="0" w:line="240" w:lineRule="auto"/>
        <w:ind w:left="567"/>
        <w:rPr>
          <w:rFonts w:ascii="Gill Sans MT" w:hAnsi="Gill Sans MT"/>
          <w:i/>
          <w:sz w:val="20"/>
          <w:szCs w:val="20"/>
        </w:rPr>
      </w:pPr>
      <w:r w:rsidRPr="009146F9">
        <w:rPr>
          <w:rFonts w:ascii="Gill Sans MT" w:hAnsi="Gill Sans MT"/>
          <w:i/>
          <w:sz w:val="20"/>
          <w:szCs w:val="20"/>
        </w:rPr>
        <w:t xml:space="preserve">Source: Based on data derived from Council of Obstetric and Paediatric Mortality and Morbidity, DHHS </w:t>
      </w:r>
      <w:r w:rsidRPr="009146F9">
        <w:rPr>
          <w:rFonts w:ascii="Gill Sans MT" w:hAnsi="Gill Sans MT"/>
          <w:i/>
          <w:sz w:val="20"/>
          <w:szCs w:val="20"/>
        </w:rPr>
        <w:fldChar w:fldCharType="begin"/>
      </w:r>
      <w:r w:rsidRPr="009146F9">
        <w:rPr>
          <w:rFonts w:ascii="Gill Sans MT" w:hAnsi="Gill Sans MT"/>
          <w:i/>
          <w:sz w:val="20"/>
          <w:szCs w:val="20"/>
        </w:rPr>
        <w:instrText xml:space="preserve"> ADDIN EN.CITE &lt;EndNote&gt;&lt;Cite&gt;&lt;Author&gt;Department of Health and Human Services&lt;/Author&gt;&lt;Year&gt;2015&lt;/Year&gt;&lt;RecNum&gt;31&lt;/RecNum&gt;&lt;DisplayText&gt;(12)&lt;/DisplayText&gt;&lt;record&gt;&lt;rec-number&gt;31&lt;/rec-number&gt;&lt;foreign-keys&gt;&lt;key app="EN" db-id="d20zxx0xf2efe5e29x4vtdtwtetp2wpzsedt"&gt;31&lt;/key&gt;&lt;/foreign-keys&gt;&lt;ref-type name="Personal Communication"&gt;26&lt;/ref-type&gt;&lt;contributors&gt;&lt;authors&gt;&lt;author&gt;Department of Health and Human Services,&lt;/author&gt;&lt;/authors&gt;&lt;/contributors&gt;&lt;titles&gt;&lt;title&gt;Council of Obstetric &amp;amp; Paediatric Mortality &amp;amp; Morbidity Annua reprt 2013&lt;/title&gt;&lt;/titles&gt;&lt;dates&gt;&lt;year&gt;2015&lt;/year&gt;&lt;/dates&gt;&lt;pub-location&gt;Hobart&lt;/pub-location&gt;&lt;publisher&gt;Tasmanian Government&lt;/publisher&gt;&lt;urls&gt;&lt;/urls&gt;&lt;/record&gt;&lt;/Cite&gt;&lt;/EndNote&gt;</w:instrText>
      </w:r>
      <w:r w:rsidRPr="009146F9">
        <w:rPr>
          <w:rFonts w:ascii="Gill Sans MT" w:hAnsi="Gill Sans MT"/>
          <w:i/>
          <w:sz w:val="20"/>
          <w:szCs w:val="20"/>
        </w:rPr>
        <w:fldChar w:fldCharType="separate"/>
      </w:r>
      <w:r w:rsidRPr="009146F9">
        <w:rPr>
          <w:rFonts w:ascii="Gill Sans MT" w:hAnsi="Gill Sans MT"/>
          <w:i/>
          <w:noProof/>
          <w:sz w:val="20"/>
          <w:szCs w:val="20"/>
        </w:rPr>
        <w:t>(</w:t>
      </w:r>
      <w:hyperlink w:anchor="_ENREF_12" w:tooltip="Department of Health and Human Services, 2015 #31" w:history="1">
        <w:r w:rsidRPr="009146F9">
          <w:rPr>
            <w:rFonts w:ascii="Gill Sans MT" w:hAnsi="Gill Sans MT"/>
            <w:i/>
            <w:noProof/>
            <w:sz w:val="20"/>
            <w:szCs w:val="20"/>
          </w:rPr>
          <w:t>12</w:t>
        </w:r>
      </w:hyperlink>
      <w:r w:rsidRPr="009146F9">
        <w:rPr>
          <w:rFonts w:ascii="Gill Sans MT" w:hAnsi="Gill Sans MT"/>
          <w:i/>
          <w:noProof/>
          <w:sz w:val="20"/>
          <w:szCs w:val="20"/>
        </w:rPr>
        <w:t>)</w:t>
      </w:r>
      <w:r w:rsidRPr="009146F9">
        <w:rPr>
          <w:rFonts w:ascii="Gill Sans MT" w:hAnsi="Gill Sans MT"/>
          <w:i/>
          <w:sz w:val="20"/>
          <w:szCs w:val="20"/>
        </w:rPr>
        <w:fldChar w:fldCharType="end"/>
      </w:r>
    </w:p>
    <w:p w:rsidR="00456BC9" w:rsidRPr="009146F9" w:rsidRDefault="00456BC9" w:rsidP="009146F9">
      <w:pPr>
        <w:pStyle w:val="Heading2"/>
      </w:pPr>
      <w:r w:rsidRPr="009146F9">
        <w:t>Alcohol Related Harms</w:t>
      </w:r>
    </w:p>
    <w:p w:rsidR="00456BC9" w:rsidRPr="009146F9" w:rsidRDefault="00456BC9" w:rsidP="00FC47DF">
      <w:pPr>
        <w:pStyle w:val="BodyCopy"/>
        <w:keepNext/>
        <w:spacing w:before="120" w:after="120" w:line="280" w:lineRule="atLeast"/>
      </w:pPr>
      <w:r w:rsidRPr="009146F9">
        <w:t xml:space="preserve">Alcohol consumption in Tasmania is putting a significant burden on our health and wellbeing. The data presented here does not represent the full burden of disease from alcohol related harms. </w:t>
      </w:r>
    </w:p>
    <w:p w:rsidR="00456BC9" w:rsidRPr="009146F9" w:rsidRDefault="00456BC9" w:rsidP="00BA74FA">
      <w:pPr>
        <w:pStyle w:val="Heading3"/>
      </w:pPr>
      <w:r w:rsidRPr="009146F9">
        <w:t>Ambulance attendances</w:t>
      </w:r>
    </w:p>
    <w:p w:rsidR="00456BC9" w:rsidRPr="009146F9" w:rsidRDefault="00456BC9" w:rsidP="00FC47DF">
      <w:pPr>
        <w:pStyle w:val="BodyCopy"/>
        <w:keepNext/>
        <w:numPr>
          <w:ilvl w:val="0"/>
          <w:numId w:val="22"/>
        </w:numPr>
        <w:spacing w:before="120" w:after="120" w:line="280" w:lineRule="atLeast"/>
        <w:ind w:left="567" w:hanging="283"/>
      </w:pPr>
      <w:r w:rsidRPr="009146F9">
        <w:t>In 2015 there were an estimated 163 ambulance callouts per month (1,956 over the year)</w:t>
      </w:r>
      <w:hyperlink w:anchor="_ENREF_8" w:tooltip="Turning Point, 2016 #32" w:history="1">
        <w:r w:rsidRPr="009146F9">
          <w:fldChar w:fldCharType="begin"/>
        </w:r>
        <w:r w:rsidRPr="009146F9">
          <w:instrText xml:space="preserve"> ADDIN EN.CITE &lt;EndNote&gt;&lt;Cite&gt;&lt;Author&gt;Turning Point&lt;/Author&gt;&lt;Year&gt;2016&lt;/Year&gt;&lt;RecNum&gt;32&lt;/RecNum&gt;&lt;DisplayText&gt;&lt;style face="superscript"&gt;8&lt;/style&gt;&lt;/DisplayText&gt;&lt;record&gt;&lt;rec-number&gt;32&lt;/rec-number&gt;&lt;foreign-keys&gt;&lt;key app="EN" db-id="d20zxx0xf2efe5e29x4vtdtwtetp2wpzsedt"&gt;32&lt;/key&gt;&lt;/foreign-keys&gt;&lt;ref-type name="Unpublished Work"&gt;34&lt;/ref-type&gt;&lt;contributors&gt;&lt;authors&gt;&lt;author&gt;Turning Point,&lt;/author&gt;&lt;/authors&gt;&lt;/contributors&gt;&lt;titles&gt;&lt;title&gt;Coding and analysis of Ambulance Tasmania data; unpublished data&lt;/title&gt;&lt;/titles&gt;&lt;dates&gt;&lt;year&gt;2016&lt;/year&gt;&lt;/dates&gt;&lt;pub-location&gt;Melbourne&lt;/pub-location&gt;&lt;urls&gt;&lt;/urls&gt;&lt;/record&gt;&lt;/Cite&gt;&lt;/EndNote&gt;</w:instrText>
        </w:r>
        <w:r w:rsidRPr="009146F9">
          <w:fldChar w:fldCharType="separate"/>
        </w:r>
        <w:r w:rsidRPr="009146F9">
          <w:rPr>
            <w:noProof/>
            <w:vertAlign w:val="superscript"/>
          </w:rPr>
          <w:t>8</w:t>
        </w:r>
        <w:r w:rsidRPr="009146F9">
          <w:fldChar w:fldCharType="end"/>
        </w:r>
      </w:hyperlink>
    </w:p>
    <w:p w:rsidR="00456BC9" w:rsidRPr="009146F9" w:rsidRDefault="00456BC9" w:rsidP="00BA74FA">
      <w:pPr>
        <w:pStyle w:val="Heading3"/>
      </w:pPr>
      <w:r w:rsidRPr="009146F9">
        <w:t>Emergency department presentations</w:t>
      </w:r>
    </w:p>
    <w:p w:rsidR="00456BC9" w:rsidRPr="009146F9" w:rsidRDefault="00456BC9" w:rsidP="00FC47DF">
      <w:pPr>
        <w:pStyle w:val="BodyCopy"/>
        <w:keepNext/>
        <w:numPr>
          <w:ilvl w:val="0"/>
          <w:numId w:val="22"/>
        </w:numPr>
        <w:tabs>
          <w:tab w:val="left" w:pos="4199"/>
        </w:tabs>
        <w:spacing w:before="120" w:after="120" w:line="280" w:lineRule="atLeast"/>
        <w:ind w:left="567" w:right="-54" w:hanging="283"/>
      </w:pPr>
      <w:r w:rsidRPr="009146F9">
        <w:t>Approximately 1 in 12 Emergency Department presentations are alcohol-related, rising to 1 in 8 at peak times</w:t>
      </w:r>
      <w:r w:rsidRPr="009146F9">
        <w:fldChar w:fldCharType="begin">
          <w:fldData xml:space="preserve">PEVuZE5vdGU+PENpdGU+PEF1dGhvcj5BdXN0cmFsaWFuIENvbGxlZ2UgZm9yIEVtZXJnZW5jeSBN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</w:fldData>
        </w:fldChar>
      </w:r>
      <w:r w:rsidRPr="009146F9">
        <w:instrText xml:space="preserve"> ADDIN EN.CITE </w:instrText>
      </w:r>
      <w:r w:rsidRPr="009146F9">
        <w:fldChar w:fldCharType="begin">
          <w:fldData xml:space="preserve">PEVuZE5vdGU+PENpdGU+PEF1dGhvcj5BdXN0cmFsaWFuIENvbGxlZ2UgZm9yIEVtZXJnZW5jeSBN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</w:fldData>
        </w:fldChar>
      </w:r>
      <w:r w:rsidRPr="009146F9">
        <w:instrText xml:space="preserve"> ADDIN EN.CITE.DATA </w:instrText>
      </w:r>
      <w:r w:rsidRPr="009146F9">
        <w:fldChar w:fldCharType="end"/>
      </w:r>
      <w:r w:rsidRPr="009146F9">
        <w:fldChar w:fldCharType="separate"/>
      </w:r>
      <w:hyperlink w:anchor="_ENREF_9" w:tooltip="Australian College for Emergency Medicine, 2016 #6" w:history="1">
        <w:r w:rsidRPr="009146F9">
          <w:rPr>
            <w:noProof/>
            <w:vertAlign w:val="superscript"/>
          </w:rPr>
          <w:t>9</w:t>
        </w:r>
      </w:hyperlink>
      <w:r w:rsidRPr="009146F9">
        <w:rPr>
          <w:noProof/>
          <w:vertAlign w:val="superscript"/>
        </w:rPr>
        <w:t>,</w:t>
      </w:r>
      <w:hyperlink w:anchor="_ENREF_10" w:tooltip="Egerton-Warburton, 2014 #5" w:history="1">
        <w:r w:rsidRPr="009146F9">
          <w:rPr>
            <w:noProof/>
            <w:vertAlign w:val="superscript"/>
          </w:rPr>
          <w:t>10</w:t>
        </w:r>
      </w:hyperlink>
      <w:r w:rsidRPr="009146F9">
        <w:fldChar w:fldCharType="end"/>
      </w:r>
    </w:p>
    <w:p w:rsidR="00456BC9" w:rsidRPr="009146F9" w:rsidRDefault="00456BC9" w:rsidP="00FC47DF">
      <w:pPr>
        <w:pStyle w:val="BodyCopy"/>
        <w:keepNext/>
        <w:numPr>
          <w:ilvl w:val="0"/>
          <w:numId w:val="22"/>
        </w:numPr>
        <w:spacing w:before="120" w:after="120" w:line="280" w:lineRule="atLeast"/>
        <w:ind w:left="567" w:hanging="283"/>
      </w:pPr>
      <w:r w:rsidRPr="009146F9">
        <w:t>The rate of presentations has risen significantly over the last decade</w:t>
      </w:r>
      <w:hyperlink w:anchor="_ENREF_11" w:tooltip="Epidemiology Unit, 2016 #33" w:history="1">
        <w:r w:rsidRPr="009146F9">
          <w:fldChar w:fldCharType="begin"/>
        </w:r>
        <w:r w:rsidRPr="009146F9">
          <w:instrText xml:space="preserve"> ADDIN EN.CITE &lt;EndNote&gt;&lt;Cite&gt;&lt;Author&gt;Epidemiology Unit&lt;/Author&gt;&lt;Year&gt;2016&lt;/Year&gt;&lt;RecNum&gt;33&lt;/RecNum&gt;&lt;DisplayText&gt;&lt;style face="superscript"&gt;11&lt;/style&gt;&lt;/DisplayText&gt;&lt;record&gt;&lt;rec-number&gt;33&lt;/rec-number&gt;&lt;foreign-keys&gt;&lt;key app="EN" db-id="d20zxx0xf2efe5e29x4vtdtwtetp2wpzsedt"&gt;33&lt;/key&gt;&lt;/foreign-keys&gt;&lt;ref-type name="Unpublished Work"&gt;34&lt;/ref-type&gt;&lt;contributors&gt;&lt;authors&gt;&lt;author&gt;Epidemiology Unit, DHHS&lt;/author&gt;&lt;/authors&gt;&lt;/contributors&gt;&lt;titles&gt;&lt;title&gt;unpublished work&lt;/title&gt;&lt;/titles&gt;&lt;dates&gt;&lt;year&gt;2016&lt;/year&gt;&lt;/dates&gt;&lt;urls&gt;&lt;/urls&gt;&lt;/record&gt;&lt;/Cite&gt;&lt;/EndNote&gt;</w:instrText>
        </w:r>
        <w:r w:rsidRPr="009146F9">
          <w:fldChar w:fldCharType="separate"/>
        </w:r>
        <w:r w:rsidRPr="009146F9">
          <w:rPr>
            <w:noProof/>
            <w:vertAlign w:val="superscript"/>
          </w:rPr>
          <w:t>11</w:t>
        </w:r>
        <w:r w:rsidRPr="009146F9">
          <w:fldChar w:fldCharType="end"/>
        </w:r>
      </w:hyperlink>
    </w:p>
    <w:p w:rsidR="00456BC9" w:rsidRPr="009146F9" w:rsidRDefault="00456BC9" w:rsidP="00BA74FA">
      <w:pPr>
        <w:pStyle w:val="Heading3"/>
      </w:pPr>
      <w:r w:rsidRPr="009146F9">
        <w:t>Hospitalisations</w:t>
      </w:r>
    </w:p>
    <w:p w:rsidR="00456BC9" w:rsidRPr="009146F9" w:rsidRDefault="00456BC9" w:rsidP="00FC47DF">
      <w:pPr>
        <w:pStyle w:val="BodyCopy"/>
        <w:keepNext/>
        <w:numPr>
          <w:ilvl w:val="0"/>
          <w:numId w:val="23"/>
        </w:numPr>
        <w:spacing w:before="120" w:after="120" w:line="280" w:lineRule="atLeast"/>
        <w:ind w:left="567" w:hanging="283"/>
      </w:pPr>
      <w:r w:rsidRPr="009146F9">
        <w:t>In 2014-15 there were an estimated 5,210 hospitalisation due to alcohol-related injury or disease (2797 in men and 2413 in women)</w:t>
      </w:r>
      <w:hyperlink w:anchor="_ENREF_11" w:tooltip="Epidemiology Unit, 2016 #33" w:history="1">
        <w:r w:rsidRPr="009146F9">
          <w:fldChar w:fldCharType="begin"/>
        </w:r>
        <w:r w:rsidRPr="009146F9">
          <w:instrText xml:space="preserve"> ADDIN EN.CITE &lt;EndNote&gt;&lt;Cite&gt;&lt;Author&gt;Epidemiology Unit&lt;/Author&gt;&lt;Year&gt;2016&lt;/Year&gt;&lt;RecNum&gt;33&lt;/RecNum&gt;&lt;DisplayText&gt;&lt;style face="superscript"&gt;11&lt;/style&gt;&lt;/DisplayText&gt;&lt;record&gt;&lt;rec-number&gt;33&lt;/rec-number&gt;&lt;foreign-keys&gt;&lt;key app="EN" db-id="d20zxx0xf2efe5e29x4vtdtwtetp2wpzsedt"&gt;33&lt;/key&gt;&lt;/foreign-keys&gt;&lt;ref-type name="Unpublished Work"&gt;34&lt;/ref-type&gt;&lt;contributors&gt;&lt;authors&gt;&lt;author&gt;Epidemiology Unit, DHHS&lt;/author&gt;&lt;/authors&gt;&lt;/contributors&gt;&lt;titles&gt;&lt;title&gt;unpublished work&lt;/title&gt;&lt;/titles&gt;&lt;dates&gt;&lt;year&gt;2016&lt;/year&gt;&lt;/dates&gt;&lt;urls&gt;&lt;/urls&gt;&lt;/record&gt;&lt;/Cite&gt;&lt;/EndNote&gt;</w:instrText>
        </w:r>
        <w:r w:rsidRPr="009146F9">
          <w:fldChar w:fldCharType="separate"/>
        </w:r>
        <w:r w:rsidRPr="009146F9">
          <w:rPr>
            <w:noProof/>
            <w:vertAlign w:val="superscript"/>
          </w:rPr>
          <w:t>11</w:t>
        </w:r>
        <w:r w:rsidRPr="009146F9">
          <w:fldChar w:fldCharType="end"/>
        </w:r>
      </w:hyperlink>
    </w:p>
    <w:p w:rsidR="00456BC9" w:rsidRPr="009146F9" w:rsidRDefault="00456BC9" w:rsidP="00FC47DF">
      <w:pPr>
        <w:pStyle w:val="BodyCopy"/>
        <w:keepNext/>
        <w:numPr>
          <w:ilvl w:val="0"/>
          <w:numId w:val="23"/>
        </w:numPr>
        <w:spacing w:before="120" w:after="120" w:line="280" w:lineRule="atLeast"/>
        <w:ind w:left="567" w:hanging="283"/>
      </w:pPr>
      <w:r w:rsidRPr="009146F9">
        <w:t>Hospitalisation rates for women have risen over the last decade</w:t>
      </w:r>
      <w:hyperlink w:anchor="_ENREF_11" w:tooltip="Epidemiology Unit, 2016 #33" w:history="1">
        <w:r w:rsidRPr="009146F9">
          <w:fldChar w:fldCharType="begin"/>
        </w:r>
        <w:r w:rsidRPr="009146F9">
          <w:instrText xml:space="preserve"> ADDIN EN.CITE &lt;EndNote&gt;&lt;Cite&gt;&lt;Author&gt;Epidemiology Unit&lt;/Author&gt;&lt;Year&gt;2016&lt;/Year&gt;&lt;RecNum&gt;33&lt;/RecNum&gt;&lt;DisplayText&gt;&lt;style face="superscript"&gt;11&lt;/style&gt;&lt;/DisplayText&gt;&lt;record&gt;&lt;rec-number&gt;33&lt;/rec-number&gt;&lt;foreign-keys&gt;&lt;key app="EN" db-id="d20zxx0xf2efe5e29x4vtdtwtetp2wpzsedt"&gt;33&lt;/key&gt;&lt;/foreign-keys&gt;&lt;ref-type name="Unpublished Work"&gt;34&lt;/ref-type&gt;&lt;contributors&gt;&lt;authors&gt;&lt;author&gt;Epidemiology Unit, DHHS&lt;/author&gt;&lt;/authors&gt;&lt;/contributors&gt;&lt;titles&gt;&lt;title&gt;unpublished work&lt;/title&gt;&lt;/titles&gt;&lt;dates&gt;&lt;year&gt;2016&lt;/year&gt;&lt;/dates&gt;&lt;urls&gt;&lt;/urls&gt;&lt;/record&gt;&lt;/Cite&gt;&lt;/EndNote&gt;</w:instrText>
        </w:r>
        <w:r w:rsidRPr="009146F9">
          <w:fldChar w:fldCharType="separate"/>
        </w:r>
        <w:r w:rsidRPr="009146F9">
          <w:rPr>
            <w:noProof/>
            <w:vertAlign w:val="superscript"/>
          </w:rPr>
          <w:t>11</w:t>
        </w:r>
        <w:r w:rsidRPr="009146F9">
          <w:fldChar w:fldCharType="end"/>
        </w:r>
      </w:hyperlink>
    </w:p>
    <w:p w:rsidR="008161F2" w:rsidRPr="009146F9" w:rsidRDefault="008161F2" w:rsidP="00FC47DF">
      <w:pPr>
        <w:keepNext/>
        <w:jc w:val="center"/>
        <w:rPr>
          <w:rFonts w:ascii="Gill Sans MT" w:hAnsi="Gill Sans MT"/>
          <w:b/>
          <w:lang w:eastAsia="en-AU"/>
        </w:rPr>
      </w:pPr>
      <w:r w:rsidRPr="009146F9">
        <w:rPr>
          <w:rFonts w:ascii="Gill Sans MT" w:hAnsi="Gill Sans MT"/>
          <w:noProof/>
          <w:lang w:eastAsia="en-AU"/>
        </w:rPr>
        <w:drawing>
          <wp:inline distT="0" distB="0" distL="0" distR="0" wp14:anchorId="3316F5BF" wp14:editId="12DE60E7">
            <wp:extent cx="4770407" cy="2225615"/>
            <wp:effectExtent l="0" t="0" r="0" b="3810"/>
            <wp:docPr id="22" name="Chart 13" descr="Preceeding paragraph provides summary of chart information" title="Rate of hospitalisations per 100,000 populat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161F2" w:rsidRPr="009146F9" w:rsidRDefault="008161F2" w:rsidP="00FC47DF">
      <w:pPr>
        <w:pStyle w:val="Caption"/>
        <w:keepNext/>
        <w:tabs>
          <w:tab w:val="clear" w:pos="567"/>
          <w:tab w:val="left" w:pos="1134"/>
          <w:tab w:val="left" w:pos="1418"/>
        </w:tabs>
        <w:spacing w:before="0" w:after="0" w:line="240" w:lineRule="auto"/>
      </w:pPr>
      <w:r w:rsidRPr="009146F9">
        <w:tab/>
        <w:t>Alcohol-attributable h</w:t>
      </w:r>
      <w:r w:rsidR="00485A79" w:rsidRPr="009146F9">
        <w:t>ospitalisations, Tasmania, 2005-06 to 2014-</w:t>
      </w:r>
      <w:r w:rsidRPr="009146F9">
        <w:t xml:space="preserve">15 </w:t>
      </w:r>
    </w:p>
    <w:p w:rsidR="008161F2" w:rsidRPr="009146F9" w:rsidRDefault="008161F2" w:rsidP="00FC47DF">
      <w:pPr>
        <w:pStyle w:val="ListParagraph"/>
        <w:keepNext/>
        <w:spacing w:after="0" w:line="240" w:lineRule="auto"/>
        <w:ind w:left="1146"/>
        <w:rPr>
          <w:rFonts w:ascii="Gill Sans MT" w:hAnsi="Gill Sans MT"/>
          <w:i/>
          <w:sz w:val="20"/>
          <w:szCs w:val="20"/>
        </w:rPr>
      </w:pPr>
      <w:r w:rsidRPr="009146F9">
        <w:rPr>
          <w:rFonts w:ascii="Gill Sans MT" w:hAnsi="Gill Sans MT"/>
          <w:i/>
          <w:sz w:val="20"/>
          <w:szCs w:val="20"/>
        </w:rPr>
        <w:t>Notes: 1. Rates are age standardised to the Australia 2001 population. 2. Alcohol-attributable hospitalisations were estimated using age and sex-specific aetiological fractions (Collins) 3. Average annual percentage change for males: 0.08</w:t>
      </w:r>
      <w:r w:rsidR="005832A8" w:rsidRPr="009146F9">
        <w:rPr>
          <w:rFonts w:ascii="Gill Sans MT" w:hAnsi="Gill Sans MT"/>
          <w:i/>
          <w:sz w:val="20"/>
          <w:szCs w:val="20"/>
        </w:rPr>
        <w:t xml:space="preserve"> per cent</w:t>
      </w:r>
      <w:r w:rsidRPr="009146F9">
        <w:rPr>
          <w:rFonts w:ascii="Gill Sans MT" w:hAnsi="Gill Sans MT"/>
          <w:i/>
          <w:sz w:val="20"/>
          <w:szCs w:val="20"/>
        </w:rPr>
        <w:t xml:space="preserve"> (p=0.715); for females: 3.0</w:t>
      </w:r>
      <w:r w:rsidR="005832A8" w:rsidRPr="009146F9">
        <w:rPr>
          <w:rFonts w:ascii="Gill Sans MT" w:hAnsi="Gill Sans MT"/>
          <w:i/>
          <w:sz w:val="20"/>
          <w:szCs w:val="20"/>
        </w:rPr>
        <w:t xml:space="preserve"> per cent</w:t>
      </w:r>
      <w:r w:rsidRPr="009146F9">
        <w:rPr>
          <w:rFonts w:ascii="Gill Sans MT" w:hAnsi="Gill Sans MT"/>
          <w:i/>
          <w:sz w:val="20"/>
          <w:szCs w:val="20"/>
        </w:rPr>
        <w:t>. Source: Epidemiology Unit, DHHS</w:t>
      </w:r>
    </w:p>
    <w:p w:rsidR="00456BC9" w:rsidRPr="009146F9" w:rsidRDefault="00456BC9" w:rsidP="00BA74FA">
      <w:pPr>
        <w:pStyle w:val="Heading3"/>
      </w:pPr>
      <w:r w:rsidRPr="009146F9">
        <w:t>Deaths</w:t>
      </w:r>
    </w:p>
    <w:p w:rsidR="00456BC9" w:rsidRPr="009146F9" w:rsidRDefault="00456BC9" w:rsidP="00FC47DF">
      <w:pPr>
        <w:pStyle w:val="BodyCopy"/>
        <w:keepNext/>
        <w:numPr>
          <w:ilvl w:val="0"/>
          <w:numId w:val="24"/>
        </w:numPr>
        <w:spacing w:before="120" w:after="120" w:line="280" w:lineRule="atLeast"/>
        <w:ind w:left="568" w:right="198" w:hanging="284"/>
      </w:pPr>
      <w:r w:rsidRPr="009146F9">
        <w:t>Between 2008 and 2012 there were an average of 115 deaths due to alcohol each year</w:t>
      </w:r>
      <w:hyperlink w:anchor="_ENREF_11" w:tooltip="Epidemiology Unit, 2016 #33" w:history="1">
        <w:r w:rsidRPr="009146F9">
          <w:fldChar w:fldCharType="begin"/>
        </w:r>
        <w:r w:rsidRPr="009146F9">
          <w:instrText xml:space="preserve"> ADDIN EN.CITE &lt;EndNote&gt;&lt;Cite&gt;&lt;Author&gt;Epidemiology Unit&lt;/Author&gt;&lt;Year&gt;2016&lt;/Year&gt;&lt;RecNum&gt;33&lt;/RecNum&gt;&lt;DisplayText&gt;&lt;style face="superscript"&gt;11&lt;/style&gt;&lt;/DisplayText&gt;&lt;record&gt;&lt;rec-number&gt;33&lt;/rec-number&gt;&lt;foreign-keys&gt;&lt;key app="EN" db-id="d20zxx0xf2efe5e29x4vtdtwtetp2wpzsedt"&gt;33&lt;/key&gt;&lt;/foreign-keys&gt;&lt;ref-type name="Unpublished Work"&gt;34&lt;/ref-type&gt;&lt;contributors&gt;&lt;authors&gt;&lt;author&gt;Epidemiology Unit, DHHS&lt;/author&gt;&lt;/authors&gt;&lt;/contributors&gt;&lt;titles&gt;&lt;title&gt;unpublished work&lt;/title&gt;&lt;/titles&gt;&lt;dates&gt;&lt;year&gt;2016&lt;/year&gt;&lt;/dates&gt;&lt;urls&gt;&lt;/urls&gt;&lt;/record&gt;&lt;/Cite&gt;&lt;/EndNote&gt;</w:instrText>
        </w:r>
        <w:r w:rsidRPr="009146F9">
          <w:fldChar w:fldCharType="separate"/>
        </w:r>
        <w:r w:rsidRPr="009146F9">
          <w:rPr>
            <w:noProof/>
            <w:vertAlign w:val="superscript"/>
          </w:rPr>
          <w:t>11</w:t>
        </w:r>
        <w:r w:rsidRPr="009146F9">
          <w:fldChar w:fldCharType="end"/>
        </w:r>
      </w:hyperlink>
    </w:p>
    <w:p w:rsidR="00456BC9" w:rsidRPr="009146F9" w:rsidRDefault="00456BC9" w:rsidP="00FC47DF">
      <w:pPr>
        <w:pStyle w:val="BodyCopy"/>
        <w:keepNext/>
        <w:numPr>
          <w:ilvl w:val="0"/>
          <w:numId w:val="24"/>
        </w:numPr>
        <w:spacing w:before="120" w:after="120" w:line="280" w:lineRule="atLeast"/>
        <w:ind w:left="568" w:right="198" w:hanging="284"/>
      </w:pPr>
      <w:r w:rsidRPr="009146F9">
        <w:t>Men have a significantly higher death rate from alcohol-related disease than women</w:t>
      </w:r>
      <w:hyperlink w:anchor="_ENREF_11" w:tooltip="Epidemiology Unit, 2016 #33" w:history="1">
        <w:r w:rsidRPr="009146F9">
          <w:fldChar w:fldCharType="begin"/>
        </w:r>
        <w:r w:rsidRPr="009146F9">
          <w:instrText xml:space="preserve"> ADDIN EN.CITE &lt;EndNote&gt;&lt;Cite&gt;&lt;Author&gt;Epidemiology Unit&lt;/Author&gt;&lt;Year&gt;2016&lt;/Year&gt;&lt;RecNum&gt;33&lt;/RecNum&gt;&lt;DisplayText&gt;&lt;style face="superscript"&gt;11&lt;/style&gt;&lt;/DisplayText&gt;&lt;record&gt;&lt;rec-number&gt;33&lt;/rec-number&gt;&lt;foreign-keys&gt;&lt;key app="EN" db-id="d20zxx0xf2efe5e29x4vtdtwtetp2wpzsedt"&gt;33&lt;/key&gt;&lt;/foreign-keys&gt;&lt;ref-type name="Unpublished Work"&gt;34&lt;/ref-type&gt;&lt;contributors&gt;&lt;authors&gt;&lt;author&gt;Epidemiology Unit, DHHS&lt;/author&gt;&lt;/authors&gt;&lt;/contributors&gt;&lt;titles&gt;&lt;title&gt;unpublished work&lt;/title&gt;&lt;/titles&gt;&lt;dates&gt;&lt;year&gt;2016&lt;/year&gt;&lt;/dates&gt;&lt;urls&gt;&lt;/urls&gt;&lt;/record&gt;&lt;/Cite&gt;&lt;/EndNote&gt;</w:instrText>
        </w:r>
        <w:r w:rsidRPr="009146F9">
          <w:fldChar w:fldCharType="separate"/>
        </w:r>
        <w:r w:rsidRPr="009146F9">
          <w:rPr>
            <w:noProof/>
            <w:vertAlign w:val="superscript"/>
          </w:rPr>
          <w:t>11</w:t>
        </w:r>
        <w:r w:rsidRPr="009146F9">
          <w:fldChar w:fldCharType="end"/>
        </w:r>
      </w:hyperlink>
    </w:p>
    <w:p w:rsidR="00456BC9" w:rsidRPr="009146F9" w:rsidRDefault="00456BC9" w:rsidP="00FC47DF">
      <w:pPr>
        <w:pStyle w:val="BodyCopy"/>
        <w:keepNext/>
        <w:numPr>
          <w:ilvl w:val="0"/>
          <w:numId w:val="24"/>
        </w:numPr>
        <w:spacing w:before="120" w:after="120" w:line="280" w:lineRule="atLeast"/>
        <w:ind w:left="568" w:right="198" w:hanging="284"/>
      </w:pPr>
      <w:r w:rsidRPr="009146F9">
        <w:t>Rates have not changed significantly over the last decade</w:t>
      </w:r>
      <w:hyperlink w:anchor="_ENREF_11" w:tooltip="Epidemiology Unit, 2016 #33" w:history="1">
        <w:r w:rsidRPr="009146F9">
          <w:fldChar w:fldCharType="begin"/>
        </w:r>
        <w:r w:rsidRPr="009146F9">
          <w:instrText xml:space="preserve"> ADDIN EN.CITE &lt;EndNote&gt;&lt;Cite&gt;&lt;Author&gt;Epidemiology Unit&lt;/Author&gt;&lt;Year&gt;2016&lt;/Year&gt;&lt;RecNum&gt;33&lt;/RecNum&gt;&lt;DisplayText&gt;&lt;style face="superscript"&gt;11&lt;/style&gt;&lt;/DisplayText&gt;&lt;record&gt;&lt;rec-number&gt;33&lt;/rec-number&gt;&lt;foreign-keys&gt;&lt;key app="EN" db-id="d20zxx0xf2efe5e29x4vtdtwtetp2wpzsedt"&gt;33&lt;/key&gt;&lt;/foreign-keys&gt;&lt;ref-type name="Unpublished Work"&gt;34&lt;/ref-type&gt;&lt;contributors&gt;&lt;authors&gt;&lt;author&gt;Epidemiology Unit, DHHS&lt;/author&gt;&lt;/authors&gt;&lt;/contributors&gt;&lt;titles&gt;&lt;title&gt;unpublished work&lt;/title&gt;&lt;/titles&gt;&lt;dates&gt;&lt;year&gt;2016&lt;/year&gt;&lt;/dates&gt;&lt;urls&gt;&lt;/urls&gt;&lt;/record&gt;&lt;/Cite&gt;&lt;/EndNote&gt;</w:instrText>
        </w:r>
        <w:r w:rsidRPr="009146F9">
          <w:fldChar w:fldCharType="separate"/>
        </w:r>
        <w:r w:rsidRPr="009146F9">
          <w:rPr>
            <w:noProof/>
            <w:vertAlign w:val="superscript"/>
          </w:rPr>
          <w:t>11</w:t>
        </w:r>
        <w:r w:rsidRPr="009146F9">
          <w:fldChar w:fldCharType="end"/>
        </w:r>
      </w:hyperlink>
    </w:p>
    <w:p w:rsidR="008161F2" w:rsidRPr="009146F9" w:rsidRDefault="008161F2" w:rsidP="00FC47DF">
      <w:pPr>
        <w:pStyle w:val="Caption"/>
        <w:keepNext/>
        <w:jc w:val="center"/>
        <w:rPr>
          <w:color w:val="1F497D"/>
        </w:rPr>
      </w:pPr>
      <w:r w:rsidRPr="009146F9">
        <w:rPr>
          <w:noProof/>
          <w:lang w:eastAsia="en-AU"/>
        </w:rPr>
        <w:drawing>
          <wp:inline distT="0" distB="0" distL="0" distR="0" wp14:anchorId="24FF6E25" wp14:editId="763145EC">
            <wp:extent cx="5236234" cy="2053087"/>
            <wp:effectExtent l="0" t="0" r="2540" b="4445"/>
            <wp:docPr id="20" name="Chart 3" descr="Preceeding paragraph provides summary of the information provided in this chart." title="Rate of death per 100,000 populat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161F2" w:rsidRPr="009146F9" w:rsidRDefault="008161F2" w:rsidP="00FC47DF">
      <w:pPr>
        <w:pStyle w:val="Caption"/>
        <w:keepNext/>
        <w:spacing w:before="0" w:after="0" w:line="240" w:lineRule="auto"/>
        <w:ind w:left="1145"/>
      </w:pPr>
      <w:r w:rsidRPr="009146F9">
        <w:t xml:space="preserve">Alcohol-attributable deaths, Tasmania, 1999-2012 </w:t>
      </w:r>
    </w:p>
    <w:p w:rsidR="008161F2" w:rsidRPr="009146F9" w:rsidRDefault="008161F2" w:rsidP="00FC47DF">
      <w:pPr>
        <w:pStyle w:val="ListParagraph"/>
        <w:keepNext/>
        <w:spacing w:after="0" w:line="240" w:lineRule="auto"/>
        <w:ind w:left="1145"/>
        <w:rPr>
          <w:rFonts w:ascii="Gill Sans MT" w:hAnsi="Gill Sans MT"/>
          <w:i/>
          <w:sz w:val="20"/>
          <w:szCs w:val="20"/>
        </w:rPr>
      </w:pPr>
      <w:r w:rsidRPr="009146F9">
        <w:rPr>
          <w:rFonts w:ascii="Gill Sans MT" w:hAnsi="Gill Sans MT"/>
          <w:i/>
          <w:sz w:val="20"/>
          <w:szCs w:val="20"/>
        </w:rPr>
        <w:t>Notes: 1. Rates are age standardised to the Australia 2001 population. 2. Alcohol-attributable hospitalisations were estimated using age and sex-specific aetiological fractions (Collins) 3. Average annual percentage change: for males: -1.0</w:t>
      </w:r>
      <w:r w:rsidR="005832A8" w:rsidRPr="009146F9">
        <w:rPr>
          <w:rFonts w:ascii="Gill Sans MT" w:hAnsi="Gill Sans MT"/>
          <w:i/>
          <w:sz w:val="20"/>
          <w:szCs w:val="20"/>
        </w:rPr>
        <w:t xml:space="preserve"> per cent</w:t>
      </w:r>
      <w:r w:rsidRPr="009146F9">
        <w:rPr>
          <w:rFonts w:ascii="Gill Sans MT" w:hAnsi="Gill Sans MT"/>
          <w:i/>
          <w:sz w:val="20"/>
          <w:szCs w:val="20"/>
        </w:rPr>
        <w:t xml:space="preserve"> (p=0.176); for females: -0.6</w:t>
      </w:r>
      <w:r w:rsidR="005832A8" w:rsidRPr="009146F9">
        <w:rPr>
          <w:rFonts w:ascii="Gill Sans MT" w:hAnsi="Gill Sans MT"/>
          <w:i/>
          <w:sz w:val="20"/>
          <w:szCs w:val="20"/>
        </w:rPr>
        <w:t xml:space="preserve"> per cent</w:t>
      </w:r>
      <w:r w:rsidRPr="009146F9">
        <w:rPr>
          <w:rFonts w:ascii="Gill Sans MT" w:hAnsi="Gill Sans MT"/>
          <w:i/>
          <w:sz w:val="20"/>
          <w:szCs w:val="20"/>
        </w:rPr>
        <w:t xml:space="preserve"> (p=0.669).  Source: Epidemiology Unit, DHHS.</w:t>
      </w:r>
    </w:p>
    <w:p w:rsidR="00456BC9" w:rsidRPr="009146F9" w:rsidRDefault="00456BC9" w:rsidP="00BA74FA">
      <w:pPr>
        <w:pStyle w:val="Heading3"/>
      </w:pPr>
      <w:r w:rsidRPr="009146F9">
        <w:t>Alcohol treatment services</w:t>
      </w:r>
    </w:p>
    <w:p w:rsidR="00456BC9" w:rsidRPr="009146F9" w:rsidRDefault="00456BC9" w:rsidP="00FC47DF">
      <w:pPr>
        <w:pStyle w:val="BodyCopy"/>
        <w:keepNext/>
        <w:numPr>
          <w:ilvl w:val="0"/>
          <w:numId w:val="21"/>
        </w:numPr>
        <w:spacing w:before="120" w:after="120" w:line="280" w:lineRule="atLeast"/>
        <w:ind w:left="567" w:hanging="283"/>
      </w:pPr>
      <w:r w:rsidRPr="009146F9">
        <w:t>Alcohol is the most common drug that Tasmanians require treatment for, accounting for 40.7</w:t>
      </w:r>
      <w:r w:rsidR="005832A8" w:rsidRPr="009146F9">
        <w:t xml:space="preserve"> per cent</w:t>
      </w:r>
      <w:r w:rsidRPr="009146F9">
        <w:t xml:space="preserve"> of closed treatment episodes in 2014-15 (1200 closed treatment episodes)</w:t>
      </w:r>
      <w:hyperlink w:anchor="_ENREF_12" w:tooltip="Australian Insitute of Health and Welfare, 2016 #34" w:history="1">
        <w:r w:rsidRPr="009146F9">
          <w:fldChar w:fldCharType="begin"/>
        </w:r>
        <w:r w:rsidRPr="009146F9">
          <w:instrText xml:space="preserve"> ADDIN EN.CITE &lt;EndNote&gt;&lt;Cite&gt;&lt;Author&gt;Australian Insitute of Health and Welfare&lt;/Author&gt;&lt;Year&gt;2016&lt;/Year&gt;&lt;RecNum&gt;34&lt;/RecNum&gt;&lt;DisplayText&gt;&lt;style face="superscript"&gt;12&lt;/style&gt;&lt;/DisplayText&gt;&lt;record&gt;&lt;rec-number&gt;34&lt;/rec-number&gt;&lt;foreign-keys&gt;&lt;key app="EN" db-id="d20zxx0xf2efe5e29x4vtdtwtetp2wpzsedt"&gt;34&lt;/key&gt;&lt;/foreign-keys&gt;&lt;ref-type name="Web Page"&gt;12&lt;/ref-type&gt;&lt;contributors&gt;&lt;authors&gt;&lt;author&gt;Australian Insitute of Health and Welfare,&lt;/author&gt;&lt;/authors&gt;&lt;/contributors&gt;&lt;titles&gt;&lt;title&gt;Alcohol and other drug treatment services&lt;/title&gt;&lt;/titles&gt;&lt;volume&gt;2016&lt;/volume&gt;&lt;number&gt;25 July&lt;/number&gt;&lt;dates&gt;&lt;year&gt;2016&lt;/year&gt;&lt;/dates&gt;&lt;pub-location&gt;Canberra&lt;/pub-location&gt;&lt;publisher&gt;AIHW&lt;/publisher&gt;&lt;urls&gt;&lt;related-urls&gt;&lt;url&gt;http://aihw.gov.au/alcohol-and-other-drug-treatment-services-data/&lt;/url&gt;&lt;/related-urls&gt;&lt;/urls&gt;&lt;/record&gt;&lt;/Cite&gt;&lt;/EndNote&gt;</w:instrText>
        </w:r>
        <w:r w:rsidRPr="009146F9">
          <w:fldChar w:fldCharType="separate"/>
        </w:r>
        <w:r w:rsidRPr="009146F9">
          <w:rPr>
            <w:noProof/>
            <w:vertAlign w:val="superscript"/>
          </w:rPr>
          <w:t>12</w:t>
        </w:r>
        <w:r w:rsidRPr="009146F9">
          <w:fldChar w:fldCharType="end"/>
        </w:r>
      </w:hyperlink>
    </w:p>
    <w:p w:rsidR="00456BC9" w:rsidRPr="009146F9" w:rsidRDefault="00456BC9" w:rsidP="00FC47DF">
      <w:pPr>
        <w:pStyle w:val="BodyCopy"/>
        <w:keepNext/>
        <w:numPr>
          <w:ilvl w:val="0"/>
          <w:numId w:val="21"/>
        </w:numPr>
        <w:spacing w:before="120" w:after="120" w:line="280" w:lineRule="atLeast"/>
        <w:ind w:left="568" w:right="0" w:hanging="284"/>
        <w:rPr>
          <w:color w:val="auto"/>
        </w:rPr>
      </w:pPr>
      <w:r w:rsidRPr="009146F9">
        <w:rPr>
          <w:color w:val="auto"/>
        </w:rPr>
        <w:t>The number of treatment episodes provided for alcohol has more than doubled over the last decade</w:t>
      </w:r>
      <w:hyperlink w:anchor="_ENREF_12" w:tooltip="Australian Insitute of Health and Welfare, 2016 #34" w:history="1">
        <w:r w:rsidRPr="009146F9">
          <w:rPr>
            <w:color w:val="auto"/>
          </w:rPr>
          <w:fldChar w:fldCharType="begin"/>
        </w:r>
        <w:r w:rsidRPr="009146F9">
          <w:rPr>
            <w:color w:val="auto"/>
          </w:rPr>
          <w:instrText xml:space="preserve"> ADDIN EN.CITE &lt;EndNote&gt;&lt;Cite&gt;&lt;Author&gt;Australian Insitute of Health and Welfare&lt;/Author&gt;&lt;Year&gt;2016&lt;/Year&gt;&lt;RecNum&gt;34&lt;/RecNum&gt;&lt;DisplayText&gt;&lt;style face="superscript"&gt;12&lt;/style&gt;&lt;/DisplayText&gt;&lt;record&gt;&lt;rec-number&gt;34&lt;/rec-number&gt;&lt;foreign-keys&gt;&lt;key app="EN" db-id="d20zxx0xf2efe5e29x4vtdtwtetp2wpzsedt"&gt;34&lt;/key&gt;&lt;/foreign-keys&gt;&lt;ref-type name="Web Page"&gt;12&lt;/ref-type&gt;&lt;contributors&gt;&lt;authors&gt;&lt;author&gt;Australian Insitute of Health and Welfare,&lt;/author&gt;&lt;/authors&gt;&lt;/contributors&gt;&lt;titles&gt;&lt;title&gt;Alcohol and other drug treatment services&lt;/title&gt;&lt;/titles&gt;&lt;volume&gt;2016&lt;/volume&gt;&lt;number&gt;25 July&lt;/number&gt;&lt;dates&gt;&lt;year&gt;2016&lt;/year&gt;&lt;/dates&gt;&lt;pub-location&gt;Canberra&lt;/pub-location&gt;&lt;publisher&gt;AIHW&lt;/publisher&gt;&lt;urls&gt;&lt;related-urls&gt;&lt;url&gt;http://aihw.gov.au/alcohol-and-other-drug-treatment-services-data/&lt;/url&gt;&lt;/related-urls&gt;&lt;/urls&gt;&lt;/record&gt;&lt;/Cite&gt;&lt;/EndNote&gt;</w:instrText>
        </w:r>
        <w:r w:rsidRPr="009146F9">
          <w:rPr>
            <w:color w:val="auto"/>
          </w:rPr>
          <w:fldChar w:fldCharType="separate"/>
        </w:r>
        <w:r w:rsidRPr="009146F9">
          <w:rPr>
            <w:noProof/>
            <w:color w:val="auto"/>
            <w:vertAlign w:val="superscript"/>
          </w:rPr>
          <w:t>12</w:t>
        </w:r>
        <w:r w:rsidRPr="009146F9">
          <w:rPr>
            <w:color w:val="auto"/>
          </w:rPr>
          <w:fldChar w:fldCharType="end"/>
        </w:r>
      </w:hyperlink>
      <w:r w:rsidR="005832A8" w:rsidRPr="009146F9">
        <w:rPr>
          <w:color w:val="auto"/>
        </w:rPr>
        <w:t xml:space="preserve">, although the number of treatment episodes for all drugs has also more than doubled over the last decade, and the percentage of treatment episodes for alcohol has remained steady </w:t>
      </w:r>
    </w:p>
    <w:p w:rsidR="00456BC9" w:rsidRPr="009146F9" w:rsidRDefault="00456BC9" w:rsidP="00BA74FA">
      <w:pPr>
        <w:pStyle w:val="Heading3"/>
      </w:pPr>
      <w:r w:rsidRPr="009146F9">
        <w:t xml:space="preserve">Drink driving </w:t>
      </w:r>
    </w:p>
    <w:p w:rsidR="00456BC9" w:rsidRPr="009146F9" w:rsidRDefault="00201DDA" w:rsidP="00FC47DF">
      <w:pPr>
        <w:pStyle w:val="BodyCopy"/>
        <w:keepNext/>
        <w:numPr>
          <w:ilvl w:val="0"/>
          <w:numId w:val="25"/>
        </w:numPr>
        <w:spacing w:before="120" w:after="120" w:line="280" w:lineRule="atLeast"/>
        <w:ind w:left="567" w:hanging="283"/>
      </w:pPr>
      <w:r w:rsidRPr="009146F9">
        <w:t>2,309</w:t>
      </w:r>
      <w:r w:rsidR="00456BC9" w:rsidRPr="009146F9">
        <w:t xml:space="preserve"> people were charged with drink driving offences in 2015-16</w:t>
      </w:r>
      <w:hyperlink w:anchor="_ENREF_13" w:tooltip="Department of Police and Emergency Management, 2015 #7" w:history="1">
        <w:r w:rsidR="00456BC9" w:rsidRPr="009146F9">
          <w:fldChar w:fldCharType="begin"/>
        </w:r>
        <w:r w:rsidR="00456BC9" w:rsidRPr="009146F9">
          <w:instrText xml:space="preserve"> ADDIN EN.CITE &lt;EndNote&gt;&lt;Cite&gt;&lt;Author&gt;Department of Police and Emergency Management&lt;/Author&gt;&lt;Year&gt;2015&lt;/Year&gt;&lt;RecNum&gt;7&lt;/RecNum&gt;&lt;DisplayText&gt;&lt;style face="superscript"&gt;13&lt;/style&gt;&lt;/DisplayText&gt;&lt;record&gt;&lt;rec-number&gt;7&lt;/rec-number&gt;&lt;foreign-keys&gt;&lt;key app="EN" db-id="d20zxx0xf2efe5e29x4vtdtwtetp2wpzsedt"&gt;7&lt;/key&gt;&lt;/foreign-keys&gt;&lt;ref-type name="Report"&gt;27&lt;/ref-type&gt;&lt;contributors&gt;&lt;authors&gt;&lt;author&gt;Department of Police and Emergency Management,&lt;/author&gt;&lt;/authors&gt;&lt;/contributors&gt;&lt;titles&gt;&lt;title&gt;Annual (June) 2015 Corporate Performance Report, Tasmania Police&lt;/title&gt;&lt;/titles&gt;&lt;dates&gt;&lt;year&gt;2015&lt;/year&gt;&lt;/dates&gt;&lt;publisher&gt;Tasmanian Government&lt;/publisher&gt;&lt;urls&gt;&lt;related-urls&gt;&lt;url&gt;http://www.police.tas.gov.au.s3.amazonaws.com/wp-content/uploads/2010/08/Corporate-Performance-Report-June2015-Annual2014-15.pdf&lt;/url&gt;&lt;/related-urls&gt;&lt;/urls&gt;&lt;access-date&gt;01 Aug 2016&lt;/access-date&gt;&lt;/record&gt;&lt;/Cite&gt;&lt;/EndNote&gt;</w:instrText>
        </w:r>
        <w:r w:rsidR="00456BC9" w:rsidRPr="009146F9">
          <w:fldChar w:fldCharType="separate"/>
        </w:r>
        <w:r w:rsidR="00456BC9" w:rsidRPr="009146F9">
          <w:rPr>
            <w:noProof/>
            <w:vertAlign w:val="superscript"/>
          </w:rPr>
          <w:t>13</w:t>
        </w:r>
        <w:r w:rsidR="00456BC9" w:rsidRPr="009146F9">
          <w:fldChar w:fldCharType="end"/>
        </w:r>
      </w:hyperlink>
    </w:p>
    <w:p w:rsidR="00456BC9" w:rsidRPr="009146F9" w:rsidRDefault="00456BC9" w:rsidP="00FC47DF">
      <w:pPr>
        <w:pStyle w:val="BodyCopy"/>
        <w:keepNext/>
        <w:numPr>
          <w:ilvl w:val="0"/>
          <w:numId w:val="25"/>
        </w:numPr>
        <w:spacing w:before="120" w:after="120" w:line="280" w:lineRule="atLeast"/>
        <w:ind w:left="568" w:right="198" w:hanging="284"/>
      </w:pPr>
      <w:r w:rsidRPr="009146F9">
        <w:t xml:space="preserve">Although this </w:t>
      </w:r>
      <w:r w:rsidR="005832A8" w:rsidRPr="009146F9">
        <w:t>number has decreased since 2011-</w:t>
      </w:r>
      <w:r w:rsidRPr="009146F9">
        <w:t>12, the number of random breath test has also decreased and the rate has not reduced significantly</w:t>
      </w:r>
    </w:p>
    <w:p w:rsidR="008161F2" w:rsidRPr="009146F9" w:rsidRDefault="008161F2" w:rsidP="00BA74FA">
      <w:pPr>
        <w:pStyle w:val="Heading3"/>
      </w:pPr>
      <w:r w:rsidRPr="009146F9">
        <w:t>Road fatalities and serious injuries involving alcohol</w:t>
      </w:r>
    </w:p>
    <w:p w:rsidR="005832A8" w:rsidRPr="009146F9" w:rsidRDefault="005832A8" w:rsidP="00FC47DF">
      <w:pPr>
        <w:pStyle w:val="BodyCopy"/>
        <w:keepNext/>
        <w:numPr>
          <w:ilvl w:val="0"/>
          <w:numId w:val="25"/>
        </w:numPr>
        <w:spacing w:before="120" w:after="120" w:line="280" w:lineRule="atLeast"/>
        <w:ind w:left="567" w:hanging="283"/>
      </w:pPr>
      <w:r w:rsidRPr="009146F9">
        <w:t>There were 51 road fatalities and serious injuries involving alcohol in 2015</w:t>
      </w:r>
      <w:hyperlink w:anchor="_ENREF_14" w:tooltip="Department of State Growth, 2016 #35" w:history="1">
        <w:r w:rsidRPr="009146F9">
          <w:fldChar w:fldCharType="begin"/>
        </w:r>
        <w:r w:rsidRPr="009146F9">
          <w:instrText xml:space="preserve"> ADDIN EN.CITE &lt;EndNote&gt;&lt;Cite&gt;&lt;Author&gt;Department of State Growth&lt;/Author&gt;&lt;Year&gt;2016&lt;/Year&gt;&lt;RecNum&gt;35&lt;/RecNum&gt;&lt;DisplayText&gt;&lt;style face="superscript"&gt;14&lt;/style&gt;&lt;/DisplayText&gt;&lt;record&gt;&lt;rec-number&gt;35&lt;/rec-number&gt;&lt;foreign-keys&gt;&lt;key app="EN" db-id="d20zxx0xf2efe5e29x4vtdtwtetp2wpzsedt"&gt;35&lt;/key&gt;&lt;/foreign-keys&gt;&lt;ref-type name="Unpublished Work"&gt;34&lt;/ref-type&gt;&lt;contributors&gt;&lt;authors&gt;&lt;author&gt;Department of State Growth,&lt;/author&gt;&lt;/authors&gt;&lt;/contributors&gt;&lt;titles&gt;&lt;title&gt;Crash Data, unpublished data&lt;/title&gt;&lt;/titles&gt;&lt;dates&gt;&lt;year&gt;2016&lt;/year&gt;&lt;/dates&gt;&lt;urls&gt;&lt;/urls&gt;&lt;/record&gt;&lt;/Cite&gt;&lt;/EndNote&gt;</w:instrText>
        </w:r>
        <w:r w:rsidRPr="009146F9">
          <w:fldChar w:fldCharType="separate"/>
        </w:r>
        <w:r w:rsidRPr="009146F9">
          <w:rPr>
            <w:noProof/>
            <w:vertAlign w:val="superscript"/>
          </w:rPr>
          <w:t>14</w:t>
        </w:r>
        <w:r w:rsidRPr="009146F9">
          <w:fldChar w:fldCharType="end"/>
        </w:r>
      </w:hyperlink>
    </w:p>
    <w:p w:rsidR="005832A8" w:rsidRPr="009146F9" w:rsidRDefault="005832A8" w:rsidP="00FC47DF">
      <w:pPr>
        <w:pStyle w:val="BodyCopy"/>
        <w:keepNext/>
        <w:numPr>
          <w:ilvl w:val="0"/>
          <w:numId w:val="25"/>
        </w:numPr>
        <w:spacing w:before="120" w:after="120" w:line="280" w:lineRule="atLeast"/>
        <w:ind w:left="567" w:hanging="283"/>
      </w:pPr>
      <w:r w:rsidRPr="009146F9">
        <w:t>Among 17-29 year olds 17.9 per cent of road fatalities and serious injuries involve alcohol</w:t>
      </w:r>
      <w:hyperlink w:anchor="_ENREF_14" w:tooltip="Department of State Growth, 2016 #35" w:history="1">
        <w:r w:rsidRPr="009146F9">
          <w:fldChar w:fldCharType="begin"/>
        </w:r>
        <w:r w:rsidRPr="009146F9">
          <w:instrText xml:space="preserve"> ADDIN EN.CITE &lt;EndNote&gt;&lt;Cite&gt;&lt;Author&gt;Department of State Growth&lt;/Author&gt;&lt;Year&gt;2016&lt;/Year&gt;&lt;RecNum&gt;35&lt;/RecNum&gt;&lt;DisplayText&gt;&lt;style face="superscript"&gt;14&lt;/style&gt;&lt;/DisplayText&gt;&lt;record&gt;&lt;rec-number&gt;35&lt;/rec-number&gt;&lt;foreign-keys&gt;&lt;key app="EN" db-id="d20zxx0xf2efe5e29x4vtdtwtetp2wpzsedt"&gt;35&lt;/key&gt;&lt;/foreign-keys&gt;&lt;ref-type name="Unpublished Work"&gt;34&lt;/ref-type&gt;&lt;contributors&gt;&lt;authors&gt;&lt;author&gt;Department of State Growth,&lt;/author&gt;&lt;/authors&gt;&lt;/contributors&gt;&lt;titles&gt;&lt;title&gt;Crash Data, unpublished data&lt;/title&gt;&lt;/titles&gt;&lt;dates&gt;&lt;year&gt;2016&lt;/year&gt;&lt;/dates&gt;&lt;urls&gt;&lt;/urls&gt;&lt;/record&gt;&lt;/Cite&gt;&lt;/EndNote&gt;</w:instrText>
        </w:r>
        <w:r w:rsidRPr="009146F9">
          <w:fldChar w:fldCharType="separate"/>
        </w:r>
        <w:r w:rsidRPr="009146F9">
          <w:rPr>
            <w:noProof/>
            <w:vertAlign w:val="superscript"/>
          </w:rPr>
          <w:t>14</w:t>
        </w:r>
        <w:r w:rsidRPr="009146F9">
          <w:fldChar w:fldCharType="end"/>
        </w:r>
      </w:hyperlink>
    </w:p>
    <w:p w:rsidR="00121929" w:rsidRPr="009146F9" w:rsidRDefault="00121929" w:rsidP="00FC47DF">
      <w:pPr>
        <w:pStyle w:val="ListParagraph"/>
        <w:keepNext/>
        <w:numPr>
          <w:ilvl w:val="0"/>
          <w:numId w:val="25"/>
        </w:numPr>
        <w:tabs>
          <w:tab w:val="left" w:pos="567"/>
        </w:tabs>
        <w:spacing w:before="120" w:after="120" w:line="280" w:lineRule="atLeast"/>
        <w:ind w:left="567" w:hanging="283"/>
        <w:rPr>
          <w:rFonts w:ascii="Gill Sans MT" w:hAnsi="Gill Sans MT"/>
        </w:rPr>
      </w:pPr>
      <w:r w:rsidRPr="009146F9">
        <w:rPr>
          <w:rFonts w:ascii="Gill Sans MT" w:hAnsi="Gill Sans MT"/>
        </w:rPr>
        <w:t>There has been a statistically significant (p&lt;0.001) downward trend in the likelihood of serious casualties involving alcohol for all ages of 11.6 per cent  per annum on average between 2008 and 2015, and a decrease of 23.5 per cent per annum on average for 17-29 year olds between 2010-2015</w:t>
      </w:r>
    </w:p>
    <w:p w:rsidR="008161F2" w:rsidRPr="009146F9" w:rsidRDefault="008161F2" w:rsidP="00FC47DF">
      <w:pPr>
        <w:pStyle w:val="BodyCopy"/>
        <w:keepNext/>
        <w:spacing w:before="120" w:after="120" w:line="280" w:lineRule="atLeast"/>
        <w:ind w:left="284"/>
        <w:rPr>
          <w:b/>
        </w:rPr>
      </w:pPr>
    </w:p>
    <w:p w:rsidR="008161F2" w:rsidRPr="009146F9" w:rsidRDefault="008161F2" w:rsidP="00FC47DF">
      <w:pPr>
        <w:keepNext/>
        <w:jc w:val="center"/>
        <w:rPr>
          <w:rFonts w:ascii="Gill Sans MT" w:hAnsi="Gill Sans MT"/>
          <w:b/>
        </w:rPr>
      </w:pPr>
      <w:r w:rsidRPr="009146F9">
        <w:rPr>
          <w:rFonts w:ascii="Gill Sans MT" w:hAnsi="Gill Sans MT"/>
          <w:noProof/>
          <w:lang w:eastAsia="en-AU"/>
        </w:rPr>
        <w:drawing>
          <wp:inline distT="0" distB="0" distL="0" distR="0" wp14:anchorId="10C1AB30" wp14:editId="70D100FD">
            <wp:extent cx="4839419" cy="2035834"/>
            <wp:effectExtent l="0" t="0" r="0" b="2540"/>
            <wp:docPr id="162" name="Object 162" descr="Summary provided in preceeding paragraphs" title="Per cent of serious casualties involving alcohol"/>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161F2" w:rsidRPr="009146F9" w:rsidRDefault="008161F2" w:rsidP="00FC47DF">
      <w:pPr>
        <w:pStyle w:val="Caption"/>
        <w:keepNext/>
        <w:spacing w:before="0" w:after="0" w:line="240" w:lineRule="auto"/>
        <w:ind w:left="992" w:right="567"/>
      </w:pPr>
      <w:r w:rsidRPr="009146F9">
        <w:t>Proportion of serious casualties* involving alcohol as a crash factor, Tasmania, 2006-15</w:t>
      </w:r>
    </w:p>
    <w:p w:rsidR="008161F2" w:rsidRPr="009146F9" w:rsidRDefault="008161F2" w:rsidP="00FC47DF">
      <w:pPr>
        <w:keepNext/>
        <w:spacing w:after="0" w:line="240" w:lineRule="auto"/>
        <w:ind w:left="993" w:right="565"/>
        <w:rPr>
          <w:rFonts w:ascii="Gill Sans MT" w:hAnsi="Gill Sans MT"/>
          <w:i/>
          <w:sz w:val="20"/>
          <w:szCs w:val="20"/>
        </w:rPr>
      </w:pPr>
      <w:r w:rsidRPr="009146F9">
        <w:rPr>
          <w:rFonts w:ascii="Gill Sans MT" w:hAnsi="Gill Sans MT"/>
          <w:i/>
          <w:sz w:val="20"/>
          <w:szCs w:val="20"/>
        </w:rPr>
        <w:t>*includes fatalities and serious injuries (hospitalised for 24 hours or more).  Source: Epidemiology Unit, DHHS, using data derived from Department of State Growth, Crash Data Manager</w:t>
      </w:r>
    </w:p>
    <w:p w:rsidR="00456BC9" w:rsidRPr="009146F9" w:rsidRDefault="00456BC9" w:rsidP="00BA74FA">
      <w:pPr>
        <w:pStyle w:val="Heading3"/>
      </w:pPr>
      <w:r w:rsidRPr="009146F9">
        <w:t>Family violence</w:t>
      </w:r>
    </w:p>
    <w:p w:rsidR="00456BC9" w:rsidRPr="009146F9" w:rsidRDefault="00456BC9" w:rsidP="00FC47DF">
      <w:pPr>
        <w:pStyle w:val="BodyCopy"/>
        <w:keepNext/>
        <w:numPr>
          <w:ilvl w:val="0"/>
          <w:numId w:val="26"/>
        </w:numPr>
        <w:spacing w:before="120" w:after="120" w:line="280" w:lineRule="atLeast"/>
        <w:ind w:left="567" w:hanging="283"/>
      </w:pPr>
      <w:r w:rsidRPr="009146F9">
        <w:t>In 2015-16 there were 761 family violence incidents where the offender was affected by alcohol  (23.9</w:t>
      </w:r>
      <w:r w:rsidR="005832A8" w:rsidRPr="009146F9">
        <w:t xml:space="preserve"> per cent</w:t>
      </w:r>
      <w:r w:rsidRPr="009146F9">
        <w:t xml:space="preserve"> of all incidents)</w:t>
      </w:r>
      <w:hyperlink w:anchor="_ENREF_13" w:tooltip="Department of Police and Emergency Management, 2015 #7" w:history="1">
        <w:r w:rsidRPr="009146F9">
          <w:fldChar w:fldCharType="begin"/>
        </w:r>
        <w:r w:rsidRPr="009146F9">
          <w:instrText xml:space="preserve"> ADDIN EN.CITE &lt;EndNote&gt;&lt;Cite&gt;&lt;Author&gt;Department of Police and Emergency Management&lt;/Author&gt;&lt;Year&gt;2015&lt;/Year&gt;&lt;RecNum&gt;7&lt;/RecNum&gt;&lt;DisplayText&gt;&lt;style face="superscript"&gt;13&lt;/style&gt;&lt;/DisplayText&gt;&lt;record&gt;&lt;rec-number&gt;7&lt;/rec-number&gt;&lt;foreign-keys&gt;&lt;key app="EN" db-id="d20zxx0xf2efe5e29x4vtdtwtetp2wpzsedt"&gt;7&lt;/key&gt;&lt;/foreign-keys&gt;&lt;ref-type name="Report"&gt;27&lt;/ref-type&gt;&lt;contributors&gt;&lt;authors&gt;&lt;author&gt;Department of Police and Emergency Management,&lt;/author&gt;&lt;/authors&gt;&lt;/contributors&gt;&lt;titles&gt;&lt;title&gt;Annual (June) 2015 Corporate Performance Report, Tasmania Police&lt;/title&gt;&lt;/titles&gt;&lt;dates&gt;&lt;year&gt;2015&lt;/year&gt;&lt;/dates&gt;&lt;publisher&gt;Tasmanian Government&lt;/publisher&gt;&lt;urls&gt;&lt;related-urls&gt;&lt;url&gt;http://www.police.tas.gov.au.s3.amazonaws.com/wp-content/uploads/2010/08/Corporate-Performance-Report-June2015-Annual2014-15.pdf&lt;/url&gt;&lt;/related-urls&gt;&lt;/urls&gt;&lt;access-date&gt;01 Aug 2016&lt;/access-date&gt;&lt;/record&gt;&lt;/Cite&gt;&lt;/EndNote&gt;</w:instrText>
        </w:r>
        <w:r w:rsidRPr="009146F9">
          <w:fldChar w:fldCharType="separate"/>
        </w:r>
        <w:r w:rsidRPr="009146F9">
          <w:rPr>
            <w:noProof/>
            <w:vertAlign w:val="superscript"/>
          </w:rPr>
          <w:t>13</w:t>
        </w:r>
        <w:r w:rsidRPr="009146F9">
          <w:fldChar w:fldCharType="end"/>
        </w:r>
      </w:hyperlink>
    </w:p>
    <w:p w:rsidR="00456BC9" w:rsidRPr="009146F9" w:rsidRDefault="00456BC9" w:rsidP="00FC47DF">
      <w:pPr>
        <w:pStyle w:val="BodyCopy"/>
        <w:keepNext/>
        <w:numPr>
          <w:ilvl w:val="0"/>
          <w:numId w:val="26"/>
        </w:numPr>
        <w:spacing w:before="120" w:after="120" w:line="280" w:lineRule="atLeast"/>
        <w:ind w:left="567" w:hanging="283"/>
      </w:pPr>
      <w:r w:rsidRPr="009146F9">
        <w:t>The highest proportion of incidents with alcohol involved was seen in the South of Tasmania</w:t>
      </w:r>
      <w:hyperlink w:anchor="_ENREF_13" w:tooltip="Department of Police and Emergency Management, 2015 #7" w:history="1">
        <w:r w:rsidRPr="009146F9">
          <w:fldChar w:fldCharType="begin"/>
        </w:r>
        <w:r w:rsidRPr="009146F9">
          <w:instrText xml:space="preserve"> ADDIN EN.CITE &lt;EndNote&gt;&lt;Cite&gt;&lt;Author&gt;Department of Police and Emergency Management&lt;/Author&gt;&lt;Year&gt;2015&lt;/Year&gt;&lt;RecNum&gt;7&lt;/RecNum&gt;&lt;DisplayText&gt;&lt;style face="superscript"&gt;13&lt;/style&gt;&lt;/DisplayText&gt;&lt;record&gt;&lt;rec-number&gt;7&lt;/rec-number&gt;&lt;foreign-keys&gt;&lt;key app="EN" db-id="d20zxx0xf2efe5e29x4vtdtwtetp2wpzsedt"&gt;7&lt;/key&gt;&lt;/foreign-keys&gt;&lt;ref-type name="Report"&gt;27&lt;/ref-type&gt;&lt;contributors&gt;&lt;authors&gt;&lt;author&gt;Department of Police and Emergency Management,&lt;/author&gt;&lt;/authors&gt;&lt;/contributors&gt;&lt;titles&gt;&lt;title&gt;Annual (June) 2015 Corporate Performance Report, Tasmania Police&lt;/title&gt;&lt;/titles&gt;&lt;dates&gt;&lt;year&gt;2015&lt;/year&gt;&lt;/dates&gt;&lt;publisher&gt;Tasmanian Government&lt;/publisher&gt;&lt;urls&gt;&lt;related-urls&gt;&lt;url&gt;http://www.police.tas.gov.au.s3.amazonaws.com/wp-content/uploads/2010/08/Corporate-Performance-Report-June2015-Annual2014-15.pdf&lt;/url&gt;&lt;/related-urls&gt;&lt;/urls&gt;&lt;access-date&gt;01 Aug 2016&lt;/access-date&gt;&lt;/record&gt;&lt;/Cite&gt;&lt;/EndNote&gt;</w:instrText>
        </w:r>
        <w:r w:rsidRPr="009146F9">
          <w:fldChar w:fldCharType="separate"/>
        </w:r>
        <w:r w:rsidRPr="009146F9">
          <w:rPr>
            <w:noProof/>
            <w:vertAlign w:val="superscript"/>
          </w:rPr>
          <w:t>13</w:t>
        </w:r>
        <w:r w:rsidRPr="009146F9">
          <w:fldChar w:fldCharType="end"/>
        </w:r>
      </w:hyperlink>
    </w:p>
    <w:p w:rsidR="00456BC9" w:rsidRPr="009146F9" w:rsidRDefault="00456BC9" w:rsidP="00FC47DF">
      <w:pPr>
        <w:pStyle w:val="BodyCopy"/>
        <w:keepNext/>
        <w:numPr>
          <w:ilvl w:val="0"/>
          <w:numId w:val="26"/>
        </w:numPr>
        <w:spacing w:before="120" w:after="120" w:line="280" w:lineRule="atLeast"/>
        <w:ind w:left="567" w:hanging="283"/>
      </w:pPr>
      <w:r w:rsidRPr="009146F9">
        <w:t>The proportion of family violence incidents with alcohol involved has decreased over the last 5 years (2010-11: 30.8</w:t>
      </w:r>
      <w:r w:rsidR="005832A8" w:rsidRPr="009146F9">
        <w:t xml:space="preserve"> per cent</w:t>
      </w:r>
      <w:r w:rsidRPr="009146F9">
        <w:t xml:space="preserve"> of all incidents)</w:t>
      </w:r>
      <w:hyperlink w:anchor="_ENREF_13" w:tooltip="Department of Police and Emergency Management, 2015 #7" w:history="1">
        <w:r w:rsidRPr="009146F9">
          <w:fldChar w:fldCharType="begin"/>
        </w:r>
        <w:r w:rsidRPr="009146F9">
          <w:instrText xml:space="preserve"> ADDIN EN.CITE &lt;EndNote&gt;&lt;Cite&gt;&lt;Author&gt;Department of Police and Emergency Management&lt;/Author&gt;&lt;Year&gt;2015&lt;/Year&gt;&lt;RecNum&gt;7&lt;/RecNum&gt;&lt;DisplayText&gt;&lt;style face="superscript"&gt;13&lt;/style&gt;&lt;/DisplayText&gt;&lt;record&gt;&lt;rec-number&gt;7&lt;/rec-number&gt;&lt;foreign-keys&gt;&lt;key app="EN" db-id="d20zxx0xf2efe5e29x4vtdtwtetp2wpzsedt"&gt;7&lt;/key&gt;&lt;/foreign-keys&gt;&lt;ref-type name="Report"&gt;27&lt;/ref-type&gt;&lt;contributors&gt;&lt;authors&gt;&lt;author&gt;Department of Police and Emergency Management,&lt;/author&gt;&lt;/authors&gt;&lt;/contributors&gt;&lt;titles&gt;&lt;title&gt;Annual (June) 2015 Corporate Performance Report, Tasmania Police&lt;/title&gt;&lt;/titles&gt;&lt;dates&gt;&lt;year&gt;2015&lt;/year&gt;&lt;/dates&gt;&lt;publisher&gt;Tasmanian Government&lt;/publisher&gt;&lt;urls&gt;&lt;related-urls&gt;&lt;url&gt;http://www.police.tas.gov.au.s3.amazonaws.com/wp-content/uploads/2010/08/Corporate-Performance-Report-June2015-Annual2014-15.pdf&lt;/url&gt;&lt;/related-urls&gt;&lt;/urls&gt;&lt;access-date&gt;01 Aug 2016&lt;/access-date&gt;&lt;/record&gt;&lt;/Cite&gt;&lt;/EndNote&gt;</w:instrText>
        </w:r>
        <w:r w:rsidRPr="009146F9">
          <w:fldChar w:fldCharType="separate"/>
        </w:r>
        <w:r w:rsidRPr="009146F9">
          <w:rPr>
            <w:noProof/>
            <w:vertAlign w:val="superscript"/>
          </w:rPr>
          <w:t>13</w:t>
        </w:r>
        <w:r w:rsidRPr="009146F9">
          <w:fldChar w:fldCharType="end"/>
        </w:r>
      </w:hyperlink>
    </w:p>
    <w:p w:rsidR="008161F2" w:rsidRPr="009146F9" w:rsidRDefault="008161F2" w:rsidP="00FC47DF">
      <w:pPr>
        <w:pStyle w:val="ListParagraph"/>
        <w:keepNext/>
        <w:ind w:left="1004"/>
        <w:jc w:val="center"/>
        <w:rPr>
          <w:rFonts w:ascii="Gill Sans MT" w:hAnsi="Gill Sans MT"/>
          <w:b/>
          <w:sz w:val="24"/>
          <w:szCs w:val="24"/>
        </w:rPr>
      </w:pPr>
      <w:r w:rsidRPr="009146F9">
        <w:rPr>
          <w:rFonts w:ascii="Gill Sans MT" w:hAnsi="Gill Sans MT"/>
          <w:noProof/>
          <w:lang w:eastAsia="en-AU"/>
        </w:rPr>
        <w:drawing>
          <wp:inline distT="0" distB="0" distL="0" distR="0" wp14:anchorId="341368A1" wp14:editId="67A1B450">
            <wp:extent cx="4080295" cy="2156604"/>
            <wp:effectExtent l="0" t="0" r="0" b="0"/>
            <wp:docPr id="7" name="Chart 17" descr="Summary of chart findings provided in preceeding paragraph." title="Family violence incidents 2010 to 20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161F2" w:rsidRPr="009146F9" w:rsidRDefault="008161F2" w:rsidP="00FC47DF">
      <w:pPr>
        <w:pStyle w:val="Caption"/>
        <w:keepNext/>
        <w:spacing w:before="0" w:after="0" w:line="240" w:lineRule="auto"/>
        <w:ind w:left="1004" w:right="567"/>
      </w:pPr>
      <w:r w:rsidRPr="009146F9">
        <w:t>Percentage of family violence incidents where the offender was affected by alcohol by Police district, 2010/11-2015/16</w:t>
      </w:r>
    </w:p>
    <w:p w:rsidR="008161F2" w:rsidRPr="009146F9" w:rsidRDefault="008161F2" w:rsidP="00FC47DF">
      <w:pPr>
        <w:pStyle w:val="ListParagraph"/>
        <w:keepNext/>
        <w:spacing w:after="0" w:line="240" w:lineRule="auto"/>
        <w:ind w:left="1004" w:right="567"/>
        <w:rPr>
          <w:rFonts w:ascii="Gill Sans MT" w:hAnsi="Gill Sans MT"/>
          <w:i/>
          <w:sz w:val="20"/>
          <w:szCs w:val="20"/>
        </w:rPr>
      </w:pPr>
      <w:r w:rsidRPr="009146F9">
        <w:rPr>
          <w:rFonts w:ascii="Gill Sans MT" w:hAnsi="Gill Sans MT"/>
          <w:i/>
          <w:sz w:val="20"/>
          <w:szCs w:val="20"/>
        </w:rPr>
        <w:t>Source: Based on data derived from Department of Police and Emergency Management, Tasmania Police Corporate Performance Reports</w:t>
      </w:r>
    </w:p>
    <w:p w:rsidR="00BA74FA" w:rsidRDefault="00BA74FA" w:rsidP="00BA74FA">
      <w:pPr>
        <w:keepNext/>
        <w:rPr>
          <w:rFonts w:ascii="Gill Sans MT" w:hAnsi="Gill Sans MT"/>
          <w:sz w:val="24"/>
          <w:szCs w:val="24"/>
        </w:rPr>
      </w:pPr>
    </w:p>
    <w:p w:rsidR="00AA5846" w:rsidRPr="00BA74FA" w:rsidRDefault="00456BC9" w:rsidP="00BA74FA">
      <w:pPr>
        <w:keepNext/>
        <w:rPr>
          <w:rFonts w:ascii="Gill Sans MT" w:hAnsi="Gill Sans MT"/>
          <w:color w:val="4F81BD"/>
          <w:sz w:val="28"/>
          <w:szCs w:val="28"/>
        </w:rPr>
      </w:pPr>
      <w:r w:rsidRPr="00BA74FA">
        <w:rPr>
          <w:rFonts w:ascii="Gill Sans MT" w:hAnsi="Gill Sans MT"/>
          <w:color w:val="4F81BD"/>
          <w:sz w:val="28"/>
          <w:szCs w:val="28"/>
        </w:rPr>
        <w:t>References</w:t>
      </w:r>
      <w:r w:rsidR="00D66621" w:rsidRPr="00BA74FA">
        <w:rPr>
          <w:rFonts w:ascii="Gill Sans MT" w:hAnsi="Gill Sans MT"/>
          <w:color w:val="4F81BD"/>
          <w:sz w:val="28"/>
          <w:szCs w:val="28"/>
        </w:rPr>
        <w:t xml:space="preserve"> </w:t>
      </w:r>
    </w:p>
    <w:p w:rsidR="00456BC9" w:rsidRPr="009146F9" w:rsidRDefault="00456BC9" w:rsidP="00BA74FA">
      <w:pPr>
        <w:pStyle w:val="BodyCopy"/>
        <w:keepNext/>
        <w:spacing w:before="120" w:after="120" w:line="240" w:lineRule="auto"/>
        <w:ind w:left="284" w:right="198" w:hanging="284"/>
        <w:rPr>
          <w:noProof/>
          <w:sz w:val="18"/>
          <w:szCs w:val="18"/>
        </w:rPr>
      </w:pPr>
      <w:r w:rsidRPr="009146F9">
        <w:rPr>
          <w:sz w:val="18"/>
          <w:szCs w:val="18"/>
        </w:rPr>
        <w:fldChar w:fldCharType="begin"/>
      </w:r>
      <w:r w:rsidRPr="009146F9">
        <w:rPr>
          <w:sz w:val="18"/>
          <w:szCs w:val="18"/>
        </w:rPr>
        <w:instrText xml:space="preserve"> ADDIN EN.REFLIST </w:instrText>
      </w:r>
      <w:r w:rsidRPr="009146F9">
        <w:rPr>
          <w:sz w:val="18"/>
          <w:szCs w:val="18"/>
        </w:rPr>
        <w:fldChar w:fldCharType="separate"/>
      </w:r>
      <w:r w:rsidRPr="009146F9">
        <w:rPr>
          <w:noProof/>
          <w:sz w:val="18"/>
          <w:szCs w:val="18"/>
        </w:rPr>
        <w:t>1.</w:t>
      </w:r>
      <w:r w:rsidRPr="009146F9">
        <w:rPr>
          <w:noProof/>
          <w:sz w:val="18"/>
          <w:szCs w:val="18"/>
        </w:rPr>
        <w:tab/>
        <w:t xml:space="preserve">World Health Organization. </w:t>
      </w:r>
      <w:r w:rsidRPr="009146F9">
        <w:rPr>
          <w:i/>
          <w:noProof/>
          <w:sz w:val="18"/>
          <w:szCs w:val="18"/>
        </w:rPr>
        <w:t xml:space="preserve">Global status report on alcohol and health 2014. </w:t>
      </w:r>
      <w:r w:rsidRPr="009146F9">
        <w:rPr>
          <w:noProof/>
          <w:sz w:val="18"/>
          <w:szCs w:val="18"/>
        </w:rPr>
        <w:t>Geneva2014.</w:t>
      </w:r>
    </w:p>
    <w:p w:rsidR="00456BC9" w:rsidRPr="009146F9" w:rsidRDefault="00456BC9" w:rsidP="00BA74FA">
      <w:pPr>
        <w:pStyle w:val="BodyCopy"/>
        <w:keepNext/>
        <w:spacing w:before="120" w:after="120" w:line="240" w:lineRule="auto"/>
        <w:ind w:left="284" w:right="198" w:hanging="284"/>
        <w:rPr>
          <w:noProof/>
          <w:sz w:val="18"/>
          <w:szCs w:val="18"/>
        </w:rPr>
      </w:pPr>
      <w:r w:rsidRPr="009146F9">
        <w:rPr>
          <w:noProof/>
          <w:sz w:val="18"/>
          <w:szCs w:val="18"/>
        </w:rPr>
        <w:t>2.</w:t>
      </w:r>
      <w:r w:rsidRPr="009146F9">
        <w:rPr>
          <w:noProof/>
          <w:sz w:val="18"/>
          <w:szCs w:val="18"/>
        </w:rPr>
        <w:tab/>
        <w:t xml:space="preserve">Department of Treasury and Finance. Liquor industry data in Tasmania. 2016; </w:t>
      </w:r>
      <w:hyperlink r:id="rId42" w:history="1">
        <w:r w:rsidRPr="009146F9">
          <w:rPr>
            <w:rStyle w:val="Hyperlink"/>
            <w:noProof/>
            <w:sz w:val="18"/>
            <w:szCs w:val="18"/>
          </w:rPr>
          <w:t>http://www.treasury.tas.gov.au/domino/dtf/dtf.nsf/v-liq-and-gaming/E1E056468959C8E7CA257D8200177211</w:t>
        </w:r>
      </w:hyperlink>
      <w:r w:rsidRPr="009146F9">
        <w:rPr>
          <w:noProof/>
          <w:sz w:val="18"/>
          <w:szCs w:val="18"/>
        </w:rPr>
        <w:t>. Accessed 16 Aug, 2016.</w:t>
      </w:r>
    </w:p>
    <w:p w:rsidR="00456BC9" w:rsidRPr="009146F9" w:rsidRDefault="00456BC9" w:rsidP="00BA74FA">
      <w:pPr>
        <w:pStyle w:val="BodyCopy"/>
        <w:keepNext/>
        <w:spacing w:before="120" w:after="120" w:line="240" w:lineRule="auto"/>
        <w:ind w:left="284" w:right="198" w:hanging="284"/>
        <w:rPr>
          <w:noProof/>
          <w:sz w:val="18"/>
          <w:szCs w:val="18"/>
        </w:rPr>
      </w:pPr>
      <w:r w:rsidRPr="009146F9">
        <w:rPr>
          <w:noProof/>
          <w:sz w:val="18"/>
          <w:szCs w:val="18"/>
        </w:rPr>
        <w:t>3.</w:t>
      </w:r>
      <w:r w:rsidRPr="009146F9">
        <w:rPr>
          <w:noProof/>
          <w:sz w:val="18"/>
          <w:szCs w:val="18"/>
        </w:rPr>
        <w:tab/>
        <w:t xml:space="preserve">Australian Bureau of Statistics. Apparent consumption of alcohol, Australia, 2013-2014. [Internet]. 2015; </w:t>
      </w:r>
      <w:hyperlink r:id="rId43" w:history="1">
        <w:r w:rsidRPr="009146F9">
          <w:rPr>
            <w:rStyle w:val="Hyperlink"/>
            <w:noProof/>
            <w:sz w:val="18"/>
            <w:szCs w:val="18"/>
          </w:rPr>
          <w:t>http://www.abs.gov.au/AUSSTATS/abs@.nsf/mf/4307.0.55.001/</w:t>
        </w:r>
      </w:hyperlink>
      <w:r w:rsidRPr="009146F9">
        <w:rPr>
          <w:noProof/>
          <w:sz w:val="18"/>
          <w:szCs w:val="18"/>
        </w:rPr>
        <w:t>. Accessed 08 Jun, 2016.</w:t>
      </w:r>
    </w:p>
    <w:p w:rsidR="00456BC9" w:rsidRPr="009146F9" w:rsidRDefault="00456BC9" w:rsidP="00BA74FA">
      <w:pPr>
        <w:pStyle w:val="BodyCopy"/>
        <w:keepNext/>
        <w:spacing w:before="120" w:after="120" w:line="240" w:lineRule="auto"/>
        <w:ind w:left="284" w:right="198" w:hanging="284"/>
        <w:rPr>
          <w:noProof/>
          <w:sz w:val="18"/>
          <w:szCs w:val="18"/>
        </w:rPr>
      </w:pPr>
      <w:bookmarkStart w:id="18" w:name="_ENREF_4"/>
      <w:r w:rsidRPr="009146F9">
        <w:rPr>
          <w:noProof/>
          <w:sz w:val="18"/>
          <w:szCs w:val="18"/>
        </w:rPr>
        <w:t>4.</w:t>
      </w:r>
      <w:r w:rsidRPr="009146F9">
        <w:rPr>
          <w:noProof/>
          <w:sz w:val="18"/>
          <w:szCs w:val="18"/>
        </w:rPr>
        <w:tab/>
        <w:t>National Health and Medical Research Council. Australian guidelines to reduce health risks from drinking alcohol. Canberra: Commonwealth of Australia; 2009.</w:t>
      </w:r>
      <w:bookmarkEnd w:id="18"/>
    </w:p>
    <w:p w:rsidR="00456BC9" w:rsidRPr="009146F9" w:rsidRDefault="00456BC9" w:rsidP="00BA74FA">
      <w:pPr>
        <w:pStyle w:val="BodyCopy"/>
        <w:keepNext/>
        <w:spacing w:before="120" w:after="120" w:line="240" w:lineRule="auto"/>
        <w:ind w:left="284" w:right="198" w:hanging="284"/>
        <w:rPr>
          <w:noProof/>
          <w:sz w:val="18"/>
          <w:szCs w:val="18"/>
        </w:rPr>
      </w:pPr>
      <w:bookmarkStart w:id="19" w:name="_ENREF_5"/>
      <w:r w:rsidRPr="009146F9">
        <w:rPr>
          <w:noProof/>
          <w:sz w:val="18"/>
          <w:szCs w:val="18"/>
        </w:rPr>
        <w:t>5.</w:t>
      </w:r>
      <w:r w:rsidRPr="009146F9">
        <w:rPr>
          <w:noProof/>
          <w:sz w:val="18"/>
          <w:szCs w:val="18"/>
        </w:rPr>
        <w:tab/>
        <w:t xml:space="preserve">Australian Bureau of Statistics. National Health Survey: First Results, 2014-15. [INTERNET]. 2015; </w:t>
      </w:r>
      <w:hyperlink r:id="rId44" w:history="1">
        <w:r w:rsidRPr="009146F9">
          <w:rPr>
            <w:rStyle w:val="Hyperlink"/>
            <w:noProof/>
            <w:sz w:val="18"/>
            <w:szCs w:val="18"/>
          </w:rPr>
          <w:t>http://www.abs.gov.au/AUSSTATS/abs@.nsf/DetailsPage/4364.0.55.0012014-15?OpenDocument</w:t>
        </w:r>
      </w:hyperlink>
      <w:r w:rsidRPr="009146F9">
        <w:rPr>
          <w:noProof/>
          <w:sz w:val="18"/>
          <w:szCs w:val="18"/>
        </w:rPr>
        <w:t>. Accessed 15 Jun, 2016.</w:t>
      </w:r>
      <w:bookmarkEnd w:id="19"/>
    </w:p>
    <w:p w:rsidR="00456BC9" w:rsidRPr="009146F9" w:rsidRDefault="00456BC9" w:rsidP="00BA74FA">
      <w:pPr>
        <w:pStyle w:val="BodyCopy"/>
        <w:keepNext/>
        <w:spacing w:before="120" w:after="120" w:line="240" w:lineRule="auto"/>
        <w:ind w:left="284" w:right="198" w:hanging="284"/>
        <w:rPr>
          <w:noProof/>
          <w:sz w:val="18"/>
          <w:szCs w:val="18"/>
        </w:rPr>
      </w:pPr>
      <w:bookmarkStart w:id="20" w:name="_ENREF_6"/>
      <w:r w:rsidRPr="009146F9">
        <w:rPr>
          <w:noProof/>
          <w:sz w:val="18"/>
          <w:szCs w:val="18"/>
        </w:rPr>
        <w:t>6.</w:t>
      </w:r>
      <w:r w:rsidRPr="009146F9">
        <w:rPr>
          <w:noProof/>
          <w:sz w:val="18"/>
          <w:szCs w:val="18"/>
        </w:rPr>
        <w:tab/>
        <w:t xml:space="preserve">Williams T, Katherine S. </w:t>
      </w:r>
      <w:r w:rsidRPr="009146F9">
        <w:rPr>
          <w:i/>
          <w:noProof/>
          <w:sz w:val="18"/>
          <w:szCs w:val="18"/>
        </w:rPr>
        <w:t>The use of alcohol, tobacco, over-the-counter substances, among Tasmanian secondary school students in 2014 and trends over time.</w:t>
      </w:r>
      <w:r w:rsidRPr="009146F9">
        <w:rPr>
          <w:noProof/>
          <w:sz w:val="18"/>
          <w:szCs w:val="18"/>
        </w:rPr>
        <w:t xml:space="preserve"> Centre for Behavioural Research in Cancer Council Victoria, prapared for Cancer Council Tasmania;2016.</w:t>
      </w:r>
      <w:bookmarkEnd w:id="20"/>
    </w:p>
    <w:p w:rsidR="00456BC9" w:rsidRPr="009146F9" w:rsidRDefault="00456BC9" w:rsidP="00BA74FA">
      <w:pPr>
        <w:pStyle w:val="BodyCopy"/>
        <w:keepNext/>
        <w:spacing w:before="120" w:after="120" w:line="240" w:lineRule="auto"/>
        <w:ind w:left="284" w:right="198" w:hanging="284"/>
        <w:rPr>
          <w:noProof/>
          <w:sz w:val="18"/>
          <w:szCs w:val="18"/>
        </w:rPr>
      </w:pPr>
      <w:bookmarkStart w:id="21" w:name="_ENREF_7"/>
      <w:r w:rsidRPr="009146F9">
        <w:rPr>
          <w:noProof/>
          <w:sz w:val="18"/>
          <w:szCs w:val="18"/>
        </w:rPr>
        <w:t>7.</w:t>
      </w:r>
      <w:r w:rsidRPr="009146F9">
        <w:rPr>
          <w:noProof/>
          <w:sz w:val="18"/>
          <w:szCs w:val="18"/>
        </w:rPr>
        <w:tab/>
        <w:t>Department of Health and Human Services. Council of Obstetric &amp; Paediatric Mortality &amp; Morbidity Annua rep</w:t>
      </w:r>
      <w:r w:rsidR="005B4F17" w:rsidRPr="009146F9">
        <w:rPr>
          <w:noProof/>
          <w:sz w:val="18"/>
          <w:szCs w:val="18"/>
        </w:rPr>
        <w:t>o</w:t>
      </w:r>
      <w:r w:rsidRPr="009146F9">
        <w:rPr>
          <w:noProof/>
          <w:sz w:val="18"/>
          <w:szCs w:val="18"/>
        </w:rPr>
        <w:t>rt 2013. Hobart: Tasmanian Government; 2015.</w:t>
      </w:r>
      <w:bookmarkEnd w:id="21"/>
    </w:p>
    <w:p w:rsidR="00456BC9" w:rsidRPr="009146F9" w:rsidRDefault="00456BC9" w:rsidP="00BA74FA">
      <w:pPr>
        <w:pStyle w:val="BodyCopy"/>
        <w:keepNext/>
        <w:spacing w:before="120" w:after="120" w:line="240" w:lineRule="auto"/>
        <w:ind w:left="284" w:right="198" w:hanging="284"/>
        <w:rPr>
          <w:noProof/>
          <w:sz w:val="18"/>
          <w:szCs w:val="18"/>
        </w:rPr>
      </w:pPr>
      <w:bookmarkStart w:id="22" w:name="_ENREF_8"/>
      <w:r w:rsidRPr="009146F9">
        <w:rPr>
          <w:noProof/>
          <w:sz w:val="18"/>
          <w:szCs w:val="18"/>
        </w:rPr>
        <w:t>8.</w:t>
      </w:r>
      <w:r w:rsidRPr="009146F9">
        <w:rPr>
          <w:noProof/>
          <w:sz w:val="18"/>
          <w:szCs w:val="18"/>
        </w:rPr>
        <w:tab/>
        <w:t>Turning Point. Coding and analysis of Ambulance Tasmania data; unpublished data. Melbourne2016.</w:t>
      </w:r>
      <w:bookmarkEnd w:id="22"/>
    </w:p>
    <w:p w:rsidR="00456BC9" w:rsidRPr="009146F9" w:rsidRDefault="00456BC9" w:rsidP="00BA74FA">
      <w:pPr>
        <w:pStyle w:val="BodyCopy"/>
        <w:keepNext/>
        <w:spacing w:before="120" w:after="120" w:line="240" w:lineRule="auto"/>
        <w:ind w:left="284" w:right="198" w:hanging="284"/>
        <w:rPr>
          <w:noProof/>
          <w:sz w:val="18"/>
          <w:szCs w:val="18"/>
        </w:rPr>
      </w:pPr>
      <w:bookmarkStart w:id="23" w:name="_ENREF_9"/>
      <w:r w:rsidRPr="009146F9">
        <w:rPr>
          <w:noProof/>
          <w:sz w:val="18"/>
          <w:szCs w:val="18"/>
        </w:rPr>
        <w:t>9.</w:t>
      </w:r>
      <w:r w:rsidRPr="009146F9">
        <w:rPr>
          <w:noProof/>
          <w:sz w:val="18"/>
          <w:szCs w:val="18"/>
        </w:rPr>
        <w:tab/>
        <w:t>Australian College for Emergency Medicine. Alcohol Harm in Emergency Departments (AHED) Program. [Internet]. 2016; https://acem.org.au/About-ACEM/Programs-Projects/Alcohol-Harm-in-ED-(AHED)-Project.aspx. Accessed 10 July, 2016.</w:t>
      </w:r>
      <w:bookmarkEnd w:id="23"/>
    </w:p>
    <w:p w:rsidR="00456BC9" w:rsidRPr="009146F9" w:rsidRDefault="00456BC9" w:rsidP="00BA74FA">
      <w:pPr>
        <w:pStyle w:val="BodyCopy"/>
        <w:keepNext/>
        <w:spacing w:before="120" w:after="120" w:line="240" w:lineRule="auto"/>
        <w:ind w:left="284" w:right="198" w:hanging="284"/>
        <w:rPr>
          <w:noProof/>
          <w:sz w:val="18"/>
          <w:szCs w:val="18"/>
        </w:rPr>
      </w:pPr>
      <w:bookmarkStart w:id="24" w:name="_ENREF_10"/>
      <w:r w:rsidRPr="009146F9">
        <w:rPr>
          <w:noProof/>
          <w:sz w:val="18"/>
          <w:szCs w:val="18"/>
        </w:rPr>
        <w:t>10.</w:t>
      </w:r>
      <w:r w:rsidRPr="009146F9">
        <w:rPr>
          <w:noProof/>
          <w:sz w:val="18"/>
          <w:szCs w:val="18"/>
        </w:rPr>
        <w:tab/>
        <w:t xml:space="preserve">Egerton-Warburton D, Gosbell A, Wadsworth A, Fatovich DM, Richardson DB. Survey of alcohol-related presentations to Australasian emergency departments. </w:t>
      </w:r>
      <w:r w:rsidRPr="009146F9">
        <w:rPr>
          <w:i/>
          <w:noProof/>
          <w:sz w:val="18"/>
          <w:szCs w:val="18"/>
        </w:rPr>
        <w:t xml:space="preserve">The Medical journal of Australia. </w:t>
      </w:r>
      <w:r w:rsidRPr="009146F9">
        <w:rPr>
          <w:noProof/>
          <w:sz w:val="18"/>
          <w:szCs w:val="18"/>
        </w:rPr>
        <w:t>2014;201(10):584-587.</w:t>
      </w:r>
      <w:bookmarkEnd w:id="24"/>
    </w:p>
    <w:p w:rsidR="00456BC9" w:rsidRPr="009146F9" w:rsidRDefault="00456BC9" w:rsidP="00BA74FA">
      <w:pPr>
        <w:pStyle w:val="BodyCopy"/>
        <w:keepNext/>
        <w:spacing w:before="120" w:after="120" w:line="240" w:lineRule="auto"/>
        <w:ind w:left="284" w:right="198" w:hanging="284"/>
        <w:rPr>
          <w:noProof/>
          <w:sz w:val="18"/>
          <w:szCs w:val="18"/>
        </w:rPr>
      </w:pPr>
      <w:bookmarkStart w:id="25" w:name="_ENREF_11"/>
      <w:r w:rsidRPr="009146F9">
        <w:rPr>
          <w:noProof/>
          <w:sz w:val="18"/>
          <w:szCs w:val="18"/>
        </w:rPr>
        <w:t>11.</w:t>
      </w:r>
      <w:r w:rsidRPr="009146F9">
        <w:rPr>
          <w:noProof/>
          <w:sz w:val="18"/>
          <w:szCs w:val="18"/>
        </w:rPr>
        <w:tab/>
        <w:t>Epidemiology Unit D. unpublished work. 2016.</w:t>
      </w:r>
      <w:bookmarkEnd w:id="25"/>
    </w:p>
    <w:p w:rsidR="00456BC9" w:rsidRPr="009146F9" w:rsidRDefault="00456BC9" w:rsidP="00BA74FA">
      <w:pPr>
        <w:pStyle w:val="BodyCopy"/>
        <w:keepNext/>
        <w:spacing w:before="120" w:after="120" w:line="240" w:lineRule="auto"/>
        <w:ind w:left="284" w:right="198" w:hanging="284"/>
        <w:rPr>
          <w:noProof/>
          <w:sz w:val="18"/>
          <w:szCs w:val="18"/>
        </w:rPr>
      </w:pPr>
      <w:bookmarkStart w:id="26" w:name="_ENREF_12"/>
      <w:r w:rsidRPr="009146F9">
        <w:rPr>
          <w:noProof/>
          <w:sz w:val="18"/>
          <w:szCs w:val="18"/>
        </w:rPr>
        <w:t>12.</w:t>
      </w:r>
      <w:r w:rsidRPr="009146F9">
        <w:rPr>
          <w:noProof/>
          <w:sz w:val="18"/>
          <w:szCs w:val="18"/>
        </w:rPr>
        <w:tab/>
        <w:t xml:space="preserve">Australian Insitute of Health and Welfare. </w:t>
      </w:r>
      <w:r w:rsidR="00AA5846" w:rsidRPr="009146F9">
        <w:rPr>
          <w:noProof/>
          <w:sz w:val="18"/>
          <w:szCs w:val="18"/>
        </w:rPr>
        <w:t xml:space="preserve">Alcohol and other drug treatment services in Australia 2014–15. Drug treatment series no. 27. Cat. no. HSE 173. Canberra: AIHW. </w:t>
      </w:r>
      <w:r w:rsidRPr="009146F9">
        <w:rPr>
          <w:noProof/>
          <w:sz w:val="18"/>
          <w:szCs w:val="18"/>
        </w:rPr>
        <w:t xml:space="preserve">Alcohol and other drug treatment services. 2016; </w:t>
      </w:r>
      <w:hyperlink r:id="rId45" w:history="1">
        <w:r w:rsidRPr="009146F9">
          <w:rPr>
            <w:rStyle w:val="Hyperlink"/>
            <w:noProof/>
            <w:sz w:val="18"/>
            <w:szCs w:val="18"/>
          </w:rPr>
          <w:t>http://aihw.gov.au/alcohol-and-other-drug-treatment-services-data/</w:t>
        </w:r>
      </w:hyperlink>
      <w:r w:rsidRPr="009146F9">
        <w:rPr>
          <w:noProof/>
          <w:sz w:val="18"/>
          <w:szCs w:val="18"/>
        </w:rPr>
        <w:t>. Accessed 25 July, 2016.</w:t>
      </w:r>
      <w:bookmarkEnd w:id="26"/>
    </w:p>
    <w:p w:rsidR="00456BC9" w:rsidRPr="009146F9" w:rsidRDefault="00456BC9" w:rsidP="00BA74FA">
      <w:pPr>
        <w:pStyle w:val="BodyCopy"/>
        <w:keepNext/>
        <w:spacing w:before="120" w:after="120" w:line="240" w:lineRule="auto"/>
        <w:ind w:left="284" w:right="198" w:hanging="284"/>
        <w:rPr>
          <w:noProof/>
          <w:sz w:val="18"/>
          <w:szCs w:val="18"/>
        </w:rPr>
      </w:pPr>
      <w:bookmarkStart w:id="27" w:name="_ENREF_13"/>
      <w:r w:rsidRPr="009146F9">
        <w:rPr>
          <w:noProof/>
          <w:sz w:val="18"/>
          <w:szCs w:val="18"/>
        </w:rPr>
        <w:t>13.</w:t>
      </w:r>
      <w:r w:rsidRPr="009146F9">
        <w:rPr>
          <w:noProof/>
          <w:sz w:val="18"/>
          <w:szCs w:val="18"/>
        </w:rPr>
        <w:tab/>
        <w:t xml:space="preserve">Department of Police and Emergency Management. </w:t>
      </w:r>
      <w:r w:rsidRPr="009146F9">
        <w:rPr>
          <w:i/>
          <w:noProof/>
          <w:sz w:val="18"/>
          <w:szCs w:val="18"/>
        </w:rPr>
        <w:t>Annual (June) 2015 Corporate Performance Report, Tasmania Police.</w:t>
      </w:r>
      <w:r w:rsidRPr="009146F9">
        <w:rPr>
          <w:noProof/>
          <w:sz w:val="18"/>
          <w:szCs w:val="18"/>
        </w:rPr>
        <w:t xml:space="preserve"> Tasmanian Government;2015.</w:t>
      </w:r>
      <w:bookmarkEnd w:id="27"/>
    </w:p>
    <w:p w:rsidR="00456BC9" w:rsidRPr="009146F9" w:rsidRDefault="00456BC9" w:rsidP="00BA74FA">
      <w:pPr>
        <w:pStyle w:val="BodyCopy"/>
        <w:keepNext/>
        <w:spacing w:before="120" w:after="120" w:line="240" w:lineRule="auto"/>
        <w:ind w:left="284" w:right="198" w:hanging="284"/>
        <w:rPr>
          <w:sz w:val="18"/>
          <w:szCs w:val="18"/>
        </w:rPr>
      </w:pPr>
      <w:bookmarkStart w:id="28" w:name="_ENREF_14"/>
      <w:r w:rsidRPr="009146F9">
        <w:rPr>
          <w:noProof/>
          <w:sz w:val="18"/>
          <w:szCs w:val="18"/>
        </w:rPr>
        <w:t>14.</w:t>
      </w:r>
      <w:r w:rsidRPr="009146F9">
        <w:rPr>
          <w:noProof/>
          <w:sz w:val="18"/>
          <w:szCs w:val="18"/>
        </w:rPr>
        <w:tab/>
        <w:t>Department of State Growth. Crash Data, unpublished data. 2016</w:t>
      </w:r>
      <w:bookmarkEnd w:id="28"/>
      <w:r w:rsidRPr="009146F9">
        <w:rPr>
          <w:sz w:val="18"/>
          <w:szCs w:val="18"/>
        </w:rPr>
        <w:fldChar w:fldCharType="end"/>
      </w:r>
    </w:p>
    <w:p w:rsidR="005B4F17" w:rsidRPr="009146F9" w:rsidRDefault="005B4F17" w:rsidP="00BA74FA">
      <w:pPr>
        <w:pStyle w:val="BodyCopy"/>
        <w:keepNext/>
        <w:spacing w:before="120" w:after="120" w:line="240" w:lineRule="auto"/>
        <w:ind w:left="284" w:right="198" w:hanging="284"/>
        <w:rPr>
          <w:noProof/>
          <w:sz w:val="18"/>
          <w:szCs w:val="18"/>
        </w:rPr>
      </w:pPr>
      <w:r w:rsidRPr="009146F9">
        <w:rPr>
          <w:sz w:val="18"/>
          <w:szCs w:val="18"/>
        </w:rPr>
        <w:t xml:space="preserve">15. </w:t>
      </w:r>
      <w:r w:rsidRPr="009146F9">
        <w:rPr>
          <w:noProof/>
          <w:sz w:val="18"/>
          <w:szCs w:val="18"/>
        </w:rPr>
        <w:t>Department of Health and Human Services. Tasmanian Alcohol Data and Trends Report 2016. Hobart: Tasmanian Government; 2016.</w:t>
      </w:r>
    </w:p>
    <w:p w:rsidR="000777F8" w:rsidRPr="009146F9" w:rsidRDefault="000777F8" w:rsidP="00BA74FA">
      <w:pPr>
        <w:keepNext/>
        <w:spacing w:before="120" w:after="120" w:line="240" w:lineRule="auto"/>
        <w:rPr>
          <w:rFonts w:ascii="Gill Sans MT" w:hAnsi="Gill Sans MT"/>
        </w:rPr>
        <w:sectPr w:rsidR="000777F8" w:rsidRPr="009146F9" w:rsidSect="00456BC9">
          <w:footnotePr>
            <w:numFmt w:val="lowerRoman"/>
          </w:footnotePr>
          <w:endnotePr>
            <w:numFmt w:val="decimal"/>
          </w:endnotePr>
          <w:pgSz w:w="11906" w:h="16838"/>
          <w:pgMar w:top="1191" w:right="1418" w:bottom="1191" w:left="1418" w:header="708" w:footer="708" w:gutter="0"/>
          <w:cols w:space="708"/>
          <w:titlePg/>
          <w:docGrid w:linePitch="360"/>
        </w:sectPr>
      </w:pPr>
    </w:p>
    <w:p w:rsidR="00456BC9" w:rsidRPr="009146F9" w:rsidRDefault="00456BC9" w:rsidP="00FC47DF">
      <w:pPr>
        <w:keepNext/>
        <w:spacing w:before="120" w:after="120" w:line="280" w:lineRule="atLeast"/>
        <w:rPr>
          <w:rFonts w:ascii="Gill Sans MT" w:hAnsi="Gill Sans MT"/>
        </w:rPr>
      </w:pPr>
    </w:p>
    <w:p w:rsidR="000777F8" w:rsidRPr="009146F9" w:rsidRDefault="000777F8" w:rsidP="009146F9">
      <w:pPr>
        <w:pStyle w:val="Heading1"/>
      </w:pPr>
      <w:bookmarkStart w:id="29" w:name="_Toc245877551"/>
      <w:bookmarkStart w:id="30" w:name="_Toc476322104"/>
      <w:r w:rsidRPr="009146F9">
        <w:t>Appendix 2</w:t>
      </w:r>
      <w:bookmarkEnd w:id="29"/>
      <w:r w:rsidR="00BC16B6" w:rsidRPr="009146F9">
        <w:t xml:space="preserve">: </w:t>
      </w:r>
      <w:r w:rsidR="002913DE" w:rsidRPr="009146F9">
        <w:t>Key Strategies and identified areas for action</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565"/>
      </w:tblGrid>
      <w:tr w:rsidR="000777F8" w:rsidRPr="009146F9" w:rsidTr="00A20B82">
        <w:trPr>
          <w:tblHeader/>
        </w:trPr>
        <w:tc>
          <w:tcPr>
            <w:tcW w:w="3085" w:type="dxa"/>
            <w:shd w:val="clear" w:color="auto" w:fill="auto"/>
          </w:tcPr>
          <w:p w:rsidR="000777F8" w:rsidRPr="009146F9" w:rsidRDefault="000777F8" w:rsidP="00FC47DF">
            <w:pPr>
              <w:keepNext/>
              <w:spacing w:after="120" w:line="280" w:lineRule="atLeast"/>
              <w:contextualSpacing/>
              <w:rPr>
                <w:rFonts w:ascii="Gill Sans MT" w:hAnsi="Gill Sans MT" w:cs="Arial"/>
                <w:b/>
              </w:rPr>
            </w:pPr>
            <w:r w:rsidRPr="009146F9">
              <w:rPr>
                <w:rFonts w:ascii="Gill Sans MT" w:hAnsi="Gill Sans MT" w:cs="Arial"/>
                <w:b/>
              </w:rPr>
              <w:t>Key Strategies</w:t>
            </w:r>
          </w:p>
        </w:tc>
        <w:tc>
          <w:tcPr>
            <w:tcW w:w="11565" w:type="dxa"/>
            <w:shd w:val="clear" w:color="auto" w:fill="auto"/>
          </w:tcPr>
          <w:p w:rsidR="000777F8" w:rsidRPr="009146F9" w:rsidRDefault="000777F8" w:rsidP="00FC47DF">
            <w:pPr>
              <w:keepNext/>
              <w:spacing w:after="120" w:line="280" w:lineRule="atLeast"/>
              <w:ind w:left="158"/>
              <w:contextualSpacing/>
              <w:rPr>
                <w:rFonts w:ascii="Gill Sans MT" w:hAnsi="Gill Sans MT" w:cs="Arial"/>
                <w:b/>
              </w:rPr>
            </w:pPr>
            <w:r w:rsidRPr="009146F9">
              <w:rPr>
                <w:rFonts w:ascii="Gill Sans MT" w:hAnsi="Gill Sans MT" w:cs="Arial"/>
                <w:b/>
              </w:rPr>
              <w:t>Identified Areas for Action</w:t>
            </w:r>
          </w:p>
        </w:tc>
      </w:tr>
      <w:tr w:rsidR="000777F8" w:rsidRPr="009146F9" w:rsidTr="00C31761">
        <w:tc>
          <w:tcPr>
            <w:tcW w:w="3085" w:type="dxa"/>
            <w:shd w:val="clear" w:color="auto" w:fill="auto"/>
          </w:tcPr>
          <w:p w:rsidR="000777F8" w:rsidRPr="009146F9" w:rsidRDefault="002913DE" w:rsidP="00FC47DF">
            <w:pPr>
              <w:keepNext/>
              <w:spacing w:before="120" w:after="120" w:line="280" w:lineRule="atLeast"/>
              <w:contextualSpacing/>
              <w:rPr>
                <w:rFonts w:ascii="Gill Sans MT" w:hAnsi="Gill Sans MT" w:cs="Arial"/>
              </w:rPr>
            </w:pPr>
            <w:r w:rsidRPr="009146F9">
              <w:rPr>
                <w:rFonts w:ascii="Gill Sans MT" w:hAnsi="Gill Sans MT" w:cs="Arial"/>
              </w:rPr>
              <w:t xml:space="preserve">KS1.  </w:t>
            </w:r>
            <w:r w:rsidR="000777F8" w:rsidRPr="009146F9">
              <w:rPr>
                <w:rFonts w:ascii="Gill Sans MT" w:hAnsi="Gill Sans MT" w:cs="Arial"/>
              </w:rPr>
              <w:t>Changing the drinking culture in Tasmania</w:t>
            </w:r>
          </w:p>
        </w:tc>
        <w:tc>
          <w:tcPr>
            <w:tcW w:w="11565" w:type="dxa"/>
            <w:shd w:val="clear" w:color="auto" w:fill="auto"/>
          </w:tcPr>
          <w:p w:rsidR="000777F8" w:rsidRPr="009146F9" w:rsidRDefault="000777F8" w:rsidP="00FC47DF">
            <w:pPr>
              <w:keepNext/>
              <w:numPr>
                <w:ilvl w:val="1"/>
                <w:numId w:val="40"/>
              </w:numPr>
              <w:spacing w:before="120" w:after="120" w:line="280" w:lineRule="atLeast"/>
              <w:ind w:left="441" w:hanging="283"/>
              <w:contextualSpacing/>
              <w:rPr>
                <w:rFonts w:ascii="Gill Sans MT" w:hAnsi="Gill Sans MT" w:cs="Arial"/>
              </w:rPr>
            </w:pPr>
            <w:r w:rsidRPr="009146F9">
              <w:rPr>
                <w:rFonts w:ascii="Gill Sans MT" w:hAnsi="Gill Sans MT" w:cs="Arial"/>
              </w:rPr>
              <w:t>developing social marketing and community-based campaigns to promote responsible alcohol consumption, effective harm-reduction strategies (such as legislative amendments, promoting the new NHMRC Alcohol Guidelines, the drink driving and driver education campaigns); and the responsibilities of the community, individuals and licensees (including targeted community education strategies for groups at greater risk of harm)</w:t>
            </w:r>
          </w:p>
          <w:p w:rsidR="000777F8" w:rsidRPr="009146F9" w:rsidRDefault="000777F8" w:rsidP="00FC47DF">
            <w:pPr>
              <w:keepNext/>
              <w:numPr>
                <w:ilvl w:val="1"/>
                <w:numId w:val="40"/>
              </w:numPr>
              <w:spacing w:before="120" w:after="120" w:line="280" w:lineRule="atLeast"/>
              <w:ind w:left="441" w:hanging="283"/>
              <w:contextualSpacing/>
              <w:rPr>
                <w:rFonts w:ascii="Gill Sans MT" w:hAnsi="Gill Sans MT" w:cs="Arial"/>
              </w:rPr>
            </w:pPr>
            <w:r w:rsidRPr="009146F9">
              <w:rPr>
                <w:rFonts w:ascii="Gill Sans MT" w:hAnsi="Gill Sans MT" w:cs="Arial"/>
              </w:rPr>
              <w:t>adopting more stringent regulation of advertising and promotion of alcohol, covering such things as tastings, in-store promotions, aggressive marketing and discounting and more broadly lobbying for mandatory regulation of alcohol advertising at the national level</w:t>
            </w:r>
          </w:p>
          <w:p w:rsidR="000777F8" w:rsidRPr="009146F9" w:rsidRDefault="000777F8" w:rsidP="00FC47DF">
            <w:pPr>
              <w:keepNext/>
              <w:numPr>
                <w:ilvl w:val="1"/>
                <w:numId w:val="40"/>
              </w:numPr>
              <w:spacing w:before="120" w:after="120" w:line="280" w:lineRule="atLeast"/>
              <w:ind w:left="441" w:hanging="283"/>
              <w:contextualSpacing/>
              <w:rPr>
                <w:rFonts w:ascii="Gill Sans MT" w:hAnsi="Gill Sans MT" w:cs="Arial"/>
              </w:rPr>
            </w:pPr>
            <w:r w:rsidRPr="009146F9">
              <w:rPr>
                <w:rFonts w:ascii="Gill Sans MT" w:hAnsi="Gill Sans MT" w:cs="Arial"/>
              </w:rPr>
              <w:t>promoting and supporting strategies in local communities by encouraging alcohol-free events and increasing the capacity of communities to undertake alcohol-related harm minimisation initiatives e.g. promoting alcohol-free events, particularly events targeting children or primarily/substantially attended by children</w:t>
            </w:r>
          </w:p>
          <w:p w:rsidR="000777F8" w:rsidRPr="009146F9" w:rsidRDefault="000777F8" w:rsidP="00FC47DF">
            <w:pPr>
              <w:keepNext/>
              <w:numPr>
                <w:ilvl w:val="1"/>
                <w:numId w:val="40"/>
              </w:numPr>
              <w:spacing w:before="120" w:after="120" w:line="280" w:lineRule="atLeast"/>
              <w:ind w:left="441" w:hanging="283"/>
              <w:contextualSpacing/>
              <w:rPr>
                <w:rFonts w:ascii="Gill Sans MT" w:hAnsi="Gill Sans MT" w:cs="Arial"/>
              </w:rPr>
            </w:pPr>
            <w:r w:rsidRPr="009146F9">
              <w:rPr>
                <w:rFonts w:ascii="Gill Sans MT" w:hAnsi="Gill Sans MT" w:cs="Arial"/>
              </w:rPr>
              <w:t>supporting structural and policy changes within sporting and recreational clubs to reduce the focus on alcohol as a central part of club culture</w:t>
            </w:r>
          </w:p>
          <w:p w:rsidR="000777F8" w:rsidRPr="009146F9" w:rsidRDefault="000777F8" w:rsidP="00FC47DF">
            <w:pPr>
              <w:keepNext/>
              <w:numPr>
                <w:ilvl w:val="1"/>
                <w:numId w:val="40"/>
              </w:numPr>
              <w:spacing w:before="120" w:after="120" w:line="280" w:lineRule="atLeast"/>
              <w:ind w:left="441" w:hanging="283"/>
              <w:contextualSpacing/>
              <w:rPr>
                <w:rFonts w:ascii="Gill Sans MT" w:hAnsi="Gill Sans MT" w:cs="Arial"/>
              </w:rPr>
            </w:pPr>
            <w:r w:rsidRPr="009146F9">
              <w:rPr>
                <w:rFonts w:ascii="Gill Sans MT" w:hAnsi="Gill Sans MT" w:cs="Arial"/>
              </w:rPr>
              <w:t xml:space="preserve">enhancing processes and systems to inform the public of the liquor licensing process and to provide input into liquor licensing and planning decisions </w:t>
            </w:r>
          </w:p>
          <w:p w:rsidR="000777F8" w:rsidRPr="009146F9" w:rsidRDefault="000777F8" w:rsidP="00FC47DF">
            <w:pPr>
              <w:keepNext/>
              <w:numPr>
                <w:ilvl w:val="1"/>
                <w:numId w:val="40"/>
              </w:numPr>
              <w:spacing w:before="120" w:after="120" w:line="280" w:lineRule="atLeast"/>
              <w:ind w:left="441" w:hanging="283"/>
              <w:contextualSpacing/>
              <w:rPr>
                <w:rFonts w:ascii="Gill Sans MT" w:hAnsi="Gill Sans MT" w:cs="Arial"/>
              </w:rPr>
            </w:pPr>
            <w:r w:rsidRPr="009146F9">
              <w:rPr>
                <w:rFonts w:ascii="Gill Sans MT" w:hAnsi="Gill Sans MT" w:cs="Arial"/>
              </w:rPr>
              <w:t>developing programs to promote positive values and norms amongst Tasmanian youth and support the development of strategies and interventions targeting youth and underage drinking, such as the Social Norms Analysis Project (SNAP), which aims to provide an accurate picture of alcohol-related attitudes and behaviours of high school students</w:t>
            </w:r>
          </w:p>
          <w:p w:rsidR="000777F8" w:rsidRPr="009146F9" w:rsidRDefault="000777F8" w:rsidP="00FC47DF">
            <w:pPr>
              <w:keepNext/>
              <w:numPr>
                <w:ilvl w:val="1"/>
                <w:numId w:val="40"/>
              </w:numPr>
              <w:spacing w:before="120" w:after="120" w:line="280" w:lineRule="atLeast"/>
              <w:ind w:left="441" w:hanging="283"/>
              <w:contextualSpacing/>
              <w:rPr>
                <w:rFonts w:ascii="Gill Sans MT" w:hAnsi="Gill Sans MT" w:cs="Arial"/>
              </w:rPr>
            </w:pPr>
            <w:r w:rsidRPr="009146F9">
              <w:rPr>
                <w:rFonts w:ascii="Gill Sans MT" w:hAnsi="Gill Sans MT" w:cs="Arial"/>
              </w:rPr>
              <w:t xml:space="preserve">enhancing existing and establishing new partnership programs aimed at supporting early childhood interventions and building resilience </w:t>
            </w:r>
          </w:p>
          <w:p w:rsidR="000777F8" w:rsidRPr="009146F9" w:rsidRDefault="000777F8" w:rsidP="00FC47DF">
            <w:pPr>
              <w:keepNext/>
              <w:numPr>
                <w:ilvl w:val="1"/>
                <w:numId w:val="40"/>
              </w:numPr>
              <w:spacing w:before="120" w:after="120" w:line="280" w:lineRule="atLeast"/>
              <w:ind w:left="441" w:hanging="283"/>
              <w:contextualSpacing/>
              <w:rPr>
                <w:rFonts w:ascii="Gill Sans MT" w:hAnsi="Gill Sans MT" w:cs="Arial"/>
              </w:rPr>
            </w:pPr>
            <w:r w:rsidRPr="009146F9">
              <w:rPr>
                <w:rFonts w:ascii="Gill Sans MT" w:hAnsi="Gill Sans MT" w:cs="Arial"/>
              </w:rPr>
              <w:t>developing strategies and programs for enhancement of evidence-based school alcohol education within a schools-based alcohol policy context</w:t>
            </w:r>
          </w:p>
        </w:tc>
      </w:tr>
      <w:tr w:rsidR="000777F8" w:rsidRPr="009146F9" w:rsidTr="00C31761">
        <w:tc>
          <w:tcPr>
            <w:tcW w:w="3085" w:type="dxa"/>
            <w:shd w:val="clear" w:color="auto" w:fill="auto"/>
          </w:tcPr>
          <w:p w:rsidR="000777F8" w:rsidRPr="009146F9" w:rsidRDefault="000777F8" w:rsidP="00FC47DF">
            <w:pPr>
              <w:keepNext/>
              <w:numPr>
                <w:ilvl w:val="0"/>
                <w:numId w:val="12"/>
              </w:numPr>
              <w:spacing w:before="120" w:after="120" w:line="280" w:lineRule="atLeast"/>
              <w:contextualSpacing/>
              <w:rPr>
                <w:rFonts w:ascii="Gill Sans MT" w:hAnsi="Gill Sans MT" w:cs="Arial"/>
              </w:rPr>
            </w:pPr>
            <w:r w:rsidRPr="009146F9">
              <w:rPr>
                <w:rFonts w:ascii="Gill Sans MT" w:hAnsi="Gill Sans MT" w:cs="Arial"/>
              </w:rPr>
              <w:t>An effective system for controlling the supply of alcohol in Tasmania</w:t>
            </w:r>
          </w:p>
          <w:p w:rsidR="000777F8" w:rsidRPr="009146F9" w:rsidRDefault="000777F8" w:rsidP="00FC47DF">
            <w:pPr>
              <w:keepNext/>
              <w:spacing w:before="120" w:after="120" w:line="280" w:lineRule="atLeast"/>
              <w:contextualSpacing/>
              <w:rPr>
                <w:rFonts w:ascii="Gill Sans MT" w:hAnsi="Gill Sans MT" w:cs="Arial"/>
              </w:rPr>
            </w:pPr>
          </w:p>
        </w:tc>
        <w:tc>
          <w:tcPr>
            <w:tcW w:w="11565" w:type="dxa"/>
            <w:shd w:val="clear" w:color="auto" w:fill="auto"/>
          </w:tcPr>
          <w:p w:rsidR="000777F8" w:rsidRPr="009146F9" w:rsidRDefault="000777F8" w:rsidP="00FC47DF">
            <w:pPr>
              <w:keepNext/>
              <w:numPr>
                <w:ilvl w:val="1"/>
                <w:numId w:val="12"/>
              </w:numPr>
              <w:tabs>
                <w:tab w:val="clear" w:pos="720"/>
                <w:tab w:val="num" w:pos="441"/>
              </w:tabs>
              <w:spacing w:before="120" w:after="120" w:line="280" w:lineRule="atLeast"/>
              <w:ind w:left="441" w:hanging="283"/>
              <w:contextualSpacing/>
              <w:rPr>
                <w:rFonts w:ascii="Gill Sans MT" w:hAnsi="Gill Sans MT" w:cs="Arial"/>
              </w:rPr>
            </w:pPr>
            <w:r w:rsidRPr="009146F9">
              <w:rPr>
                <w:rFonts w:ascii="Gill Sans MT" w:hAnsi="Gill Sans MT" w:cs="Arial"/>
              </w:rPr>
              <w:t>reviewing legislation to ensure there is appropriate and consistent legislative and regulatory framework to support the control and supply of alcohol, with an effective and systematic compliance enforcement regime, including mechanisms to deal with complaints about licensee activities and breaches in a timely, appropriate and transparent manner</w:t>
            </w:r>
          </w:p>
          <w:p w:rsidR="000777F8" w:rsidRPr="009146F9" w:rsidRDefault="000777F8" w:rsidP="00FC47DF">
            <w:pPr>
              <w:keepNext/>
              <w:numPr>
                <w:ilvl w:val="1"/>
                <w:numId w:val="12"/>
              </w:numPr>
              <w:tabs>
                <w:tab w:val="clear" w:pos="720"/>
                <w:tab w:val="num" w:pos="441"/>
              </w:tabs>
              <w:spacing w:before="120" w:after="120" w:line="280" w:lineRule="atLeast"/>
              <w:ind w:left="441" w:hanging="283"/>
              <w:contextualSpacing/>
              <w:rPr>
                <w:rFonts w:ascii="Gill Sans MT" w:hAnsi="Gill Sans MT" w:cs="Arial"/>
              </w:rPr>
            </w:pPr>
            <w:r w:rsidRPr="009146F9">
              <w:rPr>
                <w:rFonts w:ascii="Gill Sans MT" w:hAnsi="Gill Sans MT" w:cs="Arial"/>
              </w:rPr>
              <w:t>reviewing legislation to provide the opportunity for police, Public Health, local councils and industry to provide input and influence the licensing process</w:t>
            </w:r>
            <w:r w:rsidRPr="009146F9" w:rsidDel="00E96520">
              <w:rPr>
                <w:rFonts w:ascii="Gill Sans MT" w:hAnsi="Gill Sans MT" w:cs="Arial"/>
              </w:rPr>
              <w:t xml:space="preserve"> </w:t>
            </w:r>
            <w:r w:rsidRPr="009146F9">
              <w:rPr>
                <w:rFonts w:ascii="Gill Sans MT" w:hAnsi="Gill Sans MT" w:cs="Arial"/>
              </w:rPr>
              <w:t>to ensure that the public health and wellbeing, community safety, planning and development, and economic impact are appropriately considered in licensing decisions</w:t>
            </w:r>
          </w:p>
          <w:p w:rsidR="000777F8" w:rsidRPr="009146F9" w:rsidRDefault="000777F8" w:rsidP="00FC47DF">
            <w:pPr>
              <w:keepNext/>
              <w:numPr>
                <w:ilvl w:val="1"/>
                <w:numId w:val="12"/>
              </w:numPr>
              <w:tabs>
                <w:tab w:val="clear" w:pos="720"/>
                <w:tab w:val="num" w:pos="441"/>
              </w:tabs>
              <w:spacing w:before="120" w:after="120" w:line="280" w:lineRule="atLeast"/>
              <w:ind w:left="441" w:hanging="283"/>
              <w:contextualSpacing/>
              <w:rPr>
                <w:rFonts w:ascii="Gill Sans MT" w:hAnsi="Gill Sans MT" w:cs="Arial"/>
              </w:rPr>
            </w:pPr>
            <w:r w:rsidRPr="009146F9">
              <w:rPr>
                <w:rFonts w:ascii="Gill Sans MT" w:hAnsi="Gill Sans MT" w:cs="Arial"/>
              </w:rPr>
              <w:t>supporting national initiatives aimed at reducing the levels of, and harms from intoxication, including alcohol pricing, advertising and promotion restrictions and warning label requirements</w:t>
            </w:r>
          </w:p>
          <w:p w:rsidR="000777F8" w:rsidRPr="009146F9" w:rsidRDefault="000777F8" w:rsidP="00FC47DF">
            <w:pPr>
              <w:keepNext/>
              <w:numPr>
                <w:ilvl w:val="1"/>
                <w:numId w:val="12"/>
              </w:numPr>
              <w:tabs>
                <w:tab w:val="clear" w:pos="720"/>
                <w:tab w:val="num" w:pos="441"/>
              </w:tabs>
              <w:spacing w:before="120" w:after="120" w:line="280" w:lineRule="atLeast"/>
              <w:ind w:left="441" w:hanging="283"/>
              <w:contextualSpacing/>
              <w:rPr>
                <w:rFonts w:ascii="Gill Sans MT" w:hAnsi="Gill Sans MT" w:cs="Arial"/>
              </w:rPr>
            </w:pPr>
            <w:r w:rsidRPr="009146F9">
              <w:rPr>
                <w:rFonts w:ascii="Gill Sans MT" w:hAnsi="Gill Sans MT" w:cs="Arial"/>
              </w:rPr>
              <w:t>increasing the capacity of police, liquor licensing and the community to enhance enforcement of liquor licensing laws pertaining to the serving of intoxicated people</w:t>
            </w:r>
            <w:r w:rsidRPr="009146F9" w:rsidDel="00F53688">
              <w:rPr>
                <w:rFonts w:ascii="Gill Sans MT" w:hAnsi="Gill Sans MT" w:cs="Arial"/>
              </w:rPr>
              <w:t xml:space="preserve"> </w:t>
            </w:r>
          </w:p>
        </w:tc>
      </w:tr>
      <w:tr w:rsidR="000777F8" w:rsidRPr="009146F9" w:rsidTr="00C31761">
        <w:tc>
          <w:tcPr>
            <w:tcW w:w="3085" w:type="dxa"/>
            <w:shd w:val="clear" w:color="auto" w:fill="auto"/>
          </w:tcPr>
          <w:p w:rsidR="000777F8" w:rsidRPr="009146F9" w:rsidRDefault="000777F8" w:rsidP="00FC47DF">
            <w:pPr>
              <w:keepNext/>
              <w:numPr>
                <w:ilvl w:val="0"/>
                <w:numId w:val="12"/>
              </w:numPr>
              <w:spacing w:before="120" w:after="120" w:line="280" w:lineRule="atLeast"/>
              <w:contextualSpacing/>
              <w:rPr>
                <w:rFonts w:ascii="Gill Sans MT" w:hAnsi="Gill Sans MT" w:cs="Arial"/>
              </w:rPr>
            </w:pPr>
            <w:r w:rsidRPr="009146F9">
              <w:rPr>
                <w:rFonts w:ascii="Gill Sans MT" w:hAnsi="Gill Sans MT" w:cs="Arial"/>
              </w:rPr>
              <w:t>Providing effective interventions to deal with and prevent alcohol-related harm</w:t>
            </w:r>
          </w:p>
        </w:tc>
        <w:tc>
          <w:tcPr>
            <w:tcW w:w="11565" w:type="dxa"/>
            <w:shd w:val="clear" w:color="auto" w:fill="auto"/>
          </w:tcPr>
          <w:p w:rsidR="000777F8" w:rsidRPr="009146F9" w:rsidRDefault="000777F8" w:rsidP="00FC47DF">
            <w:pPr>
              <w:keepNext/>
              <w:numPr>
                <w:ilvl w:val="1"/>
                <w:numId w:val="12"/>
              </w:numPr>
              <w:tabs>
                <w:tab w:val="clear" w:pos="720"/>
                <w:tab w:val="num" w:pos="441"/>
              </w:tabs>
              <w:spacing w:before="120" w:after="120" w:line="280" w:lineRule="atLeast"/>
              <w:ind w:left="441" w:hanging="283"/>
              <w:contextualSpacing/>
              <w:rPr>
                <w:rFonts w:ascii="Gill Sans MT" w:hAnsi="Gill Sans MT" w:cs="Arial"/>
              </w:rPr>
            </w:pPr>
            <w:r w:rsidRPr="009146F9">
              <w:rPr>
                <w:rFonts w:ascii="Gill Sans MT" w:hAnsi="Gill Sans MT" w:cs="Arial"/>
              </w:rPr>
              <w:t>developing and enhancing strategies to address social determinants for risky drinking behaviour, including prevention and early intervention strategies and initiatives to identify and address risk factors for harmful alcohol use to mitigate the emergence or escalation of risky drinking behaviours</w:t>
            </w:r>
          </w:p>
          <w:p w:rsidR="000777F8" w:rsidRPr="009146F9" w:rsidRDefault="000777F8" w:rsidP="00FC47DF">
            <w:pPr>
              <w:keepNext/>
              <w:numPr>
                <w:ilvl w:val="1"/>
                <w:numId w:val="12"/>
              </w:numPr>
              <w:tabs>
                <w:tab w:val="clear" w:pos="720"/>
                <w:tab w:val="num" w:pos="441"/>
              </w:tabs>
              <w:spacing w:before="120" w:after="120" w:line="280" w:lineRule="atLeast"/>
              <w:ind w:left="441" w:hanging="283"/>
              <w:contextualSpacing/>
              <w:rPr>
                <w:rFonts w:ascii="Gill Sans MT" w:hAnsi="Gill Sans MT" w:cs="Arial"/>
              </w:rPr>
            </w:pPr>
            <w:r w:rsidRPr="009146F9">
              <w:rPr>
                <w:rFonts w:ascii="Gill Sans MT" w:hAnsi="Gill Sans MT" w:cs="Arial"/>
              </w:rPr>
              <w:t>establishing appropriate prevention and intervention strategies targeting high-risk groups and high-risk behaviours</w:t>
            </w:r>
          </w:p>
          <w:p w:rsidR="000777F8" w:rsidRPr="009146F9" w:rsidRDefault="000777F8" w:rsidP="00FC47DF">
            <w:pPr>
              <w:keepNext/>
              <w:numPr>
                <w:ilvl w:val="1"/>
                <w:numId w:val="12"/>
              </w:numPr>
              <w:tabs>
                <w:tab w:val="clear" w:pos="720"/>
                <w:tab w:val="num" w:pos="441"/>
              </w:tabs>
              <w:spacing w:before="120" w:after="120" w:line="280" w:lineRule="atLeast"/>
              <w:ind w:left="441" w:hanging="283"/>
              <w:contextualSpacing/>
              <w:rPr>
                <w:rFonts w:ascii="Gill Sans MT" w:hAnsi="Gill Sans MT" w:cs="Arial"/>
              </w:rPr>
            </w:pPr>
            <w:r w:rsidRPr="009146F9">
              <w:rPr>
                <w:rFonts w:ascii="Gill Sans MT" w:hAnsi="Gill Sans MT" w:cs="Arial"/>
              </w:rPr>
              <w:t xml:space="preserve">ensuring there are strategies and measures to prevent and reduce alcohol-related injuries including road injuries; and workplace injuries </w:t>
            </w:r>
          </w:p>
          <w:p w:rsidR="000777F8" w:rsidRPr="009146F9" w:rsidRDefault="000777F8" w:rsidP="00FC47DF">
            <w:pPr>
              <w:keepNext/>
              <w:numPr>
                <w:ilvl w:val="1"/>
                <w:numId w:val="12"/>
              </w:numPr>
              <w:tabs>
                <w:tab w:val="clear" w:pos="720"/>
                <w:tab w:val="num" w:pos="441"/>
              </w:tabs>
              <w:spacing w:before="120" w:after="120" w:line="280" w:lineRule="atLeast"/>
              <w:ind w:left="441" w:hanging="283"/>
              <w:contextualSpacing/>
              <w:rPr>
                <w:rFonts w:ascii="Gill Sans MT" w:hAnsi="Gill Sans MT" w:cs="Arial"/>
              </w:rPr>
            </w:pPr>
            <w:r w:rsidRPr="009146F9">
              <w:rPr>
                <w:rFonts w:ascii="Gill Sans MT" w:hAnsi="Gill Sans MT" w:cs="Arial"/>
              </w:rPr>
              <w:t xml:space="preserve">supporting and implementing specific projects such as environmental improvement strategies, e.g. improved lighting, visibility and thoroughfare; and the promotion of practical strategies to avoid drink-driving, e.g. increased transportation, planning ahead, designated driver </w:t>
            </w:r>
          </w:p>
          <w:p w:rsidR="000777F8" w:rsidRPr="009146F9" w:rsidRDefault="000777F8" w:rsidP="00FC47DF">
            <w:pPr>
              <w:keepNext/>
              <w:numPr>
                <w:ilvl w:val="1"/>
                <w:numId w:val="12"/>
              </w:numPr>
              <w:tabs>
                <w:tab w:val="clear" w:pos="720"/>
                <w:tab w:val="num" w:pos="441"/>
              </w:tabs>
              <w:spacing w:before="120" w:after="120" w:line="280" w:lineRule="atLeast"/>
              <w:ind w:left="441" w:hanging="283"/>
              <w:contextualSpacing/>
              <w:rPr>
                <w:rFonts w:ascii="Gill Sans MT" w:hAnsi="Gill Sans MT" w:cs="Arial"/>
              </w:rPr>
            </w:pPr>
            <w:r w:rsidRPr="009146F9">
              <w:rPr>
                <w:rFonts w:ascii="Gill Sans MT" w:hAnsi="Gill Sans MT" w:cs="Arial"/>
              </w:rPr>
              <w:t>developing innovative problem-solving court and sentencing approaches to reduce the cycle of alcohol-related offending behaviour and to address the challenges of repeat drink-driving offenders</w:t>
            </w:r>
          </w:p>
          <w:p w:rsidR="000777F8" w:rsidRPr="009146F9" w:rsidRDefault="000777F8" w:rsidP="00FC47DF">
            <w:pPr>
              <w:keepNext/>
              <w:numPr>
                <w:ilvl w:val="1"/>
                <w:numId w:val="12"/>
              </w:numPr>
              <w:tabs>
                <w:tab w:val="clear" w:pos="720"/>
                <w:tab w:val="num" w:pos="441"/>
              </w:tabs>
              <w:spacing w:before="120" w:after="120" w:line="280" w:lineRule="atLeast"/>
              <w:ind w:left="441" w:hanging="283"/>
              <w:contextualSpacing/>
              <w:rPr>
                <w:rFonts w:ascii="Gill Sans MT" w:hAnsi="Gill Sans MT" w:cs="Arial"/>
              </w:rPr>
            </w:pPr>
            <w:r w:rsidRPr="009146F9">
              <w:rPr>
                <w:rFonts w:ascii="Gill Sans MT" w:hAnsi="Gill Sans MT" w:cs="Arial"/>
              </w:rPr>
              <w:t>ensuring there is an appropriate range and mix of treatment and other services available to ensure people in need of assistance have realistic opportunities to receive advice about a service that is right and accessible for them</w:t>
            </w:r>
          </w:p>
          <w:p w:rsidR="000777F8" w:rsidRPr="009146F9" w:rsidRDefault="000777F8" w:rsidP="00FC47DF">
            <w:pPr>
              <w:keepNext/>
              <w:numPr>
                <w:ilvl w:val="1"/>
                <w:numId w:val="12"/>
              </w:numPr>
              <w:tabs>
                <w:tab w:val="clear" w:pos="720"/>
                <w:tab w:val="num" w:pos="441"/>
              </w:tabs>
              <w:spacing w:before="120" w:after="120" w:line="280" w:lineRule="atLeast"/>
              <w:ind w:left="441" w:hanging="283"/>
              <w:contextualSpacing/>
              <w:rPr>
                <w:rFonts w:ascii="Gill Sans MT" w:hAnsi="Gill Sans MT" w:cs="Arial"/>
              </w:rPr>
            </w:pPr>
            <w:proofErr w:type="gramStart"/>
            <w:r w:rsidRPr="009146F9">
              <w:rPr>
                <w:rFonts w:ascii="Gill Sans MT" w:hAnsi="Gill Sans MT" w:cs="Arial"/>
              </w:rPr>
              <w:t>improving</w:t>
            </w:r>
            <w:proofErr w:type="gramEnd"/>
            <w:r w:rsidRPr="009146F9">
              <w:rPr>
                <w:rFonts w:ascii="Gill Sans MT" w:hAnsi="Gill Sans MT" w:cs="Arial"/>
              </w:rPr>
              <w:t xml:space="preserve"> and encouraging service system and workforce development responses that operate across the primary, secondary and tertiary treatment continuum.  This means increasing the capacity of the service system to undertake promotion, prevention and early intervention strategies and to undertake alcohol-related harm screening and risk assessment.  This also means enhanced integration of alcohol and other drug interventions within primary health care, correctional primary health and other relevant services to improve linkages and referral mechanisms</w:t>
            </w:r>
          </w:p>
        </w:tc>
      </w:tr>
    </w:tbl>
    <w:p w:rsidR="000777F8" w:rsidRPr="009146F9" w:rsidRDefault="000777F8" w:rsidP="00FC47DF">
      <w:pPr>
        <w:keepNext/>
        <w:spacing w:before="120" w:after="120" w:line="280" w:lineRule="atLeast"/>
        <w:rPr>
          <w:rFonts w:ascii="Gill Sans MT" w:hAnsi="Gill Sans MT" w:cs="Arial"/>
        </w:rPr>
      </w:pPr>
    </w:p>
    <w:p w:rsidR="00AA2D29" w:rsidRPr="009146F9" w:rsidRDefault="00AA2D29" w:rsidP="00FC47DF">
      <w:pPr>
        <w:keepNext/>
        <w:spacing w:before="120" w:after="120" w:line="280" w:lineRule="atLeast"/>
        <w:rPr>
          <w:rFonts w:ascii="Gill Sans MT" w:hAnsi="Gill Sans MT" w:cs="Arial"/>
        </w:rPr>
      </w:pPr>
    </w:p>
    <w:sectPr w:rsidR="00AA2D29" w:rsidRPr="009146F9" w:rsidSect="000777F8">
      <w:footnotePr>
        <w:numFmt w:val="lowerRoman"/>
      </w:footnotePr>
      <w:endnotePr>
        <w:numFmt w:val="decimal"/>
      </w:endnotePr>
      <w:pgSz w:w="16838" w:h="11906" w:orient="landscape"/>
      <w:pgMar w:top="1418" w:right="1191" w:bottom="1418" w:left="119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E3" w:rsidRDefault="006A10E3" w:rsidP="00254197">
      <w:pPr>
        <w:spacing w:after="0" w:line="240" w:lineRule="auto"/>
      </w:pPr>
      <w:r>
        <w:separator/>
      </w:r>
    </w:p>
  </w:endnote>
  <w:endnote w:type="continuationSeparator" w:id="0">
    <w:p w:rsidR="006A10E3" w:rsidRDefault="006A10E3" w:rsidP="0025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Light">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Light">
    <w:altName w:val="GillSans Light"/>
    <w:panose1 w:val="00000000000000000000"/>
    <w:charset w:val="4D"/>
    <w:family w:val="auto"/>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13364"/>
      <w:docPartObj>
        <w:docPartGallery w:val="Page Numbers (Bottom of Page)"/>
        <w:docPartUnique/>
      </w:docPartObj>
    </w:sdtPr>
    <w:sdtEndPr>
      <w:rPr>
        <w:noProof/>
      </w:rPr>
    </w:sdtEndPr>
    <w:sdtContent>
      <w:p w:rsidR="00C569E6" w:rsidRDefault="00D36EBA">
        <w:pPr>
          <w:pStyle w:val="Footer"/>
          <w:jc w:val="right"/>
        </w:pPr>
      </w:p>
    </w:sdtContent>
  </w:sdt>
  <w:p w:rsidR="00C569E6" w:rsidRDefault="00C56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6" w:rsidRDefault="00C569E6">
    <w:pPr>
      <w:pStyle w:val="Footer"/>
      <w:jc w:val="right"/>
    </w:pPr>
  </w:p>
  <w:p w:rsidR="00C569E6" w:rsidRDefault="00C56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6" w:rsidRDefault="00C569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766437"/>
      <w:docPartObj>
        <w:docPartGallery w:val="Page Numbers (Bottom of Page)"/>
        <w:docPartUnique/>
      </w:docPartObj>
    </w:sdtPr>
    <w:sdtEndPr>
      <w:rPr>
        <w:noProof/>
      </w:rPr>
    </w:sdtEndPr>
    <w:sdtContent>
      <w:p w:rsidR="00C569E6" w:rsidRDefault="00C569E6">
        <w:pPr>
          <w:pStyle w:val="Footer"/>
          <w:jc w:val="right"/>
        </w:pPr>
        <w:r>
          <w:fldChar w:fldCharType="begin"/>
        </w:r>
        <w:r>
          <w:instrText xml:space="preserve"> PAGE   \* MERGEFORMAT </w:instrText>
        </w:r>
        <w:r>
          <w:fldChar w:fldCharType="separate"/>
        </w:r>
        <w:r w:rsidR="00D36EBA">
          <w:rPr>
            <w:noProof/>
          </w:rPr>
          <w:t>3</w:t>
        </w:r>
        <w:r>
          <w:rPr>
            <w:noProof/>
          </w:rPr>
          <w:fldChar w:fldCharType="end"/>
        </w:r>
      </w:p>
    </w:sdtContent>
  </w:sdt>
  <w:p w:rsidR="00C569E6" w:rsidRDefault="00C569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6" w:rsidRDefault="00C569E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853363"/>
      <w:docPartObj>
        <w:docPartGallery w:val="Page Numbers (Bottom of Page)"/>
        <w:docPartUnique/>
      </w:docPartObj>
    </w:sdtPr>
    <w:sdtEndPr>
      <w:rPr>
        <w:noProof/>
      </w:rPr>
    </w:sdtEndPr>
    <w:sdtContent>
      <w:p w:rsidR="00C569E6" w:rsidRDefault="00C569E6">
        <w:pPr>
          <w:pStyle w:val="Footer"/>
          <w:jc w:val="right"/>
        </w:pPr>
        <w:r>
          <w:fldChar w:fldCharType="begin"/>
        </w:r>
        <w:r>
          <w:instrText xml:space="preserve"> PAGE   \* MERGEFORMAT </w:instrText>
        </w:r>
        <w:r>
          <w:fldChar w:fldCharType="separate"/>
        </w:r>
        <w:r w:rsidR="00D36EBA">
          <w:rPr>
            <w:noProof/>
          </w:rPr>
          <w:t>22</w:t>
        </w:r>
        <w:r>
          <w:rPr>
            <w:noProof/>
          </w:rPr>
          <w:fldChar w:fldCharType="end"/>
        </w:r>
      </w:p>
    </w:sdtContent>
  </w:sdt>
  <w:p w:rsidR="00C569E6" w:rsidRDefault="00C5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E3" w:rsidRDefault="006A10E3" w:rsidP="00254197">
      <w:pPr>
        <w:spacing w:after="0" w:line="240" w:lineRule="auto"/>
      </w:pPr>
      <w:r>
        <w:separator/>
      </w:r>
    </w:p>
  </w:footnote>
  <w:footnote w:type="continuationSeparator" w:id="0">
    <w:p w:rsidR="006A10E3" w:rsidRDefault="006A10E3" w:rsidP="00254197">
      <w:pPr>
        <w:spacing w:after="0" w:line="240" w:lineRule="auto"/>
      </w:pPr>
      <w:r>
        <w:continuationSeparator/>
      </w:r>
    </w:p>
  </w:footnote>
  <w:footnote w:id="1">
    <w:p w:rsidR="00C569E6" w:rsidRPr="003F0A4E" w:rsidRDefault="00C569E6" w:rsidP="00AA2D29">
      <w:pPr>
        <w:pStyle w:val="FootnoteText"/>
        <w:keepNext/>
        <w:rPr>
          <w:rFonts w:ascii="Gill Sans MT" w:hAnsi="Gill Sans MT"/>
          <w:sz w:val="18"/>
          <w:szCs w:val="18"/>
        </w:rPr>
      </w:pPr>
      <w:r w:rsidRPr="003F0A4E">
        <w:rPr>
          <w:rStyle w:val="FootnoteReference"/>
          <w:rFonts w:ascii="Gill Sans MT" w:hAnsi="Gill Sans MT"/>
          <w:sz w:val="18"/>
          <w:szCs w:val="18"/>
        </w:rPr>
        <w:footnoteRef/>
      </w:r>
      <w:r w:rsidRPr="003F0A4E">
        <w:rPr>
          <w:rFonts w:ascii="Gill Sans MT" w:hAnsi="Gill Sans MT"/>
          <w:sz w:val="18"/>
          <w:szCs w:val="18"/>
        </w:rPr>
        <w:t xml:space="preserve"> </w:t>
      </w:r>
      <w:proofErr w:type="gramStart"/>
      <w:r w:rsidRPr="003F0A4E">
        <w:rPr>
          <w:rFonts w:ascii="Gill Sans MT" w:hAnsi="Gill Sans MT"/>
          <w:sz w:val="18"/>
          <w:szCs w:val="18"/>
        </w:rPr>
        <w:t>World Health Organisation (WHO).</w:t>
      </w:r>
      <w:proofErr w:type="gramEnd"/>
      <w:r w:rsidRPr="003F0A4E">
        <w:rPr>
          <w:rFonts w:ascii="Gill Sans MT" w:hAnsi="Gill Sans MT"/>
          <w:sz w:val="18"/>
          <w:szCs w:val="18"/>
        </w:rPr>
        <w:t xml:space="preserve"> </w:t>
      </w:r>
      <w:proofErr w:type="gramStart"/>
      <w:r w:rsidRPr="003F0A4E">
        <w:rPr>
          <w:rFonts w:ascii="Gill Sans MT" w:hAnsi="Gill Sans MT"/>
          <w:sz w:val="18"/>
          <w:szCs w:val="18"/>
        </w:rPr>
        <w:t>Global status report on alcohol and health 2014.</w:t>
      </w:r>
      <w:proofErr w:type="gramEnd"/>
      <w:r w:rsidRPr="003F0A4E">
        <w:rPr>
          <w:rFonts w:ascii="Gill Sans MT" w:hAnsi="Gill Sans MT"/>
          <w:sz w:val="18"/>
          <w:szCs w:val="18"/>
        </w:rPr>
        <w:t xml:space="preserve"> Geneva 2014</w:t>
      </w:r>
    </w:p>
  </w:footnote>
  <w:footnote w:id="2">
    <w:p w:rsidR="00C569E6" w:rsidRPr="003F0A4E" w:rsidRDefault="00C569E6" w:rsidP="00AA2D29">
      <w:pPr>
        <w:pStyle w:val="FootnoteText"/>
        <w:keepNext/>
        <w:rPr>
          <w:rFonts w:ascii="Gill Sans MT" w:hAnsi="Gill Sans MT"/>
          <w:sz w:val="18"/>
          <w:szCs w:val="18"/>
        </w:rPr>
      </w:pPr>
      <w:r w:rsidRPr="003F0A4E">
        <w:rPr>
          <w:rStyle w:val="FootnoteReference"/>
          <w:rFonts w:ascii="Gill Sans MT" w:hAnsi="Gill Sans MT"/>
          <w:sz w:val="18"/>
          <w:szCs w:val="18"/>
        </w:rPr>
        <w:footnoteRef/>
      </w:r>
      <w:r w:rsidRPr="003F0A4E">
        <w:rPr>
          <w:rFonts w:ascii="Gill Sans MT" w:hAnsi="Gill Sans MT"/>
          <w:sz w:val="18"/>
          <w:szCs w:val="18"/>
        </w:rPr>
        <w:t xml:space="preserve"> S</w:t>
      </w:r>
      <w:r w:rsidRPr="003F0A4E">
        <w:rPr>
          <w:rFonts w:ascii="Gill Sans MT" w:hAnsi="Gill Sans MT"/>
          <w:noProof/>
          <w:sz w:val="18"/>
          <w:szCs w:val="18"/>
        </w:rPr>
        <w:t>hield KD, Gmel G, Kehoe-Chan T, Dawson DA, Grant BF, Rehm J. Mortality and potential years of life lost attributable to alcohol consumption by race and sex in the United States in 2005. PloS one. 2013;8(1):e51923. PubMed PMID: 23300957. Pubmed Central PMCID: 3534703.</w:t>
      </w:r>
    </w:p>
  </w:footnote>
  <w:footnote w:id="3">
    <w:p w:rsidR="00C569E6" w:rsidRPr="003F0A4E" w:rsidRDefault="00C569E6" w:rsidP="00AA2D29">
      <w:pPr>
        <w:pStyle w:val="FootnoteText"/>
        <w:keepNext/>
        <w:rPr>
          <w:rFonts w:ascii="Gill Sans MT" w:hAnsi="Gill Sans MT"/>
          <w:sz w:val="18"/>
          <w:szCs w:val="18"/>
        </w:rPr>
      </w:pPr>
      <w:r w:rsidRPr="003F0A4E">
        <w:rPr>
          <w:rStyle w:val="FootnoteReference"/>
          <w:rFonts w:ascii="Gill Sans MT" w:hAnsi="Gill Sans MT"/>
          <w:sz w:val="18"/>
          <w:szCs w:val="18"/>
        </w:rPr>
        <w:footnoteRef/>
      </w:r>
      <w:r w:rsidRPr="003F0A4E">
        <w:rPr>
          <w:rFonts w:ascii="Gill Sans MT" w:hAnsi="Gill Sans MT"/>
          <w:sz w:val="18"/>
          <w:szCs w:val="18"/>
        </w:rPr>
        <w:t xml:space="preserve"> </w:t>
      </w:r>
      <w:r w:rsidRPr="003F0A4E">
        <w:rPr>
          <w:rFonts w:ascii="Gill Sans MT" w:hAnsi="Gill Sans MT"/>
          <w:noProof/>
          <w:sz w:val="18"/>
          <w:szCs w:val="18"/>
        </w:rPr>
        <w:t>Gao C OR, &amp; Lloyd B. Alcohol's burden of disease in Australia. Canberra: FARE and VicHealth in collaboration with Turning Point: 2014</w:t>
      </w:r>
    </w:p>
  </w:footnote>
  <w:footnote w:id="4">
    <w:p w:rsidR="00C569E6" w:rsidRPr="003F0A4E" w:rsidRDefault="00C569E6" w:rsidP="00AA2D29">
      <w:pPr>
        <w:pStyle w:val="FootnoteText"/>
        <w:keepNext/>
        <w:rPr>
          <w:rFonts w:ascii="Gill Sans MT" w:hAnsi="Gill Sans MT"/>
          <w:sz w:val="18"/>
          <w:szCs w:val="18"/>
        </w:rPr>
      </w:pPr>
      <w:r w:rsidRPr="003F0A4E">
        <w:rPr>
          <w:rStyle w:val="FootnoteReference"/>
          <w:rFonts w:ascii="Gill Sans MT" w:hAnsi="Gill Sans MT"/>
          <w:sz w:val="18"/>
          <w:szCs w:val="18"/>
        </w:rPr>
        <w:footnoteRef/>
      </w:r>
      <w:r w:rsidRPr="003F0A4E">
        <w:rPr>
          <w:rFonts w:ascii="Gill Sans MT" w:hAnsi="Gill Sans MT"/>
          <w:sz w:val="18"/>
          <w:szCs w:val="18"/>
        </w:rPr>
        <w:t xml:space="preserve"> </w:t>
      </w:r>
      <w:r w:rsidRPr="003F0A4E">
        <w:rPr>
          <w:rFonts w:ascii="Gill Sans MT" w:hAnsi="Gill Sans MT"/>
          <w:noProof/>
          <w:sz w:val="18"/>
          <w:szCs w:val="18"/>
        </w:rPr>
        <w:t>Australian Institute of Health and Welfare. Australian Burden of Disease Study. Impact and causes of illness and death in Australia 2011. Canberra: AIHW, 2016</w:t>
      </w:r>
    </w:p>
  </w:footnote>
  <w:footnote w:id="5">
    <w:p w:rsidR="00C569E6" w:rsidRPr="003F0A4E" w:rsidRDefault="00C569E6" w:rsidP="00AA2D29">
      <w:pPr>
        <w:pStyle w:val="FootnoteText"/>
        <w:keepNext/>
        <w:rPr>
          <w:rFonts w:ascii="Gill Sans MT" w:hAnsi="Gill Sans MT"/>
          <w:sz w:val="18"/>
          <w:szCs w:val="18"/>
        </w:rPr>
      </w:pPr>
      <w:r w:rsidRPr="003F0A4E">
        <w:rPr>
          <w:rStyle w:val="FootnoteReference"/>
          <w:rFonts w:ascii="Gill Sans MT" w:hAnsi="Gill Sans MT"/>
          <w:sz w:val="18"/>
          <w:szCs w:val="18"/>
        </w:rPr>
        <w:footnoteRef/>
      </w:r>
      <w:r w:rsidRPr="003F0A4E">
        <w:rPr>
          <w:rFonts w:ascii="Gill Sans MT" w:hAnsi="Gill Sans MT"/>
          <w:sz w:val="18"/>
          <w:szCs w:val="18"/>
        </w:rPr>
        <w:t xml:space="preserve"> </w:t>
      </w:r>
      <w:r w:rsidRPr="003F0A4E">
        <w:rPr>
          <w:rFonts w:ascii="Gill Sans MT" w:hAnsi="Gill Sans MT"/>
          <w:noProof/>
          <w:sz w:val="18"/>
          <w:szCs w:val="18"/>
        </w:rPr>
        <w:t>Collins DJ, Lapsley HM. The costs of alcohol, tobacoo and illicit drug use to Australian society in 2004/05. Canberra: Department of Helath and Ageing, 2008</w:t>
      </w:r>
    </w:p>
  </w:footnote>
  <w:footnote w:id="6">
    <w:p w:rsidR="00C569E6" w:rsidRPr="003F0A4E" w:rsidRDefault="00C569E6" w:rsidP="00AA2D29">
      <w:pPr>
        <w:pStyle w:val="FootnoteText"/>
        <w:keepNext/>
        <w:rPr>
          <w:rFonts w:ascii="Gill Sans MT" w:hAnsi="Gill Sans MT"/>
          <w:sz w:val="18"/>
          <w:szCs w:val="18"/>
        </w:rPr>
      </w:pPr>
      <w:r w:rsidRPr="003F0A4E">
        <w:rPr>
          <w:rStyle w:val="FootnoteReference"/>
          <w:rFonts w:ascii="Gill Sans MT" w:hAnsi="Gill Sans MT"/>
          <w:sz w:val="18"/>
          <w:szCs w:val="18"/>
        </w:rPr>
        <w:footnoteRef/>
      </w:r>
      <w:r w:rsidRPr="003F0A4E">
        <w:rPr>
          <w:rFonts w:ascii="Gill Sans MT" w:hAnsi="Gill Sans MT"/>
          <w:sz w:val="18"/>
          <w:szCs w:val="18"/>
        </w:rPr>
        <w:t xml:space="preserve"> </w:t>
      </w:r>
      <w:r w:rsidRPr="003F0A4E">
        <w:rPr>
          <w:rFonts w:ascii="Gill Sans MT" w:hAnsi="Gill Sans MT"/>
          <w:noProof/>
          <w:sz w:val="18"/>
          <w:szCs w:val="18"/>
        </w:rPr>
        <w:t xml:space="preserve">Australian Bureau of Statistics. Apparent consumption of alcohol, Australia, 2013-2014 [Internet]. Canberra2015 [cited 2016 08 Jun]. Available from: </w:t>
      </w:r>
      <w:hyperlink r:id="rId1" w:history="1">
        <w:r w:rsidRPr="003F0A4E">
          <w:rPr>
            <w:rStyle w:val="Hyperlink"/>
            <w:rFonts w:ascii="Gill Sans MT" w:hAnsi="Gill Sans MT"/>
            <w:noProof/>
            <w:sz w:val="18"/>
            <w:szCs w:val="18"/>
          </w:rPr>
          <w:t>http://www.abs.gov.au/AUSSTATS/abs@.nsf/mf/4307.0.55.001/</w:t>
        </w:r>
      </w:hyperlink>
    </w:p>
  </w:footnote>
  <w:footnote w:id="7">
    <w:p w:rsidR="00C569E6" w:rsidRPr="000056B2" w:rsidRDefault="00C569E6" w:rsidP="00AA2D29">
      <w:pPr>
        <w:pStyle w:val="FootnoteText"/>
        <w:keepNext/>
        <w:rPr>
          <w:rFonts w:ascii="Gill Sans MT" w:hAnsi="Gill Sans MT"/>
        </w:rPr>
      </w:pPr>
      <w:r w:rsidRPr="000056B2">
        <w:rPr>
          <w:rStyle w:val="FootnoteReference"/>
          <w:rFonts w:ascii="Gill Sans MT" w:hAnsi="Gill Sans MT"/>
        </w:rPr>
        <w:footnoteRef/>
      </w:r>
      <w:r w:rsidRPr="000056B2">
        <w:rPr>
          <w:rFonts w:ascii="Gill Sans MT" w:hAnsi="Gill Sans MT"/>
        </w:rPr>
        <w:t xml:space="preserve"> Not all Tasmania Police vessel patrol hours data pertains to alcohol-specific engagements.</w:t>
      </w:r>
    </w:p>
  </w:footnote>
  <w:footnote w:id="8">
    <w:p w:rsidR="00C569E6" w:rsidRPr="000056B2" w:rsidRDefault="00C569E6" w:rsidP="00AA2D29">
      <w:pPr>
        <w:pStyle w:val="FootnoteText"/>
        <w:keepNext/>
        <w:rPr>
          <w:rFonts w:ascii="Gill Sans MT" w:hAnsi="Gill Sans MT"/>
        </w:rPr>
      </w:pPr>
      <w:r w:rsidRPr="000056B2">
        <w:rPr>
          <w:rStyle w:val="FootnoteReference"/>
          <w:rFonts w:ascii="Gill Sans MT" w:hAnsi="Gill Sans MT"/>
        </w:rPr>
        <w:footnoteRef/>
      </w:r>
      <w:r w:rsidRPr="000056B2">
        <w:rPr>
          <w:rFonts w:ascii="Gill Sans MT" w:hAnsi="Gill Sans MT"/>
        </w:rPr>
        <w:t xml:space="preserve"> * Data was not included </w:t>
      </w:r>
      <w:proofErr w:type="gramStart"/>
      <w:r w:rsidRPr="000056B2">
        <w:rPr>
          <w:rFonts w:ascii="Gill Sans MT" w:hAnsi="Gill Sans MT"/>
        </w:rPr>
        <w:t xml:space="preserve">in the </w:t>
      </w:r>
      <w:r>
        <w:rPr>
          <w:rFonts w:ascii="Gill Sans MT" w:hAnsi="Gill Sans MT"/>
        </w:rPr>
        <w:t xml:space="preserve">2012-13 </w:t>
      </w:r>
      <w:r w:rsidRPr="000056B2">
        <w:rPr>
          <w:rFonts w:ascii="Gill Sans MT" w:hAnsi="Gill Sans MT"/>
        </w:rPr>
        <w:t xml:space="preserve">Tasmania Police </w:t>
      </w:r>
      <w:r>
        <w:rPr>
          <w:rFonts w:ascii="Gill Sans MT" w:hAnsi="Gill Sans MT"/>
        </w:rPr>
        <w:t>Corporate Performance</w:t>
      </w:r>
      <w:r w:rsidRPr="000056B2">
        <w:rPr>
          <w:rFonts w:ascii="Gill Sans MT" w:hAnsi="Gill Sans MT"/>
        </w:rPr>
        <w:t xml:space="preserve"> Report</w:t>
      </w:r>
      <w:proofErr w:type="gramEnd"/>
      <w:r w:rsidRPr="000056B2">
        <w:rPr>
          <w:rFonts w:ascii="Gill Sans MT" w:hAnsi="Gill Sans MT"/>
        </w:rPr>
        <w:t>.</w:t>
      </w:r>
    </w:p>
  </w:footnote>
  <w:footnote w:id="9">
    <w:p w:rsidR="00C569E6" w:rsidRPr="00EB7DDA" w:rsidRDefault="00C569E6" w:rsidP="00AA2D29">
      <w:pPr>
        <w:pStyle w:val="FootnoteText"/>
        <w:keepNext/>
        <w:rPr>
          <w:rFonts w:ascii="Gill Sans MT" w:hAnsi="Gill Sans MT"/>
        </w:rPr>
      </w:pPr>
      <w:r w:rsidRPr="00EB7DDA">
        <w:rPr>
          <w:rStyle w:val="FootnoteReference"/>
          <w:rFonts w:ascii="Gill Sans MT" w:hAnsi="Gill Sans MT"/>
        </w:rPr>
        <w:footnoteRef/>
      </w:r>
      <w:r w:rsidRPr="00EB7DDA">
        <w:rPr>
          <w:rFonts w:ascii="Gill Sans MT" w:hAnsi="Gill Sans MT"/>
        </w:rPr>
        <w:t xml:space="preserve"> Miller P, Bruno R, Morgan A, </w:t>
      </w:r>
      <w:proofErr w:type="spellStart"/>
      <w:r w:rsidRPr="00EB7DDA">
        <w:rPr>
          <w:rFonts w:ascii="Gill Sans MT" w:hAnsi="Gill Sans MT"/>
        </w:rPr>
        <w:t>Mayshak</w:t>
      </w:r>
      <w:proofErr w:type="spellEnd"/>
      <w:r w:rsidRPr="00EB7DDA">
        <w:rPr>
          <w:rFonts w:ascii="Gill Sans MT" w:hAnsi="Gill Sans MT"/>
        </w:rPr>
        <w:t xml:space="preserve"> R, Cox E et al. Drug and Alcohol intoxication and Subsequent Harm in night-time Entertainment Districts (DASHED). </w:t>
      </w:r>
      <w:proofErr w:type="gramStart"/>
      <w:r w:rsidRPr="00EB7DDA">
        <w:rPr>
          <w:rFonts w:ascii="Gill Sans MT" w:hAnsi="Gill Sans MT"/>
        </w:rPr>
        <w:t>National Drug Law Enforcement Research Fund (NDLERF) Monograph no. 67.</w:t>
      </w:r>
      <w:proofErr w:type="gramEnd"/>
      <w:r w:rsidRPr="00EB7DDA">
        <w:rPr>
          <w:rFonts w:ascii="Gill Sans MT" w:hAnsi="Gill Sans MT"/>
        </w:rPr>
        <w:t xml:space="preserve"> Canberra: NDLERF. </w:t>
      </w:r>
      <w:hyperlink r:id="rId2" w:history="1">
        <w:r w:rsidRPr="00EB7DDA">
          <w:rPr>
            <w:rStyle w:val="Hyperlink"/>
            <w:rFonts w:ascii="Gill Sans MT" w:hAnsi="Gill Sans MT"/>
          </w:rPr>
          <w:t>http://www.ndlerf.gov.au/pub/Monograph_67.pdf</w:t>
        </w:r>
      </w:hyperlink>
    </w:p>
  </w:footnote>
  <w:footnote w:id="10">
    <w:p w:rsidR="00C569E6" w:rsidRPr="000056B2" w:rsidRDefault="00C569E6" w:rsidP="00AA2D29">
      <w:pPr>
        <w:pStyle w:val="FootnoteText"/>
        <w:keepNext/>
        <w:rPr>
          <w:rFonts w:ascii="Gill Sans MT" w:hAnsi="Gill Sans MT"/>
        </w:rPr>
      </w:pPr>
      <w:r w:rsidRPr="000056B2">
        <w:rPr>
          <w:rStyle w:val="FootnoteReference"/>
          <w:rFonts w:ascii="Gill Sans MT" w:hAnsi="Gill Sans MT"/>
        </w:rPr>
        <w:footnoteRef/>
      </w:r>
      <w:r w:rsidRPr="000056B2">
        <w:rPr>
          <w:rFonts w:ascii="Gill Sans MT" w:hAnsi="Gill Sans MT"/>
        </w:rPr>
        <w:t xml:space="preserve"> </w:t>
      </w:r>
      <w:proofErr w:type="gramStart"/>
      <w:r w:rsidRPr="000056B2">
        <w:rPr>
          <w:rFonts w:ascii="Gill Sans MT" w:hAnsi="Gill Sans MT"/>
        </w:rPr>
        <w:t>Australian Institute of Health and Welfare 2016.</w:t>
      </w:r>
      <w:proofErr w:type="gramEnd"/>
      <w:r w:rsidRPr="000056B2">
        <w:rPr>
          <w:rFonts w:ascii="Gill Sans MT" w:hAnsi="Gill Sans MT"/>
        </w:rPr>
        <w:t xml:space="preserve"> </w:t>
      </w:r>
      <w:proofErr w:type="gramStart"/>
      <w:r w:rsidRPr="000056B2">
        <w:rPr>
          <w:rFonts w:ascii="Gill Sans MT" w:hAnsi="Gill Sans MT"/>
        </w:rPr>
        <w:t>Alcohol and other drug treatment services in Australia 2014–15.</w:t>
      </w:r>
      <w:proofErr w:type="gramEnd"/>
      <w:r w:rsidRPr="000056B2">
        <w:rPr>
          <w:rFonts w:ascii="Gill Sans MT" w:hAnsi="Gill Sans MT"/>
        </w:rPr>
        <w:t xml:space="preserve"> Drug treatment series no. 27. Cat. </w:t>
      </w:r>
      <w:proofErr w:type="gramStart"/>
      <w:r w:rsidRPr="000056B2">
        <w:rPr>
          <w:rFonts w:ascii="Gill Sans MT" w:hAnsi="Gill Sans MT"/>
        </w:rPr>
        <w:t>no</w:t>
      </w:r>
      <w:proofErr w:type="gramEnd"/>
      <w:r w:rsidRPr="000056B2">
        <w:rPr>
          <w:rFonts w:ascii="Gill Sans MT" w:hAnsi="Gill Sans MT"/>
        </w:rPr>
        <w:t xml:space="preserve">. </w:t>
      </w:r>
      <w:proofErr w:type="gramStart"/>
      <w:r w:rsidRPr="000056B2">
        <w:rPr>
          <w:rFonts w:ascii="Gill Sans MT" w:hAnsi="Gill Sans MT"/>
        </w:rPr>
        <w:t>HSE 173.</w:t>
      </w:r>
      <w:proofErr w:type="gramEnd"/>
      <w:r w:rsidRPr="000056B2">
        <w:rPr>
          <w:rFonts w:ascii="Gill Sans MT" w:hAnsi="Gill Sans MT"/>
        </w:rPr>
        <w:t xml:space="preserve"> Canberra: AIHW.</w:t>
      </w:r>
    </w:p>
  </w:footnote>
  <w:footnote w:id="11">
    <w:p w:rsidR="00C569E6" w:rsidRPr="006427DF" w:rsidRDefault="00C569E6" w:rsidP="006427DF">
      <w:pPr>
        <w:pStyle w:val="FootnoteText"/>
        <w:rPr>
          <w:rFonts w:ascii="Gill Sans MT" w:hAnsi="Gill Sans MT"/>
          <w:sz w:val="18"/>
          <w:szCs w:val="18"/>
        </w:rPr>
      </w:pPr>
      <w:r w:rsidRPr="006427DF">
        <w:rPr>
          <w:rStyle w:val="FootnoteReference"/>
          <w:rFonts w:ascii="Gill Sans MT" w:hAnsi="Gill Sans MT"/>
          <w:sz w:val="18"/>
          <w:szCs w:val="18"/>
        </w:rPr>
        <w:footnoteRef/>
      </w:r>
      <w:r w:rsidRPr="006427DF">
        <w:rPr>
          <w:rFonts w:ascii="Gill Sans MT" w:hAnsi="Gill Sans MT"/>
          <w:sz w:val="18"/>
          <w:szCs w:val="18"/>
        </w:rPr>
        <w:t xml:space="preserve"> </w:t>
      </w:r>
      <w:proofErr w:type="gramStart"/>
      <w:r w:rsidRPr="006427DF">
        <w:rPr>
          <w:rFonts w:ascii="Gill Sans MT" w:hAnsi="Gill Sans MT"/>
          <w:sz w:val="18"/>
          <w:szCs w:val="18"/>
        </w:rPr>
        <w:t>Australian Bureau of Statistics.</w:t>
      </w:r>
      <w:proofErr w:type="gramEnd"/>
      <w:r w:rsidRPr="006427DF">
        <w:rPr>
          <w:rFonts w:ascii="Gill Sans MT" w:hAnsi="Gill Sans MT"/>
          <w:sz w:val="18"/>
          <w:szCs w:val="18"/>
        </w:rPr>
        <w:t xml:space="preserve"> </w:t>
      </w:r>
      <w:proofErr w:type="gramStart"/>
      <w:r w:rsidRPr="006427DF">
        <w:rPr>
          <w:rFonts w:ascii="Gill Sans MT" w:hAnsi="Gill Sans MT"/>
          <w:sz w:val="18"/>
          <w:szCs w:val="18"/>
        </w:rPr>
        <w:t>Apparent consumption of alcohol, Australia, 2013-2014.</w:t>
      </w:r>
      <w:proofErr w:type="gramEnd"/>
      <w:r w:rsidRPr="006427DF">
        <w:rPr>
          <w:rFonts w:ascii="Gill Sans MT" w:hAnsi="Gill Sans MT"/>
          <w:sz w:val="18"/>
          <w:szCs w:val="18"/>
        </w:rPr>
        <w:t xml:space="preserve"> 2015. Available from: http://www.abs.gov.au/AUSSTATS/abs@.nsf/mf/4307.0.55.001/ (accessed 08 Jun 2016).</w:t>
      </w:r>
    </w:p>
  </w:footnote>
  <w:footnote w:id="12">
    <w:p w:rsidR="00C569E6" w:rsidRPr="006427DF" w:rsidRDefault="00C569E6" w:rsidP="006427DF">
      <w:pPr>
        <w:pStyle w:val="FootnoteText"/>
        <w:rPr>
          <w:rFonts w:ascii="Gill Sans MT" w:hAnsi="Gill Sans MT"/>
          <w:sz w:val="18"/>
          <w:szCs w:val="18"/>
        </w:rPr>
      </w:pPr>
      <w:r w:rsidRPr="006427DF">
        <w:rPr>
          <w:rStyle w:val="FootnoteReference"/>
          <w:rFonts w:ascii="Gill Sans MT" w:hAnsi="Gill Sans MT"/>
          <w:sz w:val="18"/>
          <w:szCs w:val="18"/>
        </w:rPr>
        <w:footnoteRef/>
      </w:r>
      <w:r w:rsidRPr="006427DF">
        <w:rPr>
          <w:rFonts w:ascii="Gill Sans MT" w:hAnsi="Gill Sans MT"/>
          <w:sz w:val="18"/>
          <w:szCs w:val="18"/>
        </w:rPr>
        <w:t xml:space="preserve"> </w:t>
      </w:r>
      <w:r w:rsidRPr="006427DF">
        <w:rPr>
          <w:rFonts w:ascii="Gill Sans MT" w:hAnsi="Gill Sans MT"/>
          <w:noProof/>
          <w:sz w:val="18"/>
          <w:szCs w:val="18"/>
        </w:rPr>
        <w:t xml:space="preserve">Department of Treasury and Finance. Liquor industry data in Tasmania. </w:t>
      </w:r>
      <w:proofErr w:type="gramStart"/>
      <w:r w:rsidRPr="006427DF">
        <w:rPr>
          <w:rFonts w:ascii="Gill Sans MT" w:hAnsi="Gill Sans MT"/>
          <w:noProof/>
          <w:sz w:val="18"/>
          <w:szCs w:val="18"/>
        </w:rPr>
        <w:t xml:space="preserve">2016; </w:t>
      </w:r>
      <w:hyperlink r:id="rId3" w:history="1">
        <w:r w:rsidRPr="006427DF">
          <w:rPr>
            <w:rStyle w:val="Hyperlink"/>
            <w:rFonts w:ascii="Gill Sans MT" w:hAnsi="Gill Sans MT"/>
            <w:noProof/>
            <w:sz w:val="18"/>
            <w:szCs w:val="18"/>
          </w:rPr>
          <w:t>http://www.treasury.tas.gov.au/domino/dtf/dtf.nsf/v-liq-and-gaming/E1E056468959C8E7CA257D8200177211</w:t>
        </w:r>
      </w:hyperlink>
      <w:r w:rsidRPr="006427DF">
        <w:rPr>
          <w:rFonts w:ascii="Gill Sans MT" w:hAnsi="Gill Sans MT"/>
          <w:noProof/>
          <w:sz w:val="18"/>
          <w:szCs w:val="18"/>
        </w:rPr>
        <w:t>.</w:t>
      </w:r>
      <w:proofErr w:type="gramEnd"/>
      <w:r w:rsidRPr="006427DF">
        <w:rPr>
          <w:rFonts w:ascii="Gill Sans MT" w:hAnsi="Gill Sans MT"/>
          <w:noProof/>
          <w:sz w:val="18"/>
          <w:szCs w:val="18"/>
        </w:rPr>
        <w:t xml:space="preserve"> Accessed 16 Aug, 2016.</w:t>
      </w:r>
    </w:p>
  </w:footnote>
  <w:footnote w:id="13">
    <w:p w:rsidR="00C569E6" w:rsidRPr="006427DF" w:rsidRDefault="00C569E6" w:rsidP="006427DF">
      <w:pPr>
        <w:pStyle w:val="FootnoteText"/>
        <w:rPr>
          <w:rFonts w:ascii="Gill Sans MT" w:hAnsi="Gill Sans MT"/>
          <w:sz w:val="18"/>
          <w:szCs w:val="18"/>
        </w:rPr>
      </w:pPr>
      <w:r w:rsidRPr="006427DF">
        <w:rPr>
          <w:rStyle w:val="FootnoteReference"/>
          <w:rFonts w:ascii="Gill Sans MT" w:hAnsi="Gill Sans MT"/>
          <w:sz w:val="18"/>
          <w:szCs w:val="18"/>
        </w:rPr>
        <w:footnoteRef/>
      </w:r>
      <w:r w:rsidRPr="006427DF">
        <w:rPr>
          <w:rFonts w:ascii="Gill Sans MT" w:hAnsi="Gill Sans MT"/>
          <w:sz w:val="18"/>
          <w:szCs w:val="18"/>
        </w:rPr>
        <w:t xml:space="preserve"> </w:t>
      </w:r>
      <w:proofErr w:type="gramStart"/>
      <w:r w:rsidRPr="006427DF">
        <w:rPr>
          <w:rFonts w:ascii="Gill Sans MT" w:hAnsi="Gill Sans MT"/>
          <w:sz w:val="18"/>
          <w:szCs w:val="18"/>
        </w:rPr>
        <w:t>Epidemiology Unit DHHS.</w:t>
      </w:r>
      <w:proofErr w:type="gramEnd"/>
      <w:r w:rsidRPr="006427DF">
        <w:rPr>
          <w:rFonts w:ascii="Gill Sans MT" w:hAnsi="Gill Sans MT"/>
          <w:sz w:val="18"/>
          <w:szCs w:val="18"/>
        </w:rPr>
        <w:t xml:space="preserve"> </w:t>
      </w:r>
      <w:proofErr w:type="gramStart"/>
      <w:r w:rsidRPr="006427DF">
        <w:rPr>
          <w:rFonts w:ascii="Gill Sans MT" w:hAnsi="Gill Sans MT"/>
          <w:sz w:val="18"/>
          <w:szCs w:val="18"/>
        </w:rPr>
        <w:t>Alcohol-related morbidity and mortality, unpublished data.</w:t>
      </w:r>
      <w:proofErr w:type="gramEnd"/>
      <w:r w:rsidRPr="006427DF">
        <w:rPr>
          <w:rFonts w:ascii="Gill Sans MT" w:hAnsi="Gill Sans MT"/>
          <w:sz w:val="18"/>
          <w:szCs w:val="18"/>
        </w:rPr>
        <w:t xml:space="preserve"> </w:t>
      </w:r>
      <w:proofErr w:type="gramStart"/>
      <w:r w:rsidRPr="006427DF">
        <w:rPr>
          <w:rFonts w:ascii="Gill Sans MT" w:hAnsi="Gill Sans MT"/>
          <w:sz w:val="18"/>
          <w:szCs w:val="18"/>
        </w:rPr>
        <w:t>Tasmanian Government; 2016.</w:t>
      </w:r>
      <w:proofErr w:type="gramEnd"/>
    </w:p>
  </w:footnote>
  <w:footnote w:id="14">
    <w:p w:rsidR="00C569E6" w:rsidRPr="006427DF" w:rsidRDefault="00C569E6" w:rsidP="006427DF">
      <w:pPr>
        <w:pStyle w:val="FootnoteText"/>
        <w:rPr>
          <w:rFonts w:ascii="Gill Sans MT" w:hAnsi="Gill Sans MT"/>
          <w:sz w:val="18"/>
          <w:szCs w:val="18"/>
        </w:rPr>
      </w:pPr>
      <w:r w:rsidRPr="006427DF">
        <w:rPr>
          <w:rStyle w:val="FootnoteReference"/>
          <w:rFonts w:ascii="Gill Sans MT" w:hAnsi="Gill Sans MT"/>
          <w:sz w:val="18"/>
          <w:szCs w:val="18"/>
        </w:rPr>
        <w:footnoteRef/>
      </w:r>
      <w:r w:rsidRPr="006427DF">
        <w:rPr>
          <w:rFonts w:ascii="Gill Sans MT" w:hAnsi="Gill Sans MT"/>
          <w:sz w:val="18"/>
          <w:szCs w:val="18"/>
        </w:rPr>
        <w:t xml:space="preserve"> Ibid.</w:t>
      </w:r>
    </w:p>
  </w:footnote>
  <w:footnote w:id="15">
    <w:p w:rsidR="00C569E6" w:rsidRDefault="00C569E6" w:rsidP="00A14760">
      <w:pPr>
        <w:pStyle w:val="FootnoteText"/>
      </w:pPr>
      <w:r>
        <w:rPr>
          <w:rStyle w:val="FootnoteReference"/>
        </w:rPr>
        <w:footnoteRef/>
      </w:r>
      <w:r>
        <w:t xml:space="preserve"> </w:t>
      </w:r>
      <w:proofErr w:type="gramStart"/>
      <w:r w:rsidRPr="006A03F8">
        <w:rPr>
          <w:rFonts w:ascii="Gill Sans MT" w:hAnsi="Gill Sans MT"/>
          <w:sz w:val="18"/>
          <w:szCs w:val="18"/>
        </w:rPr>
        <w:t>Department of State Growth.</w:t>
      </w:r>
      <w:proofErr w:type="gramEnd"/>
      <w:r w:rsidRPr="006A03F8">
        <w:rPr>
          <w:rFonts w:ascii="Gill Sans MT" w:hAnsi="Gill Sans MT"/>
          <w:sz w:val="18"/>
          <w:szCs w:val="18"/>
        </w:rPr>
        <w:t xml:space="preserve"> </w:t>
      </w:r>
      <w:proofErr w:type="gramStart"/>
      <w:r w:rsidRPr="006A03F8">
        <w:rPr>
          <w:rFonts w:ascii="Gill Sans MT" w:hAnsi="Gill Sans MT"/>
          <w:sz w:val="18"/>
          <w:szCs w:val="18"/>
        </w:rPr>
        <w:t>Crash Data, unpublished data.</w:t>
      </w:r>
      <w:proofErr w:type="gramEnd"/>
      <w:r w:rsidRPr="006A03F8">
        <w:rPr>
          <w:rFonts w:ascii="Gill Sans MT" w:hAnsi="Gill Sans MT"/>
          <w:sz w:val="18"/>
          <w:szCs w:val="18"/>
        </w:rPr>
        <w:t xml:space="preserve"> </w:t>
      </w:r>
      <w:proofErr w:type="gramStart"/>
      <w:r w:rsidRPr="006A03F8">
        <w:rPr>
          <w:rFonts w:ascii="Gill Sans MT" w:hAnsi="Gill Sans MT"/>
          <w:sz w:val="18"/>
          <w:szCs w:val="18"/>
        </w:rPr>
        <w:t>Tasmanian Government; 2016.</w:t>
      </w:r>
      <w:proofErr w:type="gramEnd"/>
    </w:p>
  </w:footnote>
  <w:footnote w:id="16">
    <w:p w:rsidR="00C569E6" w:rsidRDefault="00C569E6">
      <w:pPr>
        <w:pStyle w:val="FootnoteText"/>
      </w:pPr>
      <w:r>
        <w:rPr>
          <w:rStyle w:val="FootnoteReference"/>
        </w:rPr>
        <w:footnoteRef/>
      </w:r>
      <w:r>
        <w:t xml:space="preserve"> Ibid.</w:t>
      </w:r>
    </w:p>
  </w:footnote>
  <w:footnote w:id="17">
    <w:p w:rsidR="00C569E6" w:rsidRDefault="00C569E6" w:rsidP="00A14760">
      <w:pPr>
        <w:pStyle w:val="FootnoteText"/>
      </w:pPr>
      <w:r>
        <w:rPr>
          <w:rStyle w:val="FootnoteReference"/>
        </w:rPr>
        <w:footnoteRef/>
      </w:r>
      <w:r>
        <w:t xml:space="preserve"> </w:t>
      </w:r>
      <w:r w:rsidRPr="00514D1F">
        <w:rPr>
          <w:rFonts w:ascii="Gill Sans MT" w:hAnsi="Gill Sans MT"/>
          <w:noProof/>
          <w:sz w:val="18"/>
          <w:szCs w:val="18"/>
        </w:rPr>
        <w:t>Epidemiology Unit D</w:t>
      </w:r>
      <w:r>
        <w:rPr>
          <w:rFonts w:ascii="Gill Sans MT" w:hAnsi="Gill Sans MT"/>
          <w:noProof/>
          <w:sz w:val="18"/>
          <w:szCs w:val="18"/>
        </w:rPr>
        <w:t>HHS</w:t>
      </w:r>
      <w:r w:rsidRPr="00514D1F">
        <w:rPr>
          <w:rFonts w:ascii="Gill Sans MT" w:hAnsi="Gill Sans MT"/>
          <w:noProof/>
          <w:sz w:val="18"/>
          <w:szCs w:val="18"/>
        </w:rPr>
        <w:t>. unpublished work. 2016.</w:t>
      </w:r>
    </w:p>
  </w:footnote>
  <w:footnote w:id="18">
    <w:p w:rsidR="00C569E6" w:rsidRDefault="00C569E6" w:rsidP="00A14760">
      <w:pPr>
        <w:pStyle w:val="FootnoteText"/>
      </w:pPr>
      <w:r>
        <w:rPr>
          <w:rStyle w:val="FootnoteReference"/>
        </w:rPr>
        <w:footnoteRef/>
      </w:r>
      <w:r>
        <w:t xml:space="preserve"> </w:t>
      </w:r>
      <w:proofErr w:type="gramStart"/>
      <w:r w:rsidRPr="009A5DDD">
        <w:rPr>
          <w:rFonts w:ascii="Gill Sans MT" w:hAnsi="Gill Sans MT"/>
          <w:sz w:val="18"/>
        </w:rPr>
        <w:t>Australian Institute of Health and Welfare 2016.</w:t>
      </w:r>
      <w:proofErr w:type="gramEnd"/>
      <w:r w:rsidRPr="009A5DDD">
        <w:rPr>
          <w:rFonts w:ascii="Gill Sans MT" w:hAnsi="Gill Sans MT"/>
          <w:sz w:val="18"/>
        </w:rPr>
        <w:t xml:space="preserve"> </w:t>
      </w:r>
      <w:proofErr w:type="gramStart"/>
      <w:r w:rsidRPr="009A5DDD">
        <w:rPr>
          <w:rFonts w:ascii="Gill Sans MT" w:hAnsi="Gill Sans MT"/>
          <w:sz w:val="18"/>
        </w:rPr>
        <w:t>Alcohol and other drug treatment services in Australia 2014–15.</w:t>
      </w:r>
      <w:proofErr w:type="gramEnd"/>
      <w:r w:rsidRPr="009A5DDD">
        <w:rPr>
          <w:rFonts w:ascii="Gill Sans MT" w:hAnsi="Gill Sans MT"/>
          <w:sz w:val="18"/>
        </w:rPr>
        <w:t xml:space="preserve"> Drug treatment series no. 27. Cat. </w:t>
      </w:r>
      <w:proofErr w:type="gramStart"/>
      <w:r w:rsidRPr="009A5DDD">
        <w:rPr>
          <w:rFonts w:ascii="Gill Sans MT" w:hAnsi="Gill Sans MT"/>
          <w:sz w:val="18"/>
        </w:rPr>
        <w:t>no</w:t>
      </w:r>
      <w:proofErr w:type="gramEnd"/>
      <w:r w:rsidRPr="009A5DDD">
        <w:rPr>
          <w:rFonts w:ascii="Gill Sans MT" w:hAnsi="Gill Sans MT"/>
          <w:sz w:val="18"/>
        </w:rPr>
        <w:t xml:space="preserve">. </w:t>
      </w:r>
      <w:proofErr w:type="gramStart"/>
      <w:r w:rsidRPr="009A5DDD">
        <w:rPr>
          <w:rFonts w:ascii="Gill Sans MT" w:hAnsi="Gill Sans MT"/>
          <w:sz w:val="18"/>
        </w:rPr>
        <w:t>HSE 173.</w:t>
      </w:r>
      <w:proofErr w:type="gramEnd"/>
      <w:r w:rsidRPr="009A5DDD">
        <w:rPr>
          <w:rFonts w:ascii="Gill Sans MT" w:hAnsi="Gill Sans MT"/>
          <w:sz w:val="18"/>
        </w:rPr>
        <w:t xml:space="preserve"> Canberra: AIHW.</w:t>
      </w:r>
      <w:r>
        <w:rPr>
          <w:rFonts w:ascii="Gill Sans MT" w:hAnsi="Gill Sans MT"/>
          <w:sz w:val="18"/>
        </w:rPr>
        <w:t xml:space="preserve"> This is the most recent publicly available data report</w:t>
      </w:r>
    </w:p>
  </w:footnote>
  <w:footnote w:id="19">
    <w:p w:rsidR="00C569E6" w:rsidRDefault="00C569E6" w:rsidP="00A14760">
      <w:pPr>
        <w:pStyle w:val="FootnoteText"/>
      </w:pPr>
      <w:r>
        <w:rPr>
          <w:rStyle w:val="FootnoteReference"/>
        </w:rPr>
        <w:footnoteRef/>
      </w:r>
      <w:r>
        <w:t xml:space="preserve"> </w:t>
      </w:r>
      <w:proofErr w:type="gramStart"/>
      <w:r w:rsidRPr="00AE2B5F">
        <w:rPr>
          <w:sz w:val="18"/>
          <w:szCs w:val="18"/>
        </w:rPr>
        <w:t>Australian Bureau of Statistics 2017.</w:t>
      </w:r>
      <w:proofErr w:type="gramEnd"/>
      <w:r w:rsidRPr="00AE2B5F">
        <w:rPr>
          <w:sz w:val="18"/>
          <w:szCs w:val="18"/>
        </w:rPr>
        <w:t xml:space="preserve"> 4530.0 - Crime Victimisation Australia, 2014-15. </w:t>
      </w:r>
      <w:proofErr w:type="gramStart"/>
      <w:r w:rsidRPr="00AE2B5F">
        <w:rPr>
          <w:sz w:val="18"/>
          <w:szCs w:val="18"/>
        </w:rPr>
        <w:t>Internet.</w:t>
      </w:r>
      <w:proofErr w:type="gramEnd"/>
      <w:r w:rsidRPr="00AE2B5F">
        <w:rPr>
          <w:sz w:val="18"/>
          <w:szCs w:val="18"/>
        </w:rPr>
        <w:t xml:space="preserve">  </w:t>
      </w:r>
      <w:hyperlink r:id="rId4" w:history="1">
        <w:r w:rsidRPr="00AE2B5F">
          <w:rPr>
            <w:rStyle w:val="Hyperlink"/>
            <w:sz w:val="18"/>
            <w:szCs w:val="18"/>
          </w:rPr>
          <w:t>www.abs.gov.au/ausstats/abs@.nsf/mf/4530.0</w:t>
        </w:r>
      </w:hyperlink>
    </w:p>
  </w:footnote>
  <w:footnote w:id="20">
    <w:p w:rsidR="00C569E6" w:rsidRPr="00AE2B5F" w:rsidRDefault="00C569E6" w:rsidP="00A14760">
      <w:pPr>
        <w:pStyle w:val="FootnoteText"/>
        <w:rPr>
          <w:sz w:val="18"/>
          <w:szCs w:val="18"/>
        </w:rPr>
      </w:pPr>
      <w:r w:rsidRPr="00AE2B5F">
        <w:rPr>
          <w:rStyle w:val="FootnoteReference"/>
          <w:sz w:val="18"/>
          <w:szCs w:val="18"/>
        </w:rPr>
        <w:footnoteRef/>
      </w:r>
      <w:r w:rsidRPr="00AE2B5F">
        <w:rPr>
          <w:sz w:val="18"/>
          <w:szCs w:val="18"/>
        </w:rPr>
        <w:t xml:space="preserve"> </w:t>
      </w:r>
      <w:proofErr w:type="gramStart"/>
      <w:r>
        <w:rPr>
          <w:sz w:val="18"/>
          <w:szCs w:val="18"/>
        </w:rPr>
        <w:t>Ibid.</w:t>
      </w:r>
      <w:proofErr w:type="gramEnd"/>
      <w:r w:rsidRPr="00AE2B5F">
        <w:rPr>
          <w:sz w:val="18"/>
          <w:szCs w:val="18"/>
        </w:rPr>
        <w:t xml:space="preserve"> </w:t>
      </w:r>
    </w:p>
  </w:footnote>
  <w:footnote w:id="21">
    <w:p w:rsidR="00C569E6" w:rsidRDefault="00C569E6" w:rsidP="00A14760">
      <w:pPr>
        <w:pStyle w:val="FootnoteText"/>
      </w:pPr>
      <w:r>
        <w:rPr>
          <w:rStyle w:val="FootnoteReference"/>
        </w:rPr>
        <w:footnoteRef/>
      </w:r>
      <w:r>
        <w:t xml:space="preserve"> </w:t>
      </w:r>
      <w:proofErr w:type="gramStart"/>
      <w:r w:rsidRPr="00D65E66">
        <w:rPr>
          <w:rFonts w:ascii="Gill Sans MT" w:hAnsi="Gill Sans MT"/>
          <w:sz w:val="18"/>
        </w:rPr>
        <w:t xml:space="preserve">Department of Police and Emergency </w:t>
      </w:r>
      <w:r>
        <w:rPr>
          <w:rFonts w:ascii="Gill Sans MT" w:hAnsi="Gill Sans MT"/>
          <w:sz w:val="18"/>
        </w:rPr>
        <w:t>Management.</w:t>
      </w:r>
      <w:proofErr w:type="gramEnd"/>
      <w:r>
        <w:rPr>
          <w:rFonts w:ascii="Gill Sans MT" w:hAnsi="Gill Sans MT"/>
          <w:sz w:val="18"/>
        </w:rPr>
        <w:t xml:space="preserve"> Annual Reports 2010-11 to 2015-</w:t>
      </w:r>
      <w:r w:rsidRPr="00D65E66">
        <w:rPr>
          <w:rFonts w:ascii="Gill Sans MT" w:hAnsi="Gill Sans MT"/>
          <w:sz w:val="18"/>
        </w:rPr>
        <w:t>16: Tasmanian Government, 2016.</w:t>
      </w:r>
    </w:p>
  </w:footnote>
  <w:footnote w:id="22">
    <w:p w:rsidR="00C569E6" w:rsidRDefault="00C569E6">
      <w:pPr>
        <w:pStyle w:val="FootnoteText"/>
      </w:pPr>
      <w:r>
        <w:rPr>
          <w:rStyle w:val="FootnoteReference"/>
        </w:rPr>
        <w:footnoteRef/>
      </w:r>
      <w:r>
        <w:t xml:space="preserve"> </w:t>
      </w:r>
      <w:proofErr w:type="gramStart"/>
      <w:r w:rsidRPr="00E12334">
        <w:rPr>
          <w:rFonts w:ascii="Gill Sans MT" w:hAnsi="Gill Sans MT"/>
          <w:sz w:val="18"/>
          <w:szCs w:val="18"/>
        </w:rPr>
        <w:t>Department of Police and Emergency Management</w:t>
      </w:r>
      <w:r>
        <w:rPr>
          <w:rFonts w:ascii="Gill Sans MT" w:hAnsi="Gill Sans MT"/>
          <w:sz w:val="18"/>
          <w:szCs w:val="18"/>
        </w:rPr>
        <w:t>.</w:t>
      </w:r>
      <w:proofErr w:type="gramEnd"/>
      <w:r>
        <w:rPr>
          <w:rFonts w:ascii="Gill Sans MT" w:hAnsi="Gill Sans MT"/>
          <w:sz w:val="18"/>
          <w:szCs w:val="18"/>
        </w:rPr>
        <w:t xml:space="preserve"> Public Place Assaults by alcohol/drug involvement. Data extracted from Tasmania Police Offence Reporting System (ORS) 24/02/17</w:t>
      </w:r>
    </w:p>
  </w:footnote>
  <w:footnote w:id="23">
    <w:p w:rsidR="00C569E6" w:rsidRDefault="00C569E6" w:rsidP="00A14760">
      <w:pPr>
        <w:pStyle w:val="FootnoteText"/>
      </w:pPr>
      <w:r>
        <w:rPr>
          <w:rStyle w:val="FootnoteReference"/>
        </w:rPr>
        <w:footnoteRef/>
      </w:r>
      <w:r>
        <w:t xml:space="preserve"> </w:t>
      </w:r>
      <w:proofErr w:type="gramStart"/>
      <w:r w:rsidRPr="00D65E66">
        <w:rPr>
          <w:rFonts w:ascii="Gill Sans MT" w:hAnsi="Gill Sans MT"/>
          <w:sz w:val="18"/>
        </w:rPr>
        <w:t>Australian Bureau of Statistics.</w:t>
      </w:r>
      <w:proofErr w:type="gramEnd"/>
      <w:r w:rsidRPr="00D65E66">
        <w:rPr>
          <w:rFonts w:ascii="Gill Sans MT" w:hAnsi="Gill Sans MT"/>
          <w:sz w:val="18"/>
        </w:rPr>
        <w:t xml:space="preserve"> Australian Health Survey: First Results, 2011-12. 2012. Available from: http://www.abs.gov.au/AUSSTATS/abs@.nsf/DetailsPage/4364.0.55.0012011-12?OpenDocument (accessed 21 Dec 2016).</w:t>
      </w:r>
    </w:p>
  </w:footnote>
  <w:footnote w:id="24">
    <w:p w:rsidR="00C569E6" w:rsidRDefault="00C569E6" w:rsidP="00A14760">
      <w:pPr>
        <w:pStyle w:val="FootnoteText"/>
      </w:pPr>
      <w:r>
        <w:rPr>
          <w:rStyle w:val="FootnoteReference"/>
        </w:rPr>
        <w:footnoteRef/>
      </w:r>
      <w:r>
        <w:t xml:space="preserve"> </w:t>
      </w:r>
      <w:proofErr w:type="gramStart"/>
      <w:r w:rsidRPr="00D74150">
        <w:rPr>
          <w:rFonts w:ascii="Gill Sans MT" w:hAnsi="Gill Sans MT"/>
          <w:sz w:val="18"/>
        </w:rPr>
        <w:t>Australian Bureau of Statistics.</w:t>
      </w:r>
      <w:proofErr w:type="gramEnd"/>
      <w:r w:rsidRPr="00D74150">
        <w:rPr>
          <w:rFonts w:ascii="Gill Sans MT" w:hAnsi="Gill Sans MT"/>
          <w:sz w:val="18"/>
        </w:rPr>
        <w:t xml:space="preserve"> National Health Survey: First Results, 2014-15. 2015. Available from: http://www.abs.gov.au/AUSSTATS/abs@.nsf/DetailsPage/4364.0.55.0012014-15?OpenDocument (accessed 15 Jun 2016).</w:t>
      </w:r>
    </w:p>
  </w:footnote>
  <w:footnote w:id="25">
    <w:p w:rsidR="00C569E6" w:rsidRDefault="00C569E6" w:rsidP="00A14760">
      <w:pPr>
        <w:pStyle w:val="FootnoteText"/>
      </w:pPr>
      <w:r>
        <w:rPr>
          <w:rStyle w:val="FootnoteReference"/>
        </w:rPr>
        <w:footnoteRef/>
      </w:r>
      <w:r>
        <w:t xml:space="preserve"> </w:t>
      </w:r>
      <w:proofErr w:type="gramStart"/>
      <w:r w:rsidRPr="00D74150">
        <w:rPr>
          <w:rFonts w:ascii="Gill Sans MT" w:hAnsi="Gill Sans MT"/>
          <w:sz w:val="18"/>
        </w:rPr>
        <w:t>Australian Bureau of Statistics.</w:t>
      </w:r>
      <w:proofErr w:type="gramEnd"/>
      <w:r w:rsidRPr="00D74150">
        <w:rPr>
          <w:rFonts w:ascii="Gill Sans MT" w:hAnsi="Gill Sans MT"/>
          <w:sz w:val="18"/>
        </w:rPr>
        <w:t xml:space="preserve"> Australian Health Survey: First Results, 2011-12. 2012. Available from: http://www.abs.gov.au/AUSSTATS/abs@.nsf/DetailsPage/4364.0.55.0012011-12?OpenDocument (accessed 21 Dec 2016).</w:t>
      </w:r>
    </w:p>
  </w:footnote>
  <w:footnote w:id="26">
    <w:p w:rsidR="00C569E6" w:rsidRDefault="00C569E6" w:rsidP="00A14760">
      <w:pPr>
        <w:pStyle w:val="FootnoteText"/>
      </w:pPr>
      <w:r>
        <w:rPr>
          <w:rStyle w:val="FootnoteReference"/>
        </w:rPr>
        <w:footnoteRef/>
      </w:r>
      <w:r>
        <w:t xml:space="preserve"> </w:t>
      </w:r>
      <w:proofErr w:type="gramStart"/>
      <w:r w:rsidRPr="00D74150">
        <w:rPr>
          <w:rFonts w:ascii="Gill Sans MT" w:hAnsi="Gill Sans MT"/>
          <w:sz w:val="18"/>
        </w:rPr>
        <w:t>Australian Bureau of Statistics.</w:t>
      </w:r>
      <w:proofErr w:type="gramEnd"/>
      <w:r w:rsidRPr="00D74150">
        <w:rPr>
          <w:rFonts w:ascii="Gill Sans MT" w:hAnsi="Gill Sans MT"/>
          <w:sz w:val="18"/>
        </w:rPr>
        <w:t xml:space="preserve"> National Health Survey: First Results, 2014-15. 2015. Available from: http://www.abs.gov.au/AUSSTATS/abs@.nsf/DetailsPage/4364.0.55.0012014-15?OpenDocument (accessed 15 Jun 2016).</w:t>
      </w:r>
    </w:p>
  </w:footnote>
  <w:footnote w:id="27">
    <w:p w:rsidR="00C569E6" w:rsidRDefault="00C569E6" w:rsidP="00A14760">
      <w:pPr>
        <w:pStyle w:val="FootnoteText"/>
      </w:pPr>
      <w:r>
        <w:rPr>
          <w:rStyle w:val="FootnoteReference"/>
        </w:rPr>
        <w:footnoteRef/>
      </w:r>
      <w:r>
        <w:t xml:space="preserve"> </w:t>
      </w:r>
      <w:r w:rsidRPr="00A34194">
        <w:rPr>
          <w:rFonts w:ascii="Gill Sans MT" w:hAnsi="Gill Sans MT"/>
          <w:sz w:val="18"/>
        </w:rPr>
        <w:t>Williams T, Katherine S. The use of alcohol, tobacco, over-the-counter substances, among Tasmanian secondary school students in 2014 and trends over time: Centre for Behavioural Research in Cancer Council Victoria, prepared for Cancer Council Tasmania, 2016.</w:t>
      </w:r>
    </w:p>
  </w:footnote>
  <w:footnote w:id="28">
    <w:p w:rsidR="00C569E6" w:rsidRPr="00BF1032" w:rsidRDefault="00C569E6" w:rsidP="00A14760">
      <w:pPr>
        <w:pStyle w:val="FootnoteText"/>
        <w:rPr>
          <w:sz w:val="18"/>
          <w:szCs w:val="18"/>
        </w:rPr>
      </w:pPr>
      <w:r w:rsidRPr="00BF1032">
        <w:rPr>
          <w:rStyle w:val="FootnoteReference"/>
          <w:sz w:val="18"/>
          <w:szCs w:val="18"/>
        </w:rPr>
        <w:footnoteRef/>
      </w:r>
      <w:r w:rsidRPr="00BF1032">
        <w:rPr>
          <w:sz w:val="18"/>
          <w:szCs w:val="18"/>
        </w:rPr>
        <w:t xml:space="preserve"> </w:t>
      </w:r>
      <w:r w:rsidRPr="00BF1032">
        <w:rPr>
          <w:rFonts w:ascii="Gill Sans MT" w:hAnsi="Gill Sans MT"/>
          <w:sz w:val="18"/>
          <w:szCs w:val="18"/>
        </w:rPr>
        <w:t>Ibid.</w:t>
      </w:r>
    </w:p>
  </w:footnote>
  <w:footnote w:id="29">
    <w:p w:rsidR="00C569E6" w:rsidRPr="00BF1032" w:rsidRDefault="00C569E6" w:rsidP="00A14760">
      <w:pPr>
        <w:pStyle w:val="FootnoteText"/>
        <w:rPr>
          <w:rFonts w:ascii="Gill Sans MT" w:hAnsi="Gill Sans MT"/>
          <w:sz w:val="18"/>
          <w:szCs w:val="18"/>
        </w:rPr>
      </w:pPr>
      <w:r w:rsidRPr="00BF1032">
        <w:rPr>
          <w:rStyle w:val="FootnoteReference"/>
          <w:rFonts w:ascii="Gill Sans MT" w:hAnsi="Gill Sans MT"/>
          <w:sz w:val="18"/>
          <w:szCs w:val="18"/>
        </w:rPr>
        <w:footnoteRef/>
      </w:r>
      <w:r w:rsidRPr="00BF1032">
        <w:rPr>
          <w:rFonts w:ascii="Gill Sans MT" w:hAnsi="Gill Sans MT"/>
          <w:sz w:val="18"/>
          <w:szCs w:val="18"/>
        </w:rPr>
        <w:t xml:space="preserve"> </w:t>
      </w:r>
      <w:proofErr w:type="gramStart"/>
      <w:r w:rsidRPr="00BF1032">
        <w:rPr>
          <w:rFonts w:ascii="Gill Sans MT" w:hAnsi="Gill Sans MT"/>
          <w:sz w:val="18"/>
          <w:szCs w:val="18"/>
        </w:rPr>
        <w:t>Department of Health and Human Services.</w:t>
      </w:r>
      <w:proofErr w:type="gramEnd"/>
      <w:r w:rsidRPr="00BF1032">
        <w:rPr>
          <w:rFonts w:ascii="Gill Sans MT" w:hAnsi="Gill Sans MT"/>
          <w:sz w:val="18"/>
          <w:szCs w:val="18"/>
        </w:rPr>
        <w:t xml:space="preserve"> Council of Obstetric &amp; Paediatric Mortality &amp; Morbidity Annual Report 2013. Hobart: Tasmanian Government; 2015.</w:t>
      </w:r>
    </w:p>
  </w:footnote>
  <w:footnote w:id="30">
    <w:p w:rsidR="00C569E6" w:rsidRPr="00BF1032" w:rsidRDefault="00C569E6" w:rsidP="00A14760">
      <w:pPr>
        <w:pStyle w:val="BodyCopy"/>
        <w:keepNext/>
        <w:spacing w:after="0" w:line="240" w:lineRule="auto"/>
        <w:ind w:left="284" w:right="198" w:hanging="284"/>
        <w:rPr>
          <w:sz w:val="18"/>
          <w:szCs w:val="18"/>
        </w:rPr>
      </w:pPr>
      <w:r w:rsidRPr="00BF1032">
        <w:rPr>
          <w:rStyle w:val="FootnoteReference"/>
          <w:sz w:val="18"/>
          <w:szCs w:val="18"/>
        </w:rPr>
        <w:footnoteRef/>
      </w:r>
      <w:r w:rsidRPr="00BF1032">
        <w:rPr>
          <w:sz w:val="18"/>
          <w:szCs w:val="18"/>
        </w:rPr>
        <w:t xml:space="preserve"> </w:t>
      </w:r>
      <w:r w:rsidRPr="00BF1032">
        <w:rPr>
          <w:noProof/>
          <w:sz w:val="18"/>
          <w:szCs w:val="18"/>
        </w:rPr>
        <w:t xml:space="preserve">Department of Police and Emergency Management. </w:t>
      </w:r>
      <w:r w:rsidRPr="00BF1032">
        <w:rPr>
          <w:i/>
          <w:noProof/>
          <w:sz w:val="18"/>
          <w:szCs w:val="18"/>
        </w:rPr>
        <w:t>Annual (June) 2015 Corporate Performance Report, Tasmania Police.</w:t>
      </w:r>
      <w:r w:rsidRPr="00BF1032">
        <w:rPr>
          <w:noProof/>
          <w:sz w:val="18"/>
          <w:szCs w:val="18"/>
        </w:rPr>
        <w:t xml:space="preserve"> Tasmanian Government;2015.</w:t>
      </w:r>
    </w:p>
  </w:footnote>
  <w:footnote w:id="31">
    <w:p w:rsidR="00C569E6" w:rsidRPr="00BF1032" w:rsidRDefault="00C569E6" w:rsidP="00A14760">
      <w:pPr>
        <w:pStyle w:val="FootnoteText"/>
        <w:rPr>
          <w:rFonts w:ascii="Gill Sans MT" w:hAnsi="Gill Sans MT"/>
          <w:sz w:val="18"/>
          <w:szCs w:val="18"/>
        </w:rPr>
      </w:pPr>
      <w:r w:rsidRPr="00BF1032">
        <w:rPr>
          <w:rStyle w:val="FootnoteReference"/>
          <w:rFonts w:ascii="Gill Sans MT" w:hAnsi="Gill Sans MT"/>
          <w:sz w:val="18"/>
          <w:szCs w:val="18"/>
        </w:rPr>
        <w:footnoteRef/>
      </w:r>
      <w:r w:rsidRPr="00BF1032">
        <w:rPr>
          <w:rFonts w:ascii="Gill Sans MT" w:hAnsi="Gill Sans MT"/>
          <w:sz w:val="18"/>
          <w:szCs w:val="18"/>
        </w:rPr>
        <w:t xml:space="preserve"> </w:t>
      </w:r>
      <w:r w:rsidRPr="00BF1032">
        <w:rPr>
          <w:rFonts w:ascii="Gill Sans MT" w:hAnsi="Gill Sans MT"/>
          <w:noProof/>
          <w:sz w:val="18"/>
          <w:szCs w:val="18"/>
        </w:rPr>
        <w:t xml:space="preserve">Department of Treasury and Finance. Liquor industry data in Tasmania. </w:t>
      </w:r>
      <w:proofErr w:type="gramStart"/>
      <w:r w:rsidRPr="00BF1032">
        <w:rPr>
          <w:rFonts w:ascii="Gill Sans MT" w:hAnsi="Gill Sans MT"/>
          <w:noProof/>
          <w:sz w:val="18"/>
          <w:szCs w:val="18"/>
        </w:rPr>
        <w:t xml:space="preserve">2016; </w:t>
      </w:r>
      <w:hyperlink r:id="rId5" w:history="1">
        <w:r w:rsidRPr="00BF1032">
          <w:rPr>
            <w:rStyle w:val="Hyperlink"/>
            <w:rFonts w:ascii="Gill Sans MT" w:hAnsi="Gill Sans MT"/>
            <w:noProof/>
            <w:sz w:val="18"/>
            <w:szCs w:val="18"/>
          </w:rPr>
          <w:t>http://www.treasury.tas.gov.au/domino/dtf/dtf.nsf/v-liq-and-gaming/E1E056468959C8E7CA257D8200177211</w:t>
        </w:r>
      </w:hyperlink>
      <w:r w:rsidRPr="00BF1032">
        <w:rPr>
          <w:rFonts w:ascii="Gill Sans MT" w:hAnsi="Gill Sans MT"/>
          <w:noProof/>
          <w:sz w:val="18"/>
          <w:szCs w:val="18"/>
        </w:rPr>
        <w:t>.</w:t>
      </w:r>
      <w:proofErr w:type="gramEnd"/>
      <w:r w:rsidRPr="00BF1032">
        <w:rPr>
          <w:rFonts w:ascii="Gill Sans MT" w:hAnsi="Gill Sans MT"/>
          <w:noProof/>
          <w:sz w:val="18"/>
          <w:szCs w:val="18"/>
        </w:rPr>
        <w:t xml:space="preserve"> Accessed 21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6" w:rsidRDefault="00C56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6" w:rsidRDefault="00C569E6">
    <w:pPr>
      <w:pStyle w:val="Header"/>
    </w:pPr>
  </w:p>
  <w:p w:rsidR="00C569E6" w:rsidRDefault="00C569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6" w:rsidRDefault="00C569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6" w:rsidRDefault="00C569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6" w:rsidRDefault="00C569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6" w:rsidRDefault="00C56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B81"/>
    <w:multiLevelType w:val="hybridMultilevel"/>
    <w:tmpl w:val="514A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2616EB"/>
    <w:multiLevelType w:val="hybridMultilevel"/>
    <w:tmpl w:val="7520D1C4"/>
    <w:lvl w:ilvl="0" w:tplc="0C090001">
      <w:start w:val="1"/>
      <w:numFmt w:val="bullet"/>
      <w:lvlText w:val=""/>
      <w:lvlJc w:val="left"/>
      <w:pPr>
        <w:ind w:left="2544" w:hanging="360"/>
      </w:pPr>
      <w:rPr>
        <w:rFonts w:ascii="Symbol" w:hAnsi="Symbol" w:hint="default"/>
      </w:rPr>
    </w:lvl>
    <w:lvl w:ilvl="1" w:tplc="0C090003" w:tentative="1">
      <w:start w:val="1"/>
      <w:numFmt w:val="bullet"/>
      <w:lvlText w:val="o"/>
      <w:lvlJc w:val="left"/>
      <w:pPr>
        <w:ind w:left="3264" w:hanging="360"/>
      </w:pPr>
      <w:rPr>
        <w:rFonts w:ascii="Courier New" w:hAnsi="Courier New" w:cs="Courier New" w:hint="default"/>
      </w:rPr>
    </w:lvl>
    <w:lvl w:ilvl="2" w:tplc="0C090005" w:tentative="1">
      <w:start w:val="1"/>
      <w:numFmt w:val="bullet"/>
      <w:lvlText w:val=""/>
      <w:lvlJc w:val="left"/>
      <w:pPr>
        <w:ind w:left="3984" w:hanging="360"/>
      </w:pPr>
      <w:rPr>
        <w:rFonts w:ascii="Wingdings" w:hAnsi="Wingdings" w:hint="default"/>
      </w:rPr>
    </w:lvl>
    <w:lvl w:ilvl="3" w:tplc="0C090001" w:tentative="1">
      <w:start w:val="1"/>
      <w:numFmt w:val="bullet"/>
      <w:lvlText w:val=""/>
      <w:lvlJc w:val="left"/>
      <w:pPr>
        <w:ind w:left="4704" w:hanging="360"/>
      </w:pPr>
      <w:rPr>
        <w:rFonts w:ascii="Symbol" w:hAnsi="Symbol" w:hint="default"/>
      </w:rPr>
    </w:lvl>
    <w:lvl w:ilvl="4" w:tplc="0C090003" w:tentative="1">
      <w:start w:val="1"/>
      <w:numFmt w:val="bullet"/>
      <w:lvlText w:val="o"/>
      <w:lvlJc w:val="left"/>
      <w:pPr>
        <w:ind w:left="5424" w:hanging="360"/>
      </w:pPr>
      <w:rPr>
        <w:rFonts w:ascii="Courier New" w:hAnsi="Courier New" w:cs="Courier New" w:hint="default"/>
      </w:rPr>
    </w:lvl>
    <w:lvl w:ilvl="5" w:tplc="0C090005" w:tentative="1">
      <w:start w:val="1"/>
      <w:numFmt w:val="bullet"/>
      <w:lvlText w:val=""/>
      <w:lvlJc w:val="left"/>
      <w:pPr>
        <w:ind w:left="6144" w:hanging="360"/>
      </w:pPr>
      <w:rPr>
        <w:rFonts w:ascii="Wingdings" w:hAnsi="Wingdings" w:hint="default"/>
      </w:rPr>
    </w:lvl>
    <w:lvl w:ilvl="6" w:tplc="0C090001" w:tentative="1">
      <w:start w:val="1"/>
      <w:numFmt w:val="bullet"/>
      <w:lvlText w:val=""/>
      <w:lvlJc w:val="left"/>
      <w:pPr>
        <w:ind w:left="6864" w:hanging="360"/>
      </w:pPr>
      <w:rPr>
        <w:rFonts w:ascii="Symbol" w:hAnsi="Symbol" w:hint="default"/>
      </w:rPr>
    </w:lvl>
    <w:lvl w:ilvl="7" w:tplc="0C090003" w:tentative="1">
      <w:start w:val="1"/>
      <w:numFmt w:val="bullet"/>
      <w:lvlText w:val="o"/>
      <w:lvlJc w:val="left"/>
      <w:pPr>
        <w:ind w:left="7584" w:hanging="360"/>
      </w:pPr>
      <w:rPr>
        <w:rFonts w:ascii="Courier New" w:hAnsi="Courier New" w:cs="Courier New" w:hint="default"/>
      </w:rPr>
    </w:lvl>
    <w:lvl w:ilvl="8" w:tplc="0C090005" w:tentative="1">
      <w:start w:val="1"/>
      <w:numFmt w:val="bullet"/>
      <w:lvlText w:val=""/>
      <w:lvlJc w:val="left"/>
      <w:pPr>
        <w:ind w:left="8304" w:hanging="360"/>
      </w:pPr>
      <w:rPr>
        <w:rFonts w:ascii="Wingdings" w:hAnsi="Wingdings" w:hint="default"/>
      </w:rPr>
    </w:lvl>
  </w:abstractNum>
  <w:abstractNum w:abstractNumId="2">
    <w:nsid w:val="086B2D38"/>
    <w:multiLevelType w:val="hybridMultilevel"/>
    <w:tmpl w:val="AD44AD92"/>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3">
    <w:nsid w:val="0972093F"/>
    <w:multiLevelType w:val="hybridMultilevel"/>
    <w:tmpl w:val="A84C1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7E0FBC"/>
    <w:multiLevelType w:val="hybridMultilevel"/>
    <w:tmpl w:val="3012A28A"/>
    <w:lvl w:ilvl="0" w:tplc="0C090003">
      <w:start w:val="1"/>
      <w:numFmt w:val="bullet"/>
      <w:lvlText w:val="o"/>
      <w:lvlJc w:val="left"/>
      <w:pPr>
        <w:ind w:left="720" w:hanging="360"/>
      </w:pPr>
      <w:rPr>
        <w:rFonts w:ascii="Courier New" w:hAnsi="Courier New" w:cs="Courier New" w:hint="default"/>
      </w:rPr>
    </w:lvl>
    <w:lvl w:ilvl="1" w:tplc="31C6BE4C">
      <w:numFmt w:val="bullet"/>
      <w:lvlText w:val="•"/>
      <w:lvlJc w:val="left"/>
      <w:pPr>
        <w:ind w:left="1440" w:hanging="360"/>
      </w:pPr>
      <w:rPr>
        <w:rFonts w:ascii="Gill Sans MT" w:eastAsiaTheme="minorHAnsi" w:hAnsi="Gill Sans MT"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E43FA4"/>
    <w:multiLevelType w:val="multilevel"/>
    <w:tmpl w:val="C9E6F352"/>
    <w:lvl w:ilvl="0">
      <w:start w:val="1"/>
      <w:numFmt w:val="decimal"/>
      <w:lvlText w:val="KS%1."/>
      <w:lvlJc w:val="left"/>
      <w:pPr>
        <w:tabs>
          <w:tab w:val="num" w:pos="170"/>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EC73CA"/>
    <w:multiLevelType w:val="hybridMultilevel"/>
    <w:tmpl w:val="B9884A6C"/>
    <w:lvl w:ilvl="0" w:tplc="6C94FCC8">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1F1D9B"/>
    <w:multiLevelType w:val="hybridMultilevel"/>
    <w:tmpl w:val="08061F10"/>
    <w:lvl w:ilvl="0" w:tplc="9796F5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174CBA"/>
    <w:multiLevelType w:val="hybridMultilevel"/>
    <w:tmpl w:val="69D8E5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5784828"/>
    <w:multiLevelType w:val="hybridMultilevel"/>
    <w:tmpl w:val="BEDED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742778"/>
    <w:multiLevelType w:val="hybridMultilevel"/>
    <w:tmpl w:val="D1FC278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0F1953"/>
    <w:multiLevelType w:val="hybridMultilevel"/>
    <w:tmpl w:val="5E7C205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2759FD"/>
    <w:multiLevelType w:val="hybridMultilevel"/>
    <w:tmpl w:val="F1947310"/>
    <w:lvl w:ilvl="0" w:tplc="63623E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7E361A"/>
    <w:multiLevelType w:val="hybridMultilevel"/>
    <w:tmpl w:val="8EFCF6D4"/>
    <w:lvl w:ilvl="0" w:tplc="0C090003">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E405FB"/>
    <w:multiLevelType w:val="hybridMultilevel"/>
    <w:tmpl w:val="9D30B396"/>
    <w:lvl w:ilvl="0" w:tplc="EA58E7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E735A8"/>
    <w:multiLevelType w:val="hybridMultilevel"/>
    <w:tmpl w:val="5824D1E6"/>
    <w:lvl w:ilvl="0" w:tplc="0C090003">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8B0510"/>
    <w:multiLevelType w:val="hybridMultilevel"/>
    <w:tmpl w:val="97482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9274E1"/>
    <w:multiLevelType w:val="hybridMultilevel"/>
    <w:tmpl w:val="58845156"/>
    <w:lvl w:ilvl="0" w:tplc="0C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A56B00"/>
    <w:multiLevelType w:val="hybridMultilevel"/>
    <w:tmpl w:val="3D4C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357673"/>
    <w:multiLevelType w:val="hybridMultilevel"/>
    <w:tmpl w:val="B9D6CCA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2D414F50"/>
    <w:multiLevelType w:val="hybridMultilevel"/>
    <w:tmpl w:val="B3F2C4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EA101A0"/>
    <w:multiLevelType w:val="hybridMultilevel"/>
    <w:tmpl w:val="1B4E0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967570"/>
    <w:multiLevelType w:val="hybridMultilevel"/>
    <w:tmpl w:val="1F926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1B10F62"/>
    <w:multiLevelType w:val="hybridMultilevel"/>
    <w:tmpl w:val="CD7EDD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7143D95"/>
    <w:multiLevelType w:val="hybridMultilevel"/>
    <w:tmpl w:val="8458C686"/>
    <w:lvl w:ilvl="0" w:tplc="0C090001">
      <w:start w:val="1"/>
      <w:numFmt w:val="bullet"/>
      <w:lvlText w:val=""/>
      <w:lvlJc w:val="left"/>
      <w:pPr>
        <w:ind w:left="720" w:hanging="360"/>
      </w:pPr>
      <w:rPr>
        <w:rFonts w:ascii="Symbol" w:hAnsi="Symbol" w:hint="default"/>
      </w:rPr>
    </w:lvl>
    <w:lvl w:ilvl="1" w:tplc="63623E7A">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7C83020"/>
    <w:multiLevelType w:val="hybridMultilevel"/>
    <w:tmpl w:val="E5E87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7EB044B"/>
    <w:multiLevelType w:val="hybridMultilevel"/>
    <w:tmpl w:val="A5AA1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891454A"/>
    <w:multiLevelType w:val="hybridMultilevel"/>
    <w:tmpl w:val="F75C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7D7B06"/>
    <w:multiLevelType w:val="hybridMultilevel"/>
    <w:tmpl w:val="C2E66E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D5A5EAD"/>
    <w:multiLevelType w:val="hybridMultilevel"/>
    <w:tmpl w:val="CA4C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86B7F84"/>
    <w:multiLevelType w:val="hybridMultilevel"/>
    <w:tmpl w:val="8EA49788"/>
    <w:lvl w:ilvl="0" w:tplc="63623E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751298"/>
    <w:multiLevelType w:val="hybridMultilevel"/>
    <w:tmpl w:val="F2462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D8B07D4"/>
    <w:multiLevelType w:val="hybridMultilevel"/>
    <w:tmpl w:val="ABEC1D5E"/>
    <w:lvl w:ilvl="0" w:tplc="312264B8">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29316CC"/>
    <w:multiLevelType w:val="hybridMultilevel"/>
    <w:tmpl w:val="7F74F68E"/>
    <w:lvl w:ilvl="0" w:tplc="63623E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331471A"/>
    <w:multiLevelType w:val="hybridMultilevel"/>
    <w:tmpl w:val="BB94CA76"/>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36">
    <w:nsid w:val="59A85AC4"/>
    <w:multiLevelType w:val="hybridMultilevel"/>
    <w:tmpl w:val="93603754"/>
    <w:lvl w:ilvl="0" w:tplc="0C090003">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E22787A"/>
    <w:multiLevelType w:val="hybridMultilevel"/>
    <w:tmpl w:val="402C2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E95A81"/>
    <w:multiLevelType w:val="hybridMultilevel"/>
    <w:tmpl w:val="7FC8AF9E"/>
    <w:lvl w:ilvl="0" w:tplc="63623E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774F7F"/>
    <w:multiLevelType w:val="hybridMultilevel"/>
    <w:tmpl w:val="EF8A15E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0">
    <w:nsid w:val="631D2770"/>
    <w:multiLevelType w:val="multilevel"/>
    <w:tmpl w:val="5C78FECA"/>
    <w:lvl w:ilvl="0">
      <w:start w:val="1"/>
      <w:numFmt w:val="decimal"/>
      <w:lvlText w:val="KS%1."/>
      <w:lvlJc w:val="left"/>
      <w:pPr>
        <w:tabs>
          <w:tab w:val="num" w:pos="170"/>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5C5717B"/>
    <w:multiLevelType w:val="hybridMultilevel"/>
    <w:tmpl w:val="88B87366"/>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42">
    <w:nsid w:val="674F0BC0"/>
    <w:multiLevelType w:val="hybridMultilevel"/>
    <w:tmpl w:val="D4B0E3E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6906514F"/>
    <w:multiLevelType w:val="hybridMultilevel"/>
    <w:tmpl w:val="2F88E5AC"/>
    <w:lvl w:ilvl="0" w:tplc="0C090003">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C9B473A"/>
    <w:multiLevelType w:val="hybridMultilevel"/>
    <w:tmpl w:val="652487D2"/>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45">
    <w:nsid w:val="6EA578DA"/>
    <w:multiLevelType w:val="hybridMultilevel"/>
    <w:tmpl w:val="E6DE892A"/>
    <w:lvl w:ilvl="0" w:tplc="63623E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2154E99"/>
    <w:multiLevelType w:val="hybridMultilevel"/>
    <w:tmpl w:val="BB2E461E"/>
    <w:lvl w:ilvl="0" w:tplc="0C090001">
      <w:start w:val="1"/>
      <w:numFmt w:val="bullet"/>
      <w:lvlText w:val=""/>
      <w:lvlJc w:val="left"/>
      <w:pPr>
        <w:ind w:left="360" w:hanging="360"/>
      </w:pPr>
      <w:rPr>
        <w:rFonts w:ascii="Symbol" w:hAnsi="Symbol" w:hint="default"/>
      </w:rPr>
    </w:lvl>
    <w:lvl w:ilvl="1" w:tplc="A4CCAA54">
      <w:numFmt w:val="bullet"/>
      <w:lvlText w:val="-"/>
      <w:lvlJc w:val="left"/>
      <w:pPr>
        <w:ind w:left="1080" w:hanging="360"/>
      </w:pPr>
      <w:rPr>
        <w:rFonts w:ascii="Gill Sans MT" w:eastAsia="Times New Roman" w:hAnsi="Gill Sans MT"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30E3E3A"/>
    <w:multiLevelType w:val="hybridMultilevel"/>
    <w:tmpl w:val="0CF8F89E"/>
    <w:lvl w:ilvl="0" w:tplc="0C090003">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75718BD"/>
    <w:multiLevelType w:val="hybridMultilevel"/>
    <w:tmpl w:val="928E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98077B8"/>
    <w:multiLevelType w:val="hybridMultilevel"/>
    <w:tmpl w:val="5E44BD9C"/>
    <w:lvl w:ilvl="0" w:tplc="0C090003">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9947B3A"/>
    <w:multiLevelType w:val="hybridMultilevel"/>
    <w:tmpl w:val="6962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AE03F0D"/>
    <w:multiLevelType w:val="hybridMultilevel"/>
    <w:tmpl w:val="2DAEF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B9563FD"/>
    <w:multiLevelType w:val="hybridMultilevel"/>
    <w:tmpl w:val="864A3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D921F11"/>
    <w:multiLevelType w:val="hybridMultilevel"/>
    <w:tmpl w:val="0888C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DF62321"/>
    <w:multiLevelType w:val="hybridMultilevel"/>
    <w:tmpl w:val="B2B453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nsid w:val="7E3170EC"/>
    <w:multiLevelType w:val="hybridMultilevel"/>
    <w:tmpl w:val="DFBE10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45"/>
  </w:num>
  <w:num w:numId="2">
    <w:abstractNumId w:val="9"/>
  </w:num>
  <w:num w:numId="3">
    <w:abstractNumId w:val="23"/>
  </w:num>
  <w:num w:numId="4">
    <w:abstractNumId w:val="51"/>
  </w:num>
  <w:num w:numId="5">
    <w:abstractNumId w:val="17"/>
  </w:num>
  <w:num w:numId="6">
    <w:abstractNumId w:val="28"/>
  </w:num>
  <w:num w:numId="7">
    <w:abstractNumId w:val="10"/>
  </w:num>
  <w:num w:numId="8">
    <w:abstractNumId w:val="52"/>
  </w:num>
  <w:num w:numId="9">
    <w:abstractNumId w:val="13"/>
  </w:num>
  <w:num w:numId="10">
    <w:abstractNumId w:val="43"/>
  </w:num>
  <w:num w:numId="11">
    <w:abstractNumId w:val="25"/>
  </w:num>
  <w:num w:numId="12">
    <w:abstractNumId w:val="5"/>
  </w:num>
  <w:num w:numId="13">
    <w:abstractNumId w:val="6"/>
  </w:num>
  <w:num w:numId="14">
    <w:abstractNumId w:val="12"/>
  </w:num>
  <w:num w:numId="15">
    <w:abstractNumId w:val="11"/>
  </w:num>
  <w:num w:numId="16">
    <w:abstractNumId w:val="48"/>
  </w:num>
  <w:num w:numId="17">
    <w:abstractNumId w:val="36"/>
  </w:num>
  <w:num w:numId="18">
    <w:abstractNumId w:val="47"/>
  </w:num>
  <w:num w:numId="19">
    <w:abstractNumId w:val="2"/>
  </w:num>
  <w:num w:numId="20">
    <w:abstractNumId w:val="55"/>
  </w:num>
  <w:num w:numId="21">
    <w:abstractNumId w:val="1"/>
  </w:num>
  <w:num w:numId="22">
    <w:abstractNumId w:val="35"/>
  </w:num>
  <w:num w:numId="23">
    <w:abstractNumId w:val="42"/>
  </w:num>
  <w:num w:numId="24">
    <w:abstractNumId w:val="20"/>
  </w:num>
  <w:num w:numId="25">
    <w:abstractNumId w:val="39"/>
  </w:num>
  <w:num w:numId="26">
    <w:abstractNumId w:val="8"/>
  </w:num>
  <w:num w:numId="27">
    <w:abstractNumId w:val="44"/>
  </w:num>
  <w:num w:numId="28">
    <w:abstractNumId w:val="41"/>
  </w:num>
  <w:num w:numId="29">
    <w:abstractNumId w:val="3"/>
  </w:num>
  <w:num w:numId="30">
    <w:abstractNumId w:val="4"/>
  </w:num>
  <w:num w:numId="31">
    <w:abstractNumId w:val="49"/>
  </w:num>
  <w:num w:numId="32">
    <w:abstractNumId w:val="46"/>
  </w:num>
  <w:num w:numId="33">
    <w:abstractNumId w:val="31"/>
  </w:num>
  <w:num w:numId="34">
    <w:abstractNumId w:val="38"/>
  </w:num>
  <w:num w:numId="35">
    <w:abstractNumId w:val="14"/>
  </w:num>
  <w:num w:numId="36">
    <w:abstractNumId w:val="16"/>
  </w:num>
  <w:num w:numId="37">
    <w:abstractNumId w:val="34"/>
  </w:num>
  <w:num w:numId="38">
    <w:abstractNumId w:val="7"/>
  </w:num>
  <w:num w:numId="39">
    <w:abstractNumId w:val="33"/>
  </w:num>
  <w:num w:numId="40">
    <w:abstractNumId w:val="40"/>
  </w:num>
  <w:num w:numId="41">
    <w:abstractNumId w:val="15"/>
  </w:num>
  <w:num w:numId="42">
    <w:abstractNumId w:val="50"/>
  </w:num>
  <w:num w:numId="43">
    <w:abstractNumId w:val="19"/>
  </w:num>
  <w:num w:numId="44">
    <w:abstractNumId w:val="30"/>
  </w:num>
  <w:num w:numId="45">
    <w:abstractNumId w:val="32"/>
  </w:num>
  <w:num w:numId="46">
    <w:abstractNumId w:val="37"/>
  </w:num>
  <w:num w:numId="47">
    <w:abstractNumId w:val="22"/>
  </w:num>
  <w:num w:numId="48">
    <w:abstractNumId w:val="54"/>
  </w:num>
  <w:num w:numId="49">
    <w:abstractNumId w:val="24"/>
  </w:num>
  <w:num w:numId="50">
    <w:abstractNumId w:val="18"/>
  </w:num>
  <w:num w:numId="51">
    <w:abstractNumId w:val="26"/>
  </w:num>
  <w:num w:numId="52">
    <w:abstractNumId w:val="0"/>
  </w:num>
  <w:num w:numId="53">
    <w:abstractNumId w:val="27"/>
  </w:num>
  <w:num w:numId="54">
    <w:abstractNumId w:val="29"/>
  </w:num>
  <w:num w:numId="55">
    <w:abstractNumId w:val="53"/>
  </w:num>
  <w:num w:numId="56">
    <w:abstractNumId w:val="21"/>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pman, Bridgette">
    <w15:presenceInfo w15:providerId="AD" w15:userId="S-1-5-21-23921856-1458390946-1978029241-23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33"/>
    <w:rsid w:val="00000B5E"/>
    <w:rsid w:val="00002B0D"/>
    <w:rsid w:val="00003A20"/>
    <w:rsid w:val="000056B2"/>
    <w:rsid w:val="00005A3F"/>
    <w:rsid w:val="000078C1"/>
    <w:rsid w:val="00011760"/>
    <w:rsid w:val="00011835"/>
    <w:rsid w:val="00012D74"/>
    <w:rsid w:val="0001587D"/>
    <w:rsid w:val="0001635D"/>
    <w:rsid w:val="000163EA"/>
    <w:rsid w:val="00017135"/>
    <w:rsid w:val="00022752"/>
    <w:rsid w:val="00022B51"/>
    <w:rsid w:val="00023775"/>
    <w:rsid w:val="00026782"/>
    <w:rsid w:val="00026E00"/>
    <w:rsid w:val="00027F2F"/>
    <w:rsid w:val="00032C87"/>
    <w:rsid w:val="0003442A"/>
    <w:rsid w:val="000363D4"/>
    <w:rsid w:val="0003711F"/>
    <w:rsid w:val="00041E51"/>
    <w:rsid w:val="00043B84"/>
    <w:rsid w:val="0004596D"/>
    <w:rsid w:val="000524AD"/>
    <w:rsid w:val="00053053"/>
    <w:rsid w:val="0006285B"/>
    <w:rsid w:val="00066AC2"/>
    <w:rsid w:val="00066BCC"/>
    <w:rsid w:val="000675FD"/>
    <w:rsid w:val="00070CDC"/>
    <w:rsid w:val="00070F5D"/>
    <w:rsid w:val="0007490D"/>
    <w:rsid w:val="00075297"/>
    <w:rsid w:val="000777F8"/>
    <w:rsid w:val="00077C83"/>
    <w:rsid w:val="00081EAC"/>
    <w:rsid w:val="0008251C"/>
    <w:rsid w:val="0008439A"/>
    <w:rsid w:val="000862B0"/>
    <w:rsid w:val="000930ED"/>
    <w:rsid w:val="00093BC6"/>
    <w:rsid w:val="00096917"/>
    <w:rsid w:val="00096AA9"/>
    <w:rsid w:val="000A0178"/>
    <w:rsid w:val="000A555C"/>
    <w:rsid w:val="000A6052"/>
    <w:rsid w:val="000A6C2A"/>
    <w:rsid w:val="000A7A32"/>
    <w:rsid w:val="000A7D31"/>
    <w:rsid w:val="000B1A62"/>
    <w:rsid w:val="000B2B0F"/>
    <w:rsid w:val="000B51C6"/>
    <w:rsid w:val="000B5936"/>
    <w:rsid w:val="000B69BD"/>
    <w:rsid w:val="000B7C87"/>
    <w:rsid w:val="000C34CD"/>
    <w:rsid w:val="000D1BD4"/>
    <w:rsid w:val="000D3AB4"/>
    <w:rsid w:val="000D5C3D"/>
    <w:rsid w:val="000E0F26"/>
    <w:rsid w:val="000E13CD"/>
    <w:rsid w:val="000E32F4"/>
    <w:rsid w:val="000E507F"/>
    <w:rsid w:val="000F2D54"/>
    <w:rsid w:val="000F494F"/>
    <w:rsid w:val="000F5F30"/>
    <w:rsid w:val="000F663C"/>
    <w:rsid w:val="00105683"/>
    <w:rsid w:val="0010797B"/>
    <w:rsid w:val="00107F88"/>
    <w:rsid w:val="00112FFA"/>
    <w:rsid w:val="00116B60"/>
    <w:rsid w:val="00116E68"/>
    <w:rsid w:val="0011717A"/>
    <w:rsid w:val="00121929"/>
    <w:rsid w:val="00124603"/>
    <w:rsid w:val="00131230"/>
    <w:rsid w:val="0013252C"/>
    <w:rsid w:val="001330FE"/>
    <w:rsid w:val="001335F9"/>
    <w:rsid w:val="0013575D"/>
    <w:rsid w:val="00137C73"/>
    <w:rsid w:val="00140194"/>
    <w:rsid w:val="00140535"/>
    <w:rsid w:val="00141727"/>
    <w:rsid w:val="00141E43"/>
    <w:rsid w:val="00143B15"/>
    <w:rsid w:val="00146769"/>
    <w:rsid w:val="00146B9B"/>
    <w:rsid w:val="00146EE5"/>
    <w:rsid w:val="00146F86"/>
    <w:rsid w:val="001512D2"/>
    <w:rsid w:val="00155C2D"/>
    <w:rsid w:val="00156018"/>
    <w:rsid w:val="00156640"/>
    <w:rsid w:val="00160602"/>
    <w:rsid w:val="00161B30"/>
    <w:rsid w:val="00163794"/>
    <w:rsid w:val="001645A1"/>
    <w:rsid w:val="00167868"/>
    <w:rsid w:val="00173126"/>
    <w:rsid w:val="00174834"/>
    <w:rsid w:val="001768F5"/>
    <w:rsid w:val="001806E5"/>
    <w:rsid w:val="00180787"/>
    <w:rsid w:val="00180DB8"/>
    <w:rsid w:val="0018176F"/>
    <w:rsid w:val="001832DB"/>
    <w:rsid w:val="00183479"/>
    <w:rsid w:val="00183D7D"/>
    <w:rsid w:val="00184269"/>
    <w:rsid w:val="00185ACD"/>
    <w:rsid w:val="0018641D"/>
    <w:rsid w:val="00186632"/>
    <w:rsid w:val="00187D57"/>
    <w:rsid w:val="0019296C"/>
    <w:rsid w:val="00193083"/>
    <w:rsid w:val="001946B1"/>
    <w:rsid w:val="00196281"/>
    <w:rsid w:val="001A2893"/>
    <w:rsid w:val="001A2C23"/>
    <w:rsid w:val="001A33C4"/>
    <w:rsid w:val="001A4CE8"/>
    <w:rsid w:val="001A652F"/>
    <w:rsid w:val="001A6B12"/>
    <w:rsid w:val="001B0DF5"/>
    <w:rsid w:val="001B226F"/>
    <w:rsid w:val="001B7277"/>
    <w:rsid w:val="001C0E12"/>
    <w:rsid w:val="001C1C4C"/>
    <w:rsid w:val="001C2BF8"/>
    <w:rsid w:val="001C3169"/>
    <w:rsid w:val="001C5FBF"/>
    <w:rsid w:val="001C6173"/>
    <w:rsid w:val="001C6B31"/>
    <w:rsid w:val="001C7C99"/>
    <w:rsid w:val="001D0F4C"/>
    <w:rsid w:val="001D2343"/>
    <w:rsid w:val="001D3CF9"/>
    <w:rsid w:val="001D4E24"/>
    <w:rsid w:val="001D7850"/>
    <w:rsid w:val="001E3C2C"/>
    <w:rsid w:val="001E44D9"/>
    <w:rsid w:val="001E5175"/>
    <w:rsid w:val="001E77D2"/>
    <w:rsid w:val="001F01C6"/>
    <w:rsid w:val="001F0555"/>
    <w:rsid w:val="001F0724"/>
    <w:rsid w:val="001F12F1"/>
    <w:rsid w:val="001F18B9"/>
    <w:rsid w:val="001F1C08"/>
    <w:rsid w:val="001F491D"/>
    <w:rsid w:val="001F54AE"/>
    <w:rsid w:val="001F588C"/>
    <w:rsid w:val="0020056C"/>
    <w:rsid w:val="00200834"/>
    <w:rsid w:val="00200AE1"/>
    <w:rsid w:val="00201DDA"/>
    <w:rsid w:val="00207E84"/>
    <w:rsid w:val="00210C18"/>
    <w:rsid w:val="00212737"/>
    <w:rsid w:val="002130FA"/>
    <w:rsid w:val="002133D4"/>
    <w:rsid w:val="002136A9"/>
    <w:rsid w:val="00213CEE"/>
    <w:rsid w:val="00214259"/>
    <w:rsid w:val="002147E3"/>
    <w:rsid w:val="00217412"/>
    <w:rsid w:val="00217D4C"/>
    <w:rsid w:val="00220794"/>
    <w:rsid w:val="00220BB1"/>
    <w:rsid w:val="00220DAE"/>
    <w:rsid w:val="00222388"/>
    <w:rsid w:val="00224E3D"/>
    <w:rsid w:val="0022539F"/>
    <w:rsid w:val="00230BDD"/>
    <w:rsid w:val="002313DF"/>
    <w:rsid w:val="002325C2"/>
    <w:rsid w:val="00234992"/>
    <w:rsid w:val="0023535A"/>
    <w:rsid w:val="00235CD0"/>
    <w:rsid w:val="00235D71"/>
    <w:rsid w:val="00237393"/>
    <w:rsid w:val="00237F11"/>
    <w:rsid w:val="00240362"/>
    <w:rsid w:val="002425AE"/>
    <w:rsid w:val="00242B00"/>
    <w:rsid w:val="00242CE1"/>
    <w:rsid w:val="00244E77"/>
    <w:rsid w:val="002520BE"/>
    <w:rsid w:val="0025414F"/>
    <w:rsid w:val="00254197"/>
    <w:rsid w:val="00257A86"/>
    <w:rsid w:val="00260D49"/>
    <w:rsid w:val="00262A6E"/>
    <w:rsid w:val="00264538"/>
    <w:rsid w:val="00264608"/>
    <w:rsid w:val="00264B5A"/>
    <w:rsid w:val="00265DF4"/>
    <w:rsid w:val="00267E3B"/>
    <w:rsid w:val="00270A3C"/>
    <w:rsid w:val="00273C9D"/>
    <w:rsid w:val="00274A99"/>
    <w:rsid w:val="00275511"/>
    <w:rsid w:val="00275A01"/>
    <w:rsid w:val="0027633F"/>
    <w:rsid w:val="0027686E"/>
    <w:rsid w:val="00276D5A"/>
    <w:rsid w:val="00281F74"/>
    <w:rsid w:val="00282BCF"/>
    <w:rsid w:val="00283D38"/>
    <w:rsid w:val="00284194"/>
    <w:rsid w:val="00284ECF"/>
    <w:rsid w:val="00285A16"/>
    <w:rsid w:val="00287C5C"/>
    <w:rsid w:val="002913DE"/>
    <w:rsid w:val="002921DA"/>
    <w:rsid w:val="00293A1B"/>
    <w:rsid w:val="00295D41"/>
    <w:rsid w:val="0029621A"/>
    <w:rsid w:val="0029788B"/>
    <w:rsid w:val="0029795A"/>
    <w:rsid w:val="002A0079"/>
    <w:rsid w:val="002A4736"/>
    <w:rsid w:val="002A47BD"/>
    <w:rsid w:val="002A62C4"/>
    <w:rsid w:val="002A6528"/>
    <w:rsid w:val="002A7367"/>
    <w:rsid w:val="002A793A"/>
    <w:rsid w:val="002B0F73"/>
    <w:rsid w:val="002B124E"/>
    <w:rsid w:val="002B4501"/>
    <w:rsid w:val="002B4930"/>
    <w:rsid w:val="002B6789"/>
    <w:rsid w:val="002C2239"/>
    <w:rsid w:val="002D0B54"/>
    <w:rsid w:val="002D1CAB"/>
    <w:rsid w:val="002D35CA"/>
    <w:rsid w:val="002D5CB4"/>
    <w:rsid w:val="002E220A"/>
    <w:rsid w:val="002E2D22"/>
    <w:rsid w:val="002E3F06"/>
    <w:rsid w:val="002E4C44"/>
    <w:rsid w:val="002E638C"/>
    <w:rsid w:val="002E766D"/>
    <w:rsid w:val="002F09FD"/>
    <w:rsid w:val="002F1332"/>
    <w:rsid w:val="002F2D1B"/>
    <w:rsid w:val="002F2D7D"/>
    <w:rsid w:val="002F3137"/>
    <w:rsid w:val="002F4597"/>
    <w:rsid w:val="002F4823"/>
    <w:rsid w:val="002F7E0C"/>
    <w:rsid w:val="00301F85"/>
    <w:rsid w:val="00302B40"/>
    <w:rsid w:val="00303985"/>
    <w:rsid w:val="00305B7A"/>
    <w:rsid w:val="0031031A"/>
    <w:rsid w:val="0031335B"/>
    <w:rsid w:val="00313F27"/>
    <w:rsid w:val="00314A61"/>
    <w:rsid w:val="00321AC9"/>
    <w:rsid w:val="0032470C"/>
    <w:rsid w:val="00326FDA"/>
    <w:rsid w:val="00327010"/>
    <w:rsid w:val="00327D87"/>
    <w:rsid w:val="0033051D"/>
    <w:rsid w:val="00330AEF"/>
    <w:rsid w:val="003310FE"/>
    <w:rsid w:val="003325AC"/>
    <w:rsid w:val="003363BD"/>
    <w:rsid w:val="00340783"/>
    <w:rsid w:val="00344B4A"/>
    <w:rsid w:val="00346023"/>
    <w:rsid w:val="00347DE0"/>
    <w:rsid w:val="0035056F"/>
    <w:rsid w:val="00350E43"/>
    <w:rsid w:val="00355D3D"/>
    <w:rsid w:val="003606E2"/>
    <w:rsid w:val="00363CAC"/>
    <w:rsid w:val="0036489F"/>
    <w:rsid w:val="00367B0D"/>
    <w:rsid w:val="0037104D"/>
    <w:rsid w:val="003727B5"/>
    <w:rsid w:val="00374418"/>
    <w:rsid w:val="00374D2C"/>
    <w:rsid w:val="00374D63"/>
    <w:rsid w:val="00374F52"/>
    <w:rsid w:val="00375336"/>
    <w:rsid w:val="00384451"/>
    <w:rsid w:val="00384C15"/>
    <w:rsid w:val="00385FDA"/>
    <w:rsid w:val="0038638B"/>
    <w:rsid w:val="00386EBD"/>
    <w:rsid w:val="003876AD"/>
    <w:rsid w:val="00390AC7"/>
    <w:rsid w:val="00393C1B"/>
    <w:rsid w:val="003970CA"/>
    <w:rsid w:val="003A1705"/>
    <w:rsid w:val="003A2E78"/>
    <w:rsid w:val="003A3DE5"/>
    <w:rsid w:val="003A4BDF"/>
    <w:rsid w:val="003A4F9E"/>
    <w:rsid w:val="003A6235"/>
    <w:rsid w:val="003A705F"/>
    <w:rsid w:val="003A742E"/>
    <w:rsid w:val="003A762D"/>
    <w:rsid w:val="003B0A13"/>
    <w:rsid w:val="003B128B"/>
    <w:rsid w:val="003B159C"/>
    <w:rsid w:val="003B184D"/>
    <w:rsid w:val="003B3C17"/>
    <w:rsid w:val="003B4433"/>
    <w:rsid w:val="003B53B8"/>
    <w:rsid w:val="003C390E"/>
    <w:rsid w:val="003C45DB"/>
    <w:rsid w:val="003C5D51"/>
    <w:rsid w:val="003D3D7F"/>
    <w:rsid w:val="003D4E19"/>
    <w:rsid w:val="003D6678"/>
    <w:rsid w:val="003D6712"/>
    <w:rsid w:val="003D734F"/>
    <w:rsid w:val="003D7F8C"/>
    <w:rsid w:val="003E0508"/>
    <w:rsid w:val="003E33CB"/>
    <w:rsid w:val="003E373A"/>
    <w:rsid w:val="003E4CDE"/>
    <w:rsid w:val="003E524D"/>
    <w:rsid w:val="003E53AC"/>
    <w:rsid w:val="003E5E4B"/>
    <w:rsid w:val="003F0A4E"/>
    <w:rsid w:val="003F687A"/>
    <w:rsid w:val="003F6E40"/>
    <w:rsid w:val="003F7054"/>
    <w:rsid w:val="003F76C7"/>
    <w:rsid w:val="003F7A20"/>
    <w:rsid w:val="003F7E6C"/>
    <w:rsid w:val="00400CDA"/>
    <w:rsid w:val="0040291E"/>
    <w:rsid w:val="00403D3A"/>
    <w:rsid w:val="00404EC6"/>
    <w:rsid w:val="00406BEB"/>
    <w:rsid w:val="0042180C"/>
    <w:rsid w:val="004239DF"/>
    <w:rsid w:val="00425099"/>
    <w:rsid w:val="004265E4"/>
    <w:rsid w:val="00427670"/>
    <w:rsid w:val="004279E0"/>
    <w:rsid w:val="00427EAE"/>
    <w:rsid w:val="00431124"/>
    <w:rsid w:val="00432576"/>
    <w:rsid w:val="004338AE"/>
    <w:rsid w:val="0043575B"/>
    <w:rsid w:val="00436FA5"/>
    <w:rsid w:val="00437ABB"/>
    <w:rsid w:val="00441CCA"/>
    <w:rsid w:val="00441E82"/>
    <w:rsid w:val="00444E8A"/>
    <w:rsid w:val="004459E6"/>
    <w:rsid w:val="00452CB0"/>
    <w:rsid w:val="00455009"/>
    <w:rsid w:val="00456578"/>
    <w:rsid w:val="004569D3"/>
    <w:rsid w:val="00456BC9"/>
    <w:rsid w:val="0045782B"/>
    <w:rsid w:val="0046137A"/>
    <w:rsid w:val="004628D3"/>
    <w:rsid w:val="00467EE2"/>
    <w:rsid w:val="004708EE"/>
    <w:rsid w:val="0047130B"/>
    <w:rsid w:val="0047599A"/>
    <w:rsid w:val="00475D7B"/>
    <w:rsid w:val="00476FCB"/>
    <w:rsid w:val="00482218"/>
    <w:rsid w:val="00485777"/>
    <w:rsid w:val="00485A79"/>
    <w:rsid w:val="00485B5E"/>
    <w:rsid w:val="00486EF3"/>
    <w:rsid w:val="00486F72"/>
    <w:rsid w:val="00490AE5"/>
    <w:rsid w:val="00490D46"/>
    <w:rsid w:val="004910F7"/>
    <w:rsid w:val="004918F5"/>
    <w:rsid w:val="004952AB"/>
    <w:rsid w:val="00497B7B"/>
    <w:rsid w:val="004A3E47"/>
    <w:rsid w:val="004A47CD"/>
    <w:rsid w:val="004A51BF"/>
    <w:rsid w:val="004A6E9F"/>
    <w:rsid w:val="004A741E"/>
    <w:rsid w:val="004B0A41"/>
    <w:rsid w:val="004B2171"/>
    <w:rsid w:val="004B3952"/>
    <w:rsid w:val="004B6FF7"/>
    <w:rsid w:val="004B78C8"/>
    <w:rsid w:val="004B7CC4"/>
    <w:rsid w:val="004C0E1F"/>
    <w:rsid w:val="004C3C74"/>
    <w:rsid w:val="004C5DA8"/>
    <w:rsid w:val="004D0400"/>
    <w:rsid w:val="004D1CF4"/>
    <w:rsid w:val="004D2E73"/>
    <w:rsid w:val="004E1C71"/>
    <w:rsid w:val="004E2151"/>
    <w:rsid w:val="004E47B9"/>
    <w:rsid w:val="004E5ED9"/>
    <w:rsid w:val="004F0D9F"/>
    <w:rsid w:val="004F144F"/>
    <w:rsid w:val="004F4AA9"/>
    <w:rsid w:val="004F4E5F"/>
    <w:rsid w:val="004F67DC"/>
    <w:rsid w:val="004F6923"/>
    <w:rsid w:val="0050094A"/>
    <w:rsid w:val="00501AF1"/>
    <w:rsid w:val="00501C21"/>
    <w:rsid w:val="00510AF3"/>
    <w:rsid w:val="00511936"/>
    <w:rsid w:val="00511DBA"/>
    <w:rsid w:val="005137F8"/>
    <w:rsid w:val="00515C25"/>
    <w:rsid w:val="00516A8F"/>
    <w:rsid w:val="00516ACC"/>
    <w:rsid w:val="005250FB"/>
    <w:rsid w:val="00525323"/>
    <w:rsid w:val="00525C59"/>
    <w:rsid w:val="00525D1F"/>
    <w:rsid w:val="0052623E"/>
    <w:rsid w:val="00530F4F"/>
    <w:rsid w:val="00533565"/>
    <w:rsid w:val="005337C4"/>
    <w:rsid w:val="00537A16"/>
    <w:rsid w:val="005438CC"/>
    <w:rsid w:val="00543D5F"/>
    <w:rsid w:val="005442A9"/>
    <w:rsid w:val="00544DF5"/>
    <w:rsid w:val="00545756"/>
    <w:rsid w:val="005478A2"/>
    <w:rsid w:val="0055062B"/>
    <w:rsid w:val="0055252D"/>
    <w:rsid w:val="00554074"/>
    <w:rsid w:val="0055410E"/>
    <w:rsid w:val="00555049"/>
    <w:rsid w:val="005553A7"/>
    <w:rsid w:val="00555C98"/>
    <w:rsid w:val="005570D1"/>
    <w:rsid w:val="00557CF8"/>
    <w:rsid w:val="00560D3F"/>
    <w:rsid w:val="00562AC7"/>
    <w:rsid w:val="00562FE1"/>
    <w:rsid w:val="00564251"/>
    <w:rsid w:val="00564647"/>
    <w:rsid w:val="005658C7"/>
    <w:rsid w:val="00574201"/>
    <w:rsid w:val="00574324"/>
    <w:rsid w:val="0057571B"/>
    <w:rsid w:val="00580586"/>
    <w:rsid w:val="00580B45"/>
    <w:rsid w:val="00582754"/>
    <w:rsid w:val="005832A8"/>
    <w:rsid w:val="00584C04"/>
    <w:rsid w:val="00585E72"/>
    <w:rsid w:val="005862CF"/>
    <w:rsid w:val="00587A0F"/>
    <w:rsid w:val="00587A9C"/>
    <w:rsid w:val="00591351"/>
    <w:rsid w:val="005914BE"/>
    <w:rsid w:val="00592352"/>
    <w:rsid w:val="005943BC"/>
    <w:rsid w:val="005969E3"/>
    <w:rsid w:val="005A1A93"/>
    <w:rsid w:val="005A1BE5"/>
    <w:rsid w:val="005A4793"/>
    <w:rsid w:val="005A5256"/>
    <w:rsid w:val="005A52C4"/>
    <w:rsid w:val="005A79B1"/>
    <w:rsid w:val="005B0699"/>
    <w:rsid w:val="005B11FF"/>
    <w:rsid w:val="005B1F70"/>
    <w:rsid w:val="005B2F17"/>
    <w:rsid w:val="005B31E2"/>
    <w:rsid w:val="005B3B86"/>
    <w:rsid w:val="005B41AA"/>
    <w:rsid w:val="005B4F17"/>
    <w:rsid w:val="005B5831"/>
    <w:rsid w:val="005B5B10"/>
    <w:rsid w:val="005B63CC"/>
    <w:rsid w:val="005C153E"/>
    <w:rsid w:val="005C1B25"/>
    <w:rsid w:val="005C34CB"/>
    <w:rsid w:val="005C34FB"/>
    <w:rsid w:val="005C3977"/>
    <w:rsid w:val="005D0A3A"/>
    <w:rsid w:val="005D25E3"/>
    <w:rsid w:val="005D5B57"/>
    <w:rsid w:val="005D5F7E"/>
    <w:rsid w:val="005D658A"/>
    <w:rsid w:val="005D683E"/>
    <w:rsid w:val="005D6923"/>
    <w:rsid w:val="005D6E78"/>
    <w:rsid w:val="005D7369"/>
    <w:rsid w:val="005E1DAF"/>
    <w:rsid w:val="005E4EC1"/>
    <w:rsid w:val="005E57E0"/>
    <w:rsid w:val="005E5E0D"/>
    <w:rsid w:val="005E7419"/>
    <w:rsid w:val="005F1ED5"/>
    <w:rsid w:val="005F2A16"/>
    <w:rsid w:val="005F5E8A"/>
    <w:rsid w:val="005F664C"/>
    <w:rsid w:val="005F715A"/>
    <w:rsid w:val="006001C8"/>
    <w:rsid w:val="006019F9"/>
    <w:rsid w:val="0060216C"/>
    <w:rsid w:val="0060287B"/>
    <w:rsid w:val="0060458D"/>
    <w:rsid w:val="00605B6E"/>
    <w:rsid w:val="0060659E"/>
    <w:rsid w:val="00606FB0"/>
    <w:rsid w:val="00612634"/>
    <w:rsid w:val="0061358B"/>
    <w:rsid w:val="00613CC8"/>
    <w:rsid w:val="00616AAA"/>
    <w:rsid w:val="00617C33"/>
    <w:rsid w:val="00617CE6"/>
    <w:rsid w:val="00621D9C"/>
    <w:rsid w:val="0062270D"/>
    <w:rsid w:val="00632169"/>
    <w:rsid w:val="00633086"/>
    <w:rsid w:val="00633C4E"/>
    <w:rsid w:val="0063493F"/>
    <w:rsid w:val="0063719F"/>
    <w:rsid w:val="006373F7"/>
    <w:rsid w:val="0063795D"/>
    <w:rsid w:val="006416EE"/>
    <w:rsid w:val="00641759"/>
    <w:rsid w:val="006427DF"/>
    <w:rsid w:val="00645870"/>
    <w:rsid w:val="00646D88"/>
    <w:rsid w:val="00650995"/>
    <w:rsid w:val="00652A81"/>
    <w:rsid w:val="00654FFC"/>
    <w:rsid w:val="0065691C"/>
    <w:rsid w:val="0066499A"/>
    <w:rsid w:val="006709C8"/>
    <w:rsid w:val="00671BE0"/>
    <w:rsid w:val="00672564"/>
    <w:rsid w:val="00675CE6"/>
    <w:rsid w:val="00680683"/>
    <w:rsid w:val="00683D7A"/>
    <w:rsid w:val="0068747B"/>
    <w:rsid w:val="00695D94"/>
    <w:rsid w:val="00695FB0"/>
    <w:rsid w:val="00697FAA"/>
    <w:rsid w:val="006A03F8"/>
    <w:rsid w:val="006A04F1"/>
    <w:rsid w:val="006A10E3"/>
    <w:rsid w:val="006A15D6"/>
    <w:rsid w:val="006A4174"/>
    <w:rsid w:val="006A6186"/>
    <w:rsid w:val="006A6B23"/>
    <w:rsid w:val="006B05FE"/>
    <w:rsid w:val="006B18AD"/>
    <w:rsid w:val="006B198F"/>
    <w:rsid w:val="006B2541"/>
    <w:rsid w:val="006B367D"/>
    <w:rsid w:val="006B4F8C"/>
    <w:rsid w:val="006B5B52"/>
    <w:rsid w:val="006B5FCE"/>
    <w:rsid w:val="006B68E8"/>
    <w:rsid w:val="006B6C8A"/>
    <w:rsid w:val="006C32B6"/>
    <w:rsid w:val="006C3F0C"/>
    <w:rsid w:val="006C62DA"/>
    <w:rsid w:val="006D2725"/>
    <w:rsid w:val="006D4BD6"/>
    <w:rsid w:val="006D5586"/>
    <w:rsid w:val="006D5A02"/>
    <w:rsid w:val="006D5F96"/>
    <w:rsid w:val="006D6219"/>
    <w:rsid w:val="006D67E2"/>
    <w:rsid w:val="006E004A"/>
    <w:rsid w:val="006E058D"/>
    <w:rsid w:val="006E4262"/>
    <w:rsid w:val="006E5A92"/>
    <w:rsid w:val="006E5D7A"/>
    <w:rsid w:val="006F0846"/>
    <w:rsid w:val="006F1E40"/>
    <w:rsid w:val="006F62B1"/>
    <w:rsid w:val="006F6646"/>
    <w:rsid w:val="006F7CD5"/>
    <w:rsid w:val="00701328"/>
    <w:rsid w:val="0070459D"/>
    <w:rsid w:val="007047D4"/>
    <w:rsid w:val="00704A9C"/>
    <w:rsid w:val="00707026"/>
    <w:rsid w:val="00711AC9"/>
    <w:rsid w:val="00711B8D"/>
    <w:rsid w:val="00716AEB"/>
    <w:rsid w:val="00717AAC"/>
    <w:rsid w:val="00720807"/>
    <w:rsid w:val="00724ED8"/>
    <w:rsid w:val="00725267"/>
    <w:rsid w:val="00726543"/>
    <w:rsid w:val="007265C0"/>
    <w:rsid w:val="007268F1"/>
    <w:rsid w:val="00726931"/>
    <w:rsid w:val="00730476"/>
    <w:rsid w:val="00731D02"/>
    <w:rsid w:val="0073228A"/>
    <w:rsid w:val="00733732"/>
    <w:rsid w:val="00733ADB"/>
    <w:rsid w:val="00735052"/>
    <w:rsid w:val="00735217"/>
    <w:rsid w:val="00735AC6"/>
    <w:rsid w:val="00736BD3"/>
    <w:rsid w:val="0074117C"/>
    <w:rsid w:val="00741414"/>
    <w:rsid w:val="00743866"/>
    <w:rsid w:val="0074675E"/>
    <w:rsid w:val="00747A68"/>
    <w:rsid w:val="00747C37"/>
    <w:rsid w:val="00752266"/>
    <w:rsid w:val="00752C2B"/>
    <w:rsid w:val="0075395B"/>
    <w:rsid w:val="0075572F"/>
    <w:rsid w:val="007571E7"/>
    <w:rsid w:val="00760427"/>
    <w:rsid w:val="0076235A"/>
    <w:rsid w:val="007637B9"/>
    <w:rsid w:val="007663FD"/>
    <w:rsid w:val="007701C5"/>
    <w:rsid w:val="00771F5B"/>
    <w:rsid w:val="007735CF"/>
    <w:rsid w:val="00773D3A"/>
    <w:rsid w:val="007748ED"/>
    <w:rsid w:val="00780053"/>
    <w:rsid w:val="00783588"/>
    <w:rsid w:val="00783759"/>
    <w:rsid w:val="00783920"/>
    <w:rsid w:val="0078629D"/>
    <w:rsid w:val="0079048B"/>
    <w:rsid w:val="007925C4"/>
    <w:rsid w:val="00793AEB"/>
    <w:rsid w:val="0079556C"/>
    <w:rsid w:val="00796BC2"/>
    <w:rsid w:val="007A0D54"/>
    <w:rsid w:val="007A1CEE"/>
    <w:rsid w:val="007A2B35"/>
    <w:rsid w:val="007A5BCB"/>
    <w:rsid w:val="007A6CE3"/>
    <w:rsid w:val="007A7B67"/>
    <w:rsid w:val="007B17CE"/>
    <w:rsid w:val="007B266C"/>
    <w:rsid w:val="007B550E"/>
    <w:rsid w:val="007B67F9"/>
    <w:rsid w:val="007C65F6"/>
    <w:rsid w:val="007C6F6D"/>
    <w:rsid w:val="007D252F"/>
    <w:rsid w:val="007D5C39"/>
    <w:rsid w:val="007D7047"/>
    <w:rsid w:val="007E472C"/>
    <w:rsid w:val="007F0066"/>
    <w:rsid w:val="007F042B"/>
    <w:rsid w:val="007F2126"/>
    <w:rsid w:val="007F2939"/>
    <w:rsid w:val="007F42E8"/>
    <w:rsid w:val="007F4589"/>
    <w:rsid w:val="007F464A"/>
    <w:rsid w:val="007F62C9"/>
    <w:rsid w:val="007F67BD"/>
    <w:rsid w:val="0080136C"/>
    <w:rsid w:val="0080356E"/>
    <w:rsid w:val="00803A65"/>
    <w:rsid w:val="00805564"/>
    <w:rsid w:val="008100A7"/>
    <w:rsid w:val="00811433"/>
    <w:rsid w:val="00811E72"/>
    <w:rsid w:val="00813282"/>
    <w:rsid w:val="00814FAC"/>
    <w:rsid w:val="00815E6D"/>
    <w:rsid w:val="008161F2"/>
    <w:rsid w:val="00816603"/>
    <w:rsid w:val="00816867"/>
    <w:rsid w:val="00816ED7"/>
    <w:rsid w:val="0082235A"/>
    <w:rsid w:val="00822ACB"/>
    <w:rsid w:val="008240E2"/>
    <w:rsid w:val="00826C9B"/>
    <w:rsid w:val="00827448"/>
    <w:rsid w:val="0082781A"/>
    <w:rsid w:val="0083191D"/>
    <w:rsid w:val="00840E60"/>
    <w:rsid w:val="00843194"/>
    <w:rsid w:val="008434D5"/>
    <w:rsid w:val="00843E9C"/>
    <w:rsid w:val="0084537E"/>
    <w:rsid w:val="00846D2E"/>
    <w:rsid w:val="00850473"/>
    <w:rsid w:val="00850956"/>
    <w:rsid w:val="008512FC"/>
    <w:rsid w:val="008513B0"/>
    <w:rsid w:val="0085231A"/>
    <w:rsid w:val="00852E28"/>
    <w:rsid w:val="008532AB"/>
    <w:rsid w:val="00853A9D"/>
    <w:rsid w:val="008566B3"/>
    <w:rsid w:val="00861A93"/>
    <w:rsid w:val="008634A7"/>
    <w:rsid w:val="00867995"/>
    <w:rsid w:val="00867FA0"/>
    <w:rsid w:val="00873DD7"/>
    <w:rsid w:val="0087480B"/>
    <w:rsid w:val="008800EE"/>
    <w:rsid w:val="008803EF"/>
    <w:rsid w:val="00880D2E"/>
    <w:rsid w:val="00880E11"/>
    <w:rsid w:val="00882663"/>
    <w:rsid w:val="00882D20"/>
    <w:rsid w:val="008850E3"/>
    <w:rsid w:val="00885297"/>
    <w:rsid w:val="00885602"/>
    <w:rsid w:val="008864B9"/>
    <w:rsid w:val="008903F5"/>
    <w:rsid w:val="00890598"/>
    <w:rsid w:val="008925B0"/>
    <w:rsid w:val="00894E14"/>
    <w:rsid w:val="008964DC"/>
    <w:rsid w:val="0089755A"/>
    <w:rsid w:val="00897B0A"/>
    <w:rsid w:val="008A0AAC"/>
    <w:rsid w:val="008A581B"/>
    <w:rsid w:val="008A6B3D"/>
    <w:rsid w:val="008A78C6"/>
    <w:rsid w:val="008B22E8"/>
    <w:rsid w:val="008B2887"/>
    <w:rsid w:val="008B38C5"/>
    <w:rsid w:val="008B4F11"/>
    <w:rsid w:val="008B6D5B"/>
    <w:rsid w:val="008C0F65"/>
    <w:rsid w:val="008C40AF"/>
    <w:rsid w:val="008C4918"/>
    <w:rsid w:val="008C504C"/>
    <w:rsid w:val="008D0977"/>
    <w:rsid w:val="008D1887"/>
    <w:rsid w:val="008D30DA"/>
    <w:rsid w:val="008D401B"/>
    <w:rsid w:val="008D4D16"/>
    <w:rsid w:val="008D5C49"/>
    <w:rsid w:val="008D64F2"/>
    <w:rsid w:val="008D7B9E"/>
    <w:rsid w:val="008D7C97"/>
    <w:rsid w:val="008E6354"/>
    <w:rsid w:val="008F4058"/>
    <w:rsid w:val="008F6E22"/>
    <w:rsid w:val="00900719"/>
    <w:rsid w:val="00901FEC"/>
    <w:rsid w:val="00902E46"/>
    <w:rsid w:val="00910D73"/>
    <w:rsid w:val="009146F9"/>
    <w:rsid w:val="00922A27"/>
    <w:rsid w:val="009247FB"/>
    <w:rsid w:val="00924FFC"/>
    <w:rsid w:val="00926592"/>
    <w:rsid w:val="009273D6"/>
    <w:rsid w:val="00930858"/>
    <w:rsid w:val="00931FB1"/>
    <w:rsid w:val="009333CE"/>
    <w:rsid w:val="00934869"/>
    <w:rsid w:val="009364A5"/>
    <w:rsid w:val="00940B41"/>
    <w:rsid w:val="00941DCF"/>
    <w:rsid w:val="0094227A"/>
    <w:rsid w:val="00942908"/>
    <w:rsid w:val="00942F0A"/>
    <w:rsid w:val="00943D36"/>
    <w:rsid w:val="00945C7F"/>
    <w:rsid w:val="009477FA"/>
    <w:rsid w:val="009516A0"/>
    <w:rsid w:val="0095260A"/>
    <w:rsid w:val="009534FA"/>
    <w:rsid w:val="0095419C"/>
    <w:rsid w:val="009556A0"/>
    <w:rsid w:val="00956432"/>
    <w:rsid w:val="009579B3"/>
    <w:rsid w:val="00960ED6"/>
    <w:rsid w:val="00960F28"/>
    <w:rsid w:val="00963323"/>
    <w:rsid w:val="00966075"/>
    <w:rsid w:val="00966D8A"/>
    <w:rsid w:val="00967310"/>
    <w:rsid w:val="00967D71"/>
    <w:rsid w:val="009708A4"/>
    <w:rsid w:val="00970F61"/>
    <w:rsid w:val="00974A52"/>
    <w:rsid w:val="00975215"/>
    <w:rsid w:val="009755F8"/>
    <w:rsid w:val="009826F3"/>
    <w:rsid w:val="009829CF"/>
    <w:rsid w:val="009842CA"/>
    <w:rsid w:val="0099010E"/>
    <w:rsid w:val="009937C3"/>
    <w:rsid w:val="00995A08"/>
    <w:rsid w:val="009970EA"/>
    <w:rsid w:val="009A5DDD"/>
    <w:rsid w:val="009A62CC"/>
    <w:rsid w:val="009A66CA"/>
    <w:rsid w:val="009B0687"/>
    <w:rsid w:val="009B0D7B"/>
    <w:rsid w:val="009B3775"/>
    <w:rsid w:val="009B5105"/>
    <w:rsid w:val="009B5B3D"/>
    <w:rsid w:val="009C0704"/>
    <w:rsid w:val="009C0DF7"/>
    <w:rsid w:val="009C1BB1"/>
    <w:rsid w:val="009C24A1"/>
    <w:rsid w:val="009C278B"/>
    <w:rsid w:val="009C2B19"/>
    <w:rsid w:val="009C6738"/>
    <w:rsid w:val="009C6A9F"/>
    <w:rsid w:val="009D0824"/>
    <w:rsid w:val="009D6C3A"/>
    <w:rsid w:val="009D78CE"/>
    <w:rsid w:val="009D7ED6"/>
    <w:rsid w:val="009E34D8"/>
    <w:rsid w:val="009E4CA1"/>
    <w:rsid w:val="009E55E0"/>
    <w:rsid w:val="009E6BB6"/>
    <w:rsid w:val="009F0154"/>
    <w:rsid w:val="009F20C7"/>
    <w:rsid w:val="009F246D"/>
    <w:rsid w:val="009F5DAB"/>
    <w:rsid w:val="00A016F1"/>
    <w:rsid w:val="00A0195D"/>
    <w:rsid w:val="00A0490F"/>
    <w:rsid w:val="00A04B3A"/>
    <w:rsid w:val="00A0525B"/>
    <w:rsid w:val="00A076CC"/>
    <w:rsid w:val="00A10CC4"/>
    <w:rsid w:val="00A12C97"/>
    <w:rsid w:val="00A131C4"/>
    <w:rsid w:val="00A14760"/>
    <w:rsid w:val="00A15686"/>
    <w:rsid w:val="00A17C8E"/>
    <w:rsid w:val="00A17D30"/>
    <w:rsid w:val="00A20B82"/>
    <w:rsid w:val="00A21A9C"/>
    <w:rsid w:val="00A24C6B"/>
    <w:rsid w:val="00A25A72"/>
    <w:rsid w:val="00A26924"/>
    <w:rsid w:val="00A26D84"/>
    <w:rsid w:val="00A2782E"/>
    <w:rsid w:val="00A30BFD"/>
    <w:rsid w:val="00A3110B"/>
    <w:rsid w:val="00A31C9C"/>
    <w:rsid w:val="00A34194"/>
    <w:rsid w:val="00A4021D"/>
    <w:rsid w:val="00A403ED"/>
    <w:rsid w:val="00A42B05"/>
    <w:rsid w:val="00A42E73"/>
    <w:rsid w:val="00A43D59"/>
    <w:rsid w:val="00A45A34"/>
    <w:rsid w:val="00A47DE1"/>
    <w:rsid w:val="00A51190"/>
    <w:rsid w:val="00A53398"/>
    <w:rsid w:val="00A53861"/>
    <w:rsid w:val="00A55CE5"/>
    <w:rsid w:val="00A57D5C"/>
    <w:rsid w:val="00A659F1"/>
    <w:rsid w:val="00A66C02"/>
    <w:rsid w:val="00A7238F"/>
    <w:rsid w:val="00A730B7"/>
    <w:rsid w:val="00A734A6"/>
    <w:rsid w:val="00A76B1C"/>
    <w:rsid w:val="00A77510"/>
    <w:rsid w:val="00A8125A"/>
    <w:rsid w:val="00A823B3"/>
    <w:rsid w:val="00A834BA"/>
    <w:rsid w:val="00A83DC5"/>
    <w:rsid w:val="00A84250"/>
    <w:rsid w:val="00A85BF3"/>
    <w:rsid w:val="00A866BF"/>
    <w:rsid w:val="00A92072"/>
    <w:rsid w:val="00A9257D"/>
    <w:rsid w:val="00A927C5"/>
    <w:rsid w:val="00A94D76"/>
    <w:rsid w:val="00AA2698"/>
    <w:rsid w:val="00AA2D29"/>
    <w:rsid w:val="00AA4108"/>
    <w:rsid w:val="00AA4A62"/>
    <w:rsid w:val="00AA5846"/>
    <w:rsid w:val="00AA73A7"/>
    <w:rsid w:val="00AB3D8F"/>
    <w:rsid w:val="00AB6FA0"/>
    <w:rsid w:val="00AB7095"/>
    <w:rsid w:val="00AC0470"/>
    <w:rsid w:val="00AC1E89"/>
    <w:rsid w:val="00AC27B9"/>
    <w:rsid w:val="00AD2F25"/>
    <w:rsid w:val="00AD3648"/>
    <w:rsid w:val="00AD4FD9"/>
    <w:rsid w:val="00AD5B92"/>
    <w:rsid w:val="00AD6F1A"/>
    <w:rsid w:val="00AD6F4E"/>
    <w:rsid w:val="00AD7708"/>
    <w:rsid w:val="00AD7B55"/>
    <w:rsid w:val="00AE4BED"/>
    <w:rsid w:val="00AE4C0F"/>
    <w:rsid w:val="00AE55C8"/>
    <w:rsid w:val="00AE7764"/>
    <w:rsid w:val="00AF059D"/>
    <w:rsid w:val="00AF093F"/>
    <w:rsid w:val="00AF4426"/>
    <w:rsid w:val="00AF51DA"/>
    <w:rsid w:val="00AF6D84"/>
    <w:rsid w:val="00AF72F2"/>
    <w:rsid w:val="00B0181A"/>
    <w:rsid w:val="00B05AE5"/>
    <w:rsid w:val="00B066E3"/>
    <w:rsid w:val="00B131F2"/>
    <w:rsid w:val="00B2188C"/>
    <w:rsid w:val="00B23465"/>
    <w:rsid w:val="00B2364A"/>
    <w:rsid w:val="00B23DBD"/>
    <w:rsid w:val="00B24877"/>
    <w:rsid w:val="00B25D98"/>
    <w:rsid w:val="00B2694C"/>
    <w:rsid w:val="00B27592"/>
    <w:rsid w:val="00B31936"/>
    <w:rsid w:val="00B32306"/>
    <w:rsid w:val="00B33A46"/>
    <w:rsid w:val="00B34831"/>
    <w:rsid w:val="00B35023"/>
    <w:rsid w:val="00B35A09"/>
    <w:rsid w:val="00B40BD7"/>
    <w:rsid w:val="00B40CB9"/>
    <w:rsid w:val="00B42955"/>
    <w:rsid w:val="00B43F61"/>
    <w:rsid w:val="00B47023"/>
    <w:rsid w:val="00B47D71"/>
    <w:rsid w:val="00B50661"/>
    <w:rsid w:val="00B52288"/>
    <w:rsid w:val="00B56F95"/>
    <w:rsid w:val="00B64AA8"/>
    <w:rsid w:val="00B66290"/>
    <w:rsid w:val="00B7276D"/>
    <w:rsid w:val="00B72D8C"/>
    <w:rsid w:val="00B75B20"/>
    <w:rsid w:val="00B776B7"/>
    <w:rsid w:val="00B77E5D"/>
    <w:rsid w:val="00B806B7"/>
    <w:rsid w:val="00B80D1C"/>
    <w:rsid w:val="00B81598"/>
    <w:rsid w:val="00B81A51"/>
    <w:rsid w:val="00B82323"/>
    <w:rsid w:val="00B85C64"/>
    <w:rsid w:val="00B85CC9"/>
    <w:rsid w:val="00B905EE"/>
    <w:rsid w:val="00B92711"/>
    <w:rsid w:val="00B93233"/>
    <w:rsid w:val="00B939FE"/>
    <w:rsid w:val="00B948BE"/>
    <w:rsid w:val="00B95CDA"/>
    <w:rsid w:val="00B97A86"/>
    <w:rsid w:val="00BA1FA8"/>
    <w:rsid w:val="00BA2C54"/>
    <w:rsid w:val="00BA34FA"/>
    <w:rsid w:val="00BA4DC3"/>
    <w:rsid w:val="00BA67F6"/>
    <w:rsid w:val="00BA72A0"/>
    <w:rsid w:val="00BA72EE"/>
    <w:rsid w:val="00BA74FA"/>
    <w:rsid w:val="00BB0CEF"/>
    <w:rsid w:val="00BB2660"/>
    <w:rsid w:val="00BB2E25"/>
    <w:rsid w:val="00BB36E9"/>
    <w:rsid w:val="00BB39A6"/>
    <w:rsid w:val="00BB4C70"/>
    <w:rsid w:val="00BB59DF"/>
    <w:rsid w:val="00BB7125"/>
    <w:rsid w:val="00BC01CD"/>
    <w:rsid w:val="00BC16B6"/>
    <w:rsid w:val="00BC1A7E"/>
    <w:rsid w:val="00BC3D0E"/>
    <w:rsid w:val="00BC574A"/>
    <w:rsid w:val="00BC6893"/>
    <w:rsid w:val="00BD0EB3"/>
    <w:rsid w:val="00BD122B"/>
    <w:rsid w:val="00BD161B"/>
    <w:rsid w:val="00BD3F43"/>
    <w:rsid w:val="00BE108C"/>
    <w:rsid w:val="00BE10C4"/>
    <w:rsid w:val="00BE2167"/>
    <w:rsid w:val="00BE3336"/>
    <w:rsid w:val="00BE38DD"/>
    <w:rsid w:val="00BE4503"/>
    <w:rsid w:val="00BE651B"/>
    <w:rsid w:val="00BE6DBE"/>
    <w:rsid w:val="00BE7E21"/>
    <w:rsid w:val="00BF1907"/>
    <w:rsid w:val="00BF27A8"/>
    <w:rsid w:val="00BF33F9"/>
    <w:rsid w:val="00BF3AAB"/>
    <w:rsid w:val="00BF4DB4"/>
    <w:rsid w:val="00BF5FE0"/>
    <w:rsid w:val="00C006C1"/>
    <w:rsid w:val="00C01195"/>
    <w:rsid w:val="00C04E33"/>
    <w:rsid w:val="00C051F8"/>
    <w:rsid w:val="00C05FBE"/>
    <w:rsid w:val="00C07138"/>
    <w:rsid w:val="00C077E3"/>
    <w:rsid w:val="00C113B0"/>
    <w:rsid w:val="00C11A8E"/>
    <w:rsid w:val="00C12F3C"/>
    <w:rsid w:val="00C134ED"/>
    <w:rsid w:val="00C1412B"/>
    <w:rsid w:val="00C15DA9"/>
    <w:rsid w:val="00C168A2"/>
    <w:rsid w:val="00C20989"/>
    <w:rsid w:val="00C21FB5"/>
    <w:rsid w:val="00C24025"/>
    <w:rsid w:val="00C24338"/>
    <w:rsid w:val="00C26BE4"/>
    <w:rsid w:val="00C30E65"/>
    <w:rsid w:val="00C31761"/>
    <w:rsid w:val="00C31E2E"/>
    <w:rsid w:val="00C34E8B"/>
    <w:rsid w:val="00C373FF"/>
    <w:rsid w:val="00C4041D"/>
    <w:rsid w:val="00C4079F"/>
    <w:rsid w:val="00C43024"/>
    <w:rsid w:val="00C43BC3"/>
    <w:rsid w:val="00C45807"/>
    <w:rsid w:val="00C45BC7"/>
    <w:rsid w:val="00C474D9"/>
    <w:rsid w:val="00C510B6"/>
    <w:rsid w:val="00C51A0A"/>
    <w:rsid w:val="00C569E6"/>
    <w:rsid w:val="00C573FD"/>
    <w:rsid w:val="00C57E22"/>
    <w:rsid w:val="00C60FA8"/>
    <w:rsid w:val="00C620C3"/>
    <w:rsid w:val="00C6515B"/>
    <w:rsid w:val="00C659E5"/>
    <w:rsid w:val="00C708E6"/>
    <w:rsid w:val="00C71E8E"/>
    <w:rsid w:val="00C71EEF"/>
    <w:rsid w:val="00C7263E"/>
    <w:rsid w:val="00C72C60"/>
    <w:rsid w:val="00C732B4"/>
    <w:rsid w:val="00C73F57"/>
    <w:rsid w:val="00C74EF0"/>
    <w:rsid w:val="00C76968"/>
    <w:rsid w:val="00C80960"/>
    <w:rsid w:val="00C818CB"/>
    <w:rsid w:val="00C83033"/>
    <w:rsid w:val="00C8438C"/>
    <w:rsid w:val="00C849D7"/>
    <w:rsid w:val="00C87750"/>
    <w:rsid w:val="00C87C6E"/>
    <w:rsid w:val="00C97202"/>
    <w:rsid w:val="00CA13B5"/>
    <w:rsid w:val="00CA17BD"/>
    <w:rsid w:val="00CA2AFC"/>
    <w:rsid w:val="00CA2C70"/>
    <w:rsid w:val="00CA329E"/>
    <w:rsid w:val="00CA3D3C"/>
    <w:rsid w:val="00CA43B9"/>
    <w:rsid w:val="00CA4AA9"/>
    <w:rsid w:val="00CA7952"/>
    <w:rsid w:val="00CA7CBA"/>
    <w:rsid w:val="00CB3723"/>
    <w:rsid w:val="00CB3B4A"/>
    <w:rsid w:val="00CB406A"/>
    <w:rsid w:val="00CB54E2"/>
    <w:rsid w:val="00CB574D"/>
    <w:rsid w:val="00CC27F5"/>
    <w:rsid w:val="00CC28FD"/>
    <w:rsid w:val="00CC4A93"/>
    <w:rsid w:val="00CC5D0A"/>
    <w:rsid w:val="00CC7DBF"/>
    <w:rsid w:val="00CD09E0"/>
    <w:rsid w:val="00CD27E6"/>
    <w:rsid w:val="00CD3F4C"/>
    <w:rsid w:val="00CD4D71"/>
    <w:rsid w:val="00CD66CE"/>
    <w:rsid w:val="00CD6BD4"/>
    <w:rsid w:val="00CE1D38"/>
    <w:rsid w:val="00CE27D3"/>
    <w:rsid w:val="00CE3F9A"/>
    <w:rsid w:val="00CE4004"/>
    <w:rsid w:val="00CF1B1F"/>
    <w:rsid w:val="00CF5F0B"/>
    <w:rsid w:val="00CF619B"/>
    <w:rsid w:val="00CF6270"/>
    <w:rsid w:val="00CF73F9"/>
    <w:rsid w:val="00D0626C"/>
    <w:rsid w:val="00D11EEE"/>
    <w:rsid w:val="00D139F9"/>
    <w:rsid w:val="00D142D5"/>
    <w:rsid w:val="00D1556E"/>
    <w:rsid w:val="00D16EE1"/>
    <w:rsid w:val="00D17A86"/>
    <w:rsid w:val="00D17B2F"/>
    <w:rsid w:val="00D21902"/>
    <w:rsid w:val="00D248F0"/>
    <w:rsid w:val="00D273CD"/>
    <w:rsid w:val="00D31BDA"/>
    <w:rsid w:val="00D32416"/>
    <w:rsid w:val="00D326CF"/>
    <w:rsid w:val="00D34725"/>
    <w:rsid w:val="00D35496"/>
    <w:rsid w:val="00D36EBA"/>
    <w:rsid w:val="00D37567"/>
    <w:rsid w:val="00D378CA"/>
    <w:rsid w:val="00D407D7"/>
    <w:rsid w:val="00D415A1"/>
    <w:rsid w:val="00D4209A"/>
    <w:rsid w:val="00D42940"/>
    <w:rsid w:val="00D43610"/>
    <w:rsid w:val="00D44BE6"/>
    <w:rsid w:val="00D45311"/>
    <w:rsid w:val="00D4545C"/>
    <w:rsid w:val="00D471ED"/>
    <w:rsid w:val="00D4734D"/>
    <w:rsid w:val="00D50F17"/>
    <w:rsid w:val="00D53276"/>
    <w:rsid w:val="00D555AE"/>
    <w:rsid w:val="00D60540"/>
    <w:rsid w:val="00D60F72"/>
    <w:rsid w:val="00D61792"/>
    <w:rsid w:val="00D627E9"/>
    <w:rsid w:val="00D63E81"/>
    <w:rsid w:val="00D65D58"/>
    <w:rsid w:val="00D65E66"/>
    <w:rsid w:val="00D66621"/>
    <w:rsid w:val="00D702AC"/>
    <w:rsid w:val="00D70AF4"/>
    <w:rsid w:val="00D74150"/>
    <w:rsid w:val="00D75D5B"/>
    <w:rsid w:val="00D80242"/>
    <w:rsid w:val="00D8109E"/>
    <w:rsid w:val="00D82966"/>
    <w:rsid w:val="00D82AE8"/>
    <w:rsid w:val="00D82CA9"/>
    <w:rsid w:val="00D82D5C"/>
    <w:rsid w:val="00D83486"/>
    <w:rsid w:val="00D84962"/>
    <w:rsid w:val="00D86EBC"/>
    <w:rsid w:val="00D92D8E"/>
    <w:rsid w:val="00D92EAF"/>
    <w:rsid w:val="00D940C2"/>
    <w:rsid w:val="00D950BD"/>
    <w:rsid w:val="00D96F11"/>
    <w:rsid w:val="00D97C52"/>
    <w:rsid w:val="00DB0812"/>
    <w:rsid w:val="00DB0D7D"/>
    <w:rsid w:val="00DB1087"/>
    <w:rsid w:val="00DB1986"/>
    <w:rsid w:val="00DB1DAD"/>
    <w:rsid w:val="00DB40DC"/>
    <w:rsid w:val="00DB67BA"/>
    <w:rsid w:val="00DB6FF6"/>
    <w:rsid w:val="00DB75B4"/>
    <w:rsid w:val="00DC72D6"/>
    <w:rsid w:val="00DD10E5"/>
    <w:rsid w:val="00DD3017"/>
    <w:rsid w:val="00DD468F"/>
    <w:rsid w:val="00DD60F7"/>
    <w:rsid w:val="00DD6F51"/>
    <w:rsid w:val="00DD767D"/>
    <w:rsid w:val="00DE4552"/>
    <w:rsid w:val="00DF0DAE"/>
    <w:rsid w:val="00DF39E7"/>
    <w:rsid w:val="00DF4711"/>
    <w:rsid w:val="00DF626D"/>
    <w:rsid w:val="00DF6BFF"/>
    <w:rsid w:val="00DF7CEF"/>
    <w:rsid w:val="00E01EE4"/>
    <w:rsid w:val="00E02243"/>
    <w:rsid w:val="00E03A4E"/>
    <w:rsid w:val="00E040C8"/>
    <w:rsid w:val="00E06A4D"/>
    <w:rsid w:val="00E10707"/>
    <w:rsid w:val="00E12334"/>
    <w:rsid w:val="00E1287E"/>
    <w:rsid w:val="00E12903"/>
    <w:rsid w:val="00E13245"/>
    <w:rsid w:val="00E161AE"/>
    <w:rsid w:val="00E174E0"/>
    <w:rsid w:val="00E22E12"/>
    <w:rsid w:val="00E23E1B"/>
    <w:rsid w:val="00E245A0"/>
    <w:rsid w:val="00E30628"/>
    <w:rsid w:val="00E3175C"/>
    <w:rsid w:val="00E32042"/>
    <w:rsid w:val="00E33F4B"/>
    <w:rsid w:val="00E35196"/>
    <w:rsid w:val="00E36031"/>
    <w:rsid w:val="00E360F3"/>
    <w:rsid w:val="00E36847"/>
    <w:rsid w:val="00E42F94"/>
    <w:rsid w:val="00E432B5"/>
    <w:rsid w:val="00E438B0"/>
    <w:rsid w:val="00E43D76"/>
    <w:rsid w:val="00E44337"/>
    <w:rsid w:val="00E451DF"/>
    <w:rsid w:val="00E46AD2"/>
    <w:rsid w:val="00E47D7C"/>
    <w:rsid w:val="00E534B0"/>
    <w:rsid w:val="00E546C1"/>
    <w:rsid w:val="00E5563A"/>
    <w:rsid w:val="00E6380A"/>
    <w:rsid w:val="00E64DD9"/>
    <w:rsid w:val="00E65C82"/>
    <w:rsid w:val="00E723A3"/>
    <w:rsid w:val="00E73902"/>
    <w:rsid w:val="00E73DF4"/>
    <w:rsid w:val="00E77391"/>
    <w:rsid w:val="00E77464"/>
    <w:rsid w:val="00E81633"/>
    <w:rsid w:val="00E90AAF"/>
    <w:rsid w:val="00E926E7"/>
    <w:rsid w:val="00E94621"/>
    <w:rsid w:val="00E973B7"/>
    <w:rsid w:val="00EA0156"/>
    <w:rsid w:val="00EA4509"/>
    <w:rsid w:val="00EA69AE"/>
    <w:rsid w:val="00EA77EA"/>
    <w:rsid w:val="00EA7D01"/>
    <w:rsid w:val="00EB0C67"/>
    <w:rsid w:val="00EB1CBE"/>
    <w:rsid w:val="00EB240D"/>
    <w:rsid w:val="00EB36BE"/>
    <w:rsid w:val="00EB407E"/>
    <w:rsid w:val="00EB5F33"/>
    <w:rsid w:val="00EB7DDA"/>
    <w:rsid w:val="00EC030D"/>
    <w:rsid w:val="00EC10CA"/>
    <w:rsid w:val="00EC2852"/>
    <w:rsid w:val="00EC4962"/>
    <w:rsid w:val="00EC6924"/>
    <w:rsid w:val="00EC6B40"/>
    <w:rsid w:val="00ED1610"/>
    <w:rsid w:val="00ED17BF"/>
    <w:rsid w:val="00ED2F9C"/>
    <w:rsid w:val="00ED5F6E"/>
    <w:rsid w:val="00EE36B4"/>
    <w:rsid w:val="00EE4277"/>
    <w:rsid w:val="00EE4A3E"/>
    <w:rsid w:val="00EE560D"/>
    <w:rsid w:val="00EE5A9A"/>
    <w:rsid w:val="00EE736C"/>
    <w:rsid w:val="00EF0E4D"/>
    <w:rsid w:val="00EF2070"/>
    <w:rsid w:val="00EF2413"/>
    <w:rsid w:val="00EF6159"/>
    <w:rsid w:val="00F03A11"/>
    <w:rsid w:val="00F0408B"/>
    <w:rsid w:val="00F068A9"/>
    <w:rsid w:val="00F10654"/>
    <w:rsid w:val="00F11E27"/>
    <w:rsid w:val="00F13328"/>
    <w:rsid w:val="00F1636D"/>
    <w:rsid w:val="00F171F5"/>
    <w:rsid w:val="00F20AE3"/>
    <w:rsid w:val="00F20C9A"/>
    <w:rsid w:val="00F225F2"/>
    <w:rsid w:val="00F2317E"/>
    <w:rsid w:val="00F24F45"/>
    <w:rsid w:val="00F25DDF"/>
    <w:rsid w:val="00F269BA"/>
    <w:rsid w:val="00F30014"/>
    <w:rsid w:val="00F31EFB"/>
    <w:rsid w:val="00F32404"/>
    <w:rsid w:val="00F32CEB"/>
    <w:rsid w:val="00F34124"/>
    <w:rsid w:val="00F37534"/>
    <w:rsid w:val="00F40A5C"/>
    <w:rsid w:val="00F4306E"/>
    <w:rsid w:val="00F45418"/>
    <w:rsid w:val="00F539B7"/>
    <w:rsid w:val="00F547D4"/>
    <w:rsid w:val="00F5560B"/>
    <w:rsid w:val="00F56E66"/>
    <w:rsid w:val="00F6230E"/>
    <w:rsid w:val="00F63218"/>
    <w:rsid w:val="00F64742"/>
    <w:rsid w:val="00F65FD5"/>
    <w:rsid w:val="00F66E34"/>
    <w:rsid w:val="00F70DDA"/>
    <w:rsid w:val="00F716CE"/>
    <w:rsid w:val="00F71F22"/>
    <w:rsid w:val="00F75261"/>
    <w:rsid w:val="00F75305"/>
    <w:rsid w:val="00F77189"/>
    <w:rsid w:val="00F825CC"/>
    <w:rsid w:val="00F83716"/>
    <w:rsid w:val="00F84DF5"/>
    <w:rsid w:val="00F84EAB"/>
    <w:rsid w:val="00F933A5"/>
    <w:rsid w:val="00F94AD7"/>
    <w:rsid w:val="00F95EF1"/>
    <w:rsid w:val="00F967C0"/>
    <w:rsid w:val="00FA012D"/>
    <w:rsid w:val="00FA1048"/>
    <w:rsid w:val="00FA36E4"/>
    <w:rsid w:val="00FA60AC"/>
    <w:rsid w:val="00FA639C"/>
    <w:rsid w:val="00FA6BE6"/>
    <w:rsid w:val="00FA751D"/>
    <w:rsid w:val="00FB07B5"/>
    <w:rsid w:val="00FC08D2"/>
    <w:rsid w:val="00FC2C8A"/>
    <w:rsid w:val="00FC47DF"/>
    <w:rsid w:val="00FC54D4"/>
    <w:rsid w:val="00FC729B"/>
    <w:rsid w:val="00FC7633"/>
    <w:rsid w:val="00FC7799"/>
    <w:rsid w:val="00FD0DD2"/>
    <w:rsid w:val="00FD195F"/>
    <w:rsid w:val="00FD1FFF"/>
    <w:rsid w:val="00FD21DE"/>
    <w:rsid w:val="00FD2B06"/>
    <w:rsid w:val="00FD2CCF"/>
    <w:rsid w:val="00FD2DB3"/>
    <w:rsid w:val="00FD3ACB"/>
    <w:rsid w:val="00FD6978"/>
    <w:rsid w:val="00FE29E0"/>
    <w:rsid w:val="00FE503A"/>
    <w:rsid w:val="00FE6CF2"/>
    <w:rsid w:val="00FF2FA5"/>
    <w:rsid w:val="00FF2FAF"/>
    <w:rsid w:val="00FF6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D7"/>
  </w:style>
  <w:style w:type="paragraph" w:styleId="Heading1">
    <w:name w:val="heading 1"/>
    <w:basedOn w:val="Normal"/>
    <w:next w:val="Normal"/>
    <w:link w:val="Heading1Char"/>
    <w:uiPriority w:val="9"/>
    <w:qFormat/>
    <w:rsid w:val="009146F9"/>
    <w:pPr>
      <w:keepNext/>
      <w:keepLines/>
      <w:spacing w:before="120" w:after="120" w:line="280" w:lineRule="atLeast"/>
      <w:outlineLvl w:val="0"/>
    </w:pPr>
    <w:rPr>
      <w:rFonts w:ascii="Gill Sans MT" w:eastAsiaTheme="majorEastAsia" w:hAnsi="Gill Sans MT"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9146F9"/>
    <w:pPr>
      <w:keepNext/>
      <w:keepLines/>
      <w:spacing w:before="200" w:after="0"/>
      <w:outlineLvl w:val="1"/>
    </w:pPr>
    <w:rPr>
      <w:rFonts w:ascii="Gill Sans MT" w:eastAsiaTheme="majorEastAsia" w:hAnsi="Gill Sans MT" w:cstheme="majorBidi"/>
      <w:b/>
      <w:bCs/>
      <w:color w:val="4F81BD" w:themeColor="accent1"/>
      <w:sz w:val="28"/>
      <w:szCs w:val="28"/>
    </w:rPr>
  </w:style>
  <w:style w:type="paragraph" w:styleId="Heading3">
    <w:name w:val="heading 3"/>
    <w:basedOn w:val="Heading2"/>
    <w:next w:val="Normal"/>
    <w:link w:val="Heading3Char"/>
    <w:autoRedefine/>
    <w:uiPriority w:val="9"/>
    <w:unhideWhenUsed/>
    <w:qFormat/>
    <w:rsid w:val="00BA74FA"/>
    <w:pPr>
      <w:outlineLvl w:val="2"/>
    </w:pPr>
    <w:rPr>
      <w:color w:val="4F81BD"/>
      <w:sz w:val="24"/>
    </w:rPr>
  </w:style>
  <w:style w:type="paragraph" w:styleId="Heading4">
    <w:name w:val="heading 4"/>
    <w:basedOn w:val="Normal"/>
    <w:next w:val="Normal"/>
    <w:link w:val="Heading4Char"/>
    <w:uiPriority w:val="9"/>
    <w:unhideWhenUsed/>
    <w:qFormat/>
    <w:rsid w:val="00A42B05"/>
    <w:pPr>
      <w:keepNext/>
      <w:keepLines/>
      <w:spacing w:before="200" w:after="0"/>
      <w:outlineLvl w:val="3"/>
    </w:pPr>
    <w:rPr>
      <w:rFonts w:ascii="Gill Sans MT" w:eastAsiaTheme="majorEastAsia" w:hAnsi="Gill Sans MT" w:cstheme="majorBidi"/>
      <w:bCs/>
      <w:iCs/>
      <w:color w:val="7030A0"/>
      <w:sz w:val="32"/>
    </w:rPr>
  </w:style>
  <w:style w:type="paragraph" w:styleId="Heading5">
    <w:name w:val="heading 5"/>
    <w:basedOn w:val="Normal"/>
    <w:next w:val="Normal"/>
    <w:link w:val="Heading5Char"/>
    <w:uiPriority w:val="9"/>
    <w:unhideWhenUsed/>
    <w:qFormat/>
    <w:rsid w:val="00BA74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197"/>
  </w:style>
  <w:style w:type="paragraph" w:styleId="Footer">
    <w:name w:val="footer"/>
    <w:basedOn w:val="Normal"/>
    <w:link w:val="FooterChar"/>
    <w:uiPriority w:val="99"/>
    <w:unhideWhenUsed/>
    <w:rsid w:val="00254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197"/>
  </w:style>
  <w:style w:type="paragraph" w:styleId="BalloonText">
    <w:name w:val="Balloon Text"/>
    <w:basedOn w:val="Normal"/>
    <w:link w:val="BalloonTextChar"/>
    <w:uiPriority w:val="99"/>
    <w:semiHidden/>
    <w:unhideWhenUsed/>
    <w:rsid w:val="0025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197"/>
    <w:rPr>
      <w:rFonts w:ascii="Tahoma" w:hAnsi="Tahoma" w:cs="Tahoma"/>
      <w:sz w:val="16"/>
      <w:szCs w:val="16"/>
    </w:rPr>
  </w:style>
  <w:style w:type="paragraph" w:styleId="ListParagraph">
    <w:name w:val="List Paragraph"/>
    <w:basedOn w:val="Normal"/>
    <w:link w:val="ListParagraphChar"/>
    <w:uiPriority w:val="34"/>
    <w:qFormat/>
    <w:rsid w:val="00F75305"/>
    <w:pPr>
      <w:ind w:left="720"/>
      <w:contextualSpacing/>
    </w:pPr>
  </w:style>
  <w:style w:type="paragraph" w:styleId="CommentText">
    <w:name w:val="annotation text"/>
    <w:basedOn w:val="Normal"/>
    <w:link w:val="CommentTextChar"/>
    <w:rsid w:val="00B42955"/>
    <w:pPr>
      <w:tabs>
        <w:tab w:val="left" w:pos="567"/>
      </w:tabs>
      <w:spacing w:after="120" w:line="300" w:lineRule="atLeast"/>
    </w:pPr>
    <w:rPr>
      <w:rFonts w:ascii="Gill Sans MT" w:eastAsia="Times New Roman" w:hAnsi="Gill Sans MT" w:cs="Times New Roman"/>
      <w:sz w:val="20"/>
      <w:szCs w:val="20"/>
    </w:rPr>
  </w:style>
  <w:style w:type="character" w:customStyle="1" w:styleId="CommentTextChar">
    <w:name w:val="Comment Text Char"/>
    <w:basedOn w:val="DefaultParagraphFont"/>
    <w:link w:val="CommentText"/>
    <w:rsid w:val="00B42955"/>
    <w:rPr>
      <w:rFonts w:ascii="Gill Sans MT" w:eastAsia="Times New Roman" w:hAnsi="Gill Sans MT" w:cs="Times New Roman"/>
      <w:sz w:val="20"/>
      <w:szCs w:val="20"/>
    </w:rPr>
  </w:style>
  <w:style w:type="character" w:customStyle="1" w:styleId="ListParagraphChar">
    <w:name w:val="List Paragraph Char"/>
    <w:link w:val="ListParagraph"/>
    <w:uiPriority w:val="34"/>
    <w:locked/>
    <w:rsid w:val="00E926E7"/>
  </w:style>
  <w:style w:type="character" w:styleId="Hyperlink">
    <w:name w:val="Hyperlink"/>
    <w:uiPriority w:val="99"/>
    <w:rsid w:val="00CA7CBA"/>
    <w:rPr>
      <w:color w:val="0000FF"/>
      <w:u w:val="single"/>
    </w:rPr>
  </w:style>
  <w:style w:type="paragraph" w:styleId="CommentSubject">
    <w:name w:val="annotation subject"/>
    <w:basedOn w:val="CommentText"/>
    <w:next w:val="CommentText"/>
    <w:link w:val="CommentSubjectChar"/>
    <w:uiPriority w:val="99"/>
    <w:semiHidden/>
    <w:unhideWhenUsed/>
    <w:rsid w:val="0062270D"/>
    <w:pPr>
      <w:tabs>
        <w:tab w:val="clear" w:pos="567"/>
      </w:tabs>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270D"/>
    <w:rPr>
      <w:rFonts w:ascii="Gill Sans MT" w:eastAsia="Times New Roman" w:hAnsi="Gill Sans MT" w:cs="Times New Roman"/>
      <w:b/>
      <w:bCs/>
      <w:sz w:val="20"/>
      <w:szCs w:val="20"/>
    </w:rPr>
  </w:style>
  <w:style w:type="paragraph" w:styleId="FootnoteText">
    <w:name w:val="footnote text"/>
    <w:basedOn w:val="Normal"/>
    <w:link w:val="FootnoteTextChar"/>
    <w:uiPriority w:val="99"/>
    <w:semiHidden/>
    <w:unhideWhenUsed/>
    <w:rsid w:val="00F84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DF5"/>
    <w:rPr>
      <w:sz w:val="20"/>
      <w:szCs w:val="20"/>
    </w:rPr>
  </w:style>
  <w:style w:type="character" w:styleId="FootnoteReference">
    <w:name w:val="footnote reference"/>
    <w:basedOn w:val="DefaultParagraphFont"/>
    <w:uiPriority w:val="99"/>
    <w:semiHidden/>
    <w:unhideWhenUsed/>
    <w:rsid w:val="00F84DF5"/>
    <w:rPr>
      <w:vertAlign w:val="superscript"/>
    </w:rPr>
  </w:style>
  <w:style w:type="paragraph" w:customStyle="1" w:styleId="Default">
    <w:name w:val="Default"/>
    <w:rsid w:val="00476FCB"/>
    <w:pPr>
      <w:autoSpaceDE w:val="0"/>
      <w:autoSpaceDN w:val="0"/>
      <w:adjustRightInd w:val="0"/>
      <w:spacing w:after="0" w:line="240" w:lineRule="auto"/>
    </w:pPr>
    <w:rPr>
      <w:rFonts w:ascii="Arial" w:hAnsi="Arial" w:cs="Arial"/>
      <w:color w:val="000000"/>
      <w:sz w:val="24"/>
      <w:szCs w:val="24"/>
    </w:rPr>
  </w:style>
  <w:style w:type="character" w:customStyle="1" w:styleId="InstructionText">
    <w:name w:val="Instruction Text"/>
    <w:qFormat/>
    <w:rsid w:val="00476FCB"/>
    <w:rPr>
      <w:i/>
      <w:color w:val="0070C0"/>
    </w:rPr>
  </w:style>
  <w:style w:type="paragraph" w:customStyle="1" w:styleId="BulletedListLevel1">
    <w:name w:val="Bulleted List Level 1"/>
    <w:link w:val="BulletedListLevel1Char"/>
    <w:uiPriority w:val="99"/>
    <w:rsid w:val="00476FCB"/>
    <w:pPr>
      <w:numPr>
        <w:numId w:val="2"/>
      </w:numPr>
      <w:tabs>
        <w:tab w:val="left" w:pos="1134"/>
      </w:tabs>
      <w:spacing w:after="140" w:line="300" w:lineRule="atLeast"/>
    </w:pPr>
    <w:rPr>
      <w:rFonts w:ascii="Gill Sans MT" w:eastAsia="Times New Roman" w:hAnsi="Gill Sans MT" w:cs="Times New Roman"/>
      <w:szCs w:val="24"/>
    </w:rPr>
  </w:style>
  <w:style w:type="character" w:customStyle="1" w:styleId="BulletedListLevel1Char">
    <w:name w:val="Bulleted List Level 1 Char"/>
    <w:link w:val="BulletedListLevel1"/>
    <w:uiPriority w:val="99"/>
    <w:locked/>
    <w:rsid w:val="00476FCB"/>
    <w:rPr>
      <w:rFonts w:ascii="Gill Sans MT" w:eastAsia="Times New Roman" w:hAnsi="Gill Sans MT" w:cs="Times New Roman"/>
      <w:szCs w:val="24"/>
    </w:rPr>
  </w:style>
  <w:style w:type="paragraph" w:customStyle="1" w:styleId="Disclaimer">
    <w:name w:val="Disclaimer"/>
    <w:basedOn w:val="Normal"/>
    <w:uiPriority w:val="99"/>
    <w:rsid w:val="00F30014"/>
    <w:pPr>
      <w:widowControl w:val="0"/>
      <w:tabs>
        <w:tab w:val="left" w:pos="283"/>
        <w:tab w:val="left" w:pos="567"/>
        <w:tab w:val="left" w:pos="850"/>
        <w:tab w:val="left" w:pos="1134"/>
        <w:tab w:val="left" w:pos="1417"/>
        <w:tab w:val="left" w:pos="1701"/>
      </w:tabs>
      <w:autoSpaceDE w:val="0"/>
      <w:autoSpaceDN w:val="0"/>
      <w:adjustRightInd w:val="0"/>
      <w:spacing w:before="120" w:after="120" w:line="240" w:lineRule="auto"/>
      <w:textAlignment w:val="center"/>
    </w:pPr>
    <w:rPr>
      <w:rFonts w:ascii="GillSans Light" w:eastAsia="MS Mincho" w:hAnsi="GillSans Light" w:cs="GillSans-Light"/>
      <w:color w:val="000000"/>
      <w:sz w:val="20"/>
      <w:szCs w:val="18"/>
      <w:lang w:val="en-GB"/>
    </w:rPr>
  </w:style>
  <w:style w:type="paragraph" w:styleId="NoSpacing">
    <w:name w:val="No Spacing"/>
    <w:link w:val="NoSpacingChar"/>
    <w:uiPriority w:val="1"/>
    <w:qFormat/>
    <w:rsid w:val="000B1A6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B1A62"/>
    <w:rPr>
      <w:rFonts w:eastAsiaTheme="minorEastAsia"/>
      <w:lang w:val="en-US" w:eastAsia="ja-JP"/>
    </w:rPr>
  </w:style>
  <w:style w:type="paragraph" w:styleId="EndnoteText">
    <w:name w:val="endnote text"/>
    <w:basedOn w:val="Normal"/>
    <w:link w:val="EndnoteTextChar"/>
    <w:uiPriority w:val="99"/>
    <w:semiHidden/>
    <w:unhideWhenUsed/>
    <w:rsid w:val="00F24F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F45"/>
    <w:rPr>
      <w:sz w:val="20"/>
      <w:szCs w:val="20"/>
    </w:rPr>
  </w:style>
  <w:style w:type="character" w:styleId="EndnoteReference">
    <w:name w:val="endnote reference"/>
    <w:basedOn w:val="DefaultParagraphFont"/>
    <w:uiPriority w:val="99"/>
    <w:unhideWhenUsed/>
    <w:rsid w:val="00F24F45"/>
    <w:rPr>
      <w:vertAlign w:val="superscript"/>
    </w:rPr>
  </w:style>
  <w:style w:type="character" w:styleId="CommentReference">
    <w:name w:val="annotation reference"/>
    <w:basedOn w:val="DefaultParagraphFont"/>
    <w:uiPriority w:val="99"/>
    <w:semiHidden/>
    <w:unhideWhenUsed/>
    <w:rsid w:val="003E373A"/>
    <w:rPr>
      <w:sz w:val="16"/>
      <w:szCs w:val="16"/>
    </w:rPr>
  </w:style>
  <w:style w:type="paragraph" w:styleId="Revision">
    <w:name w:val="Revision"/>
    <w:hidden/>
    <w:uiPriority w:val="99"/>
    <w:semiHidden/>
    <w:rsid w:val="001C3169"/>
    <w:pPr>
      <w:spacing w:after="0" w:line="240" w:lineRule="auto"/>
    </w:pPr>
  </w:style>
  <w:style w:type="character" w:styleId="FollowedHyperlink">
    <w:name w:val="FollowedHyperlink"/>
    <w:basedOn w:val="DefaultParagraphFont"/>
    <w:uiPriority w:val="99"/>
    <w:semiHidden/>
    <w:unhideWhenUsed/>
    <w:rsid w:val="009E34D8"/>
    <w:rPr>
      <w:color w:val="800080" w:themeColor="followedHyperlink"/>
      <w:u w:val="single"/>
    </w:rPr>
  </w:style>
  <w:style w:type="character" w:customStyle="1" w:styleId="Heading1Char">
    <w:name w:val="Heading 1 Char"/>
    <w:basedOn w:val="DefaultParagraphFont"/>
    <w:link w:val="Heading1"/>
    <w:uiPriority w:val="9"/>
    <w:rsid w:val="009146F9"/>
    <w:rPr>
      <w:rFonts w:ascii="Gill Sans MT" w:eastAsiaTheme="majorEastAsia" w:hAnsi="Gill Sans MT" w:cstheme="majorBidi"/>
      <w:b/>
      <w:bCs/>
      <w:color w:val="365F91" w:themeColor="accent1" w:themeShade="BF"/>
      <w:sz w:val="32"/>
      <w:szCs w:val="32"/>
    </w:rPr>
  </w:style>
  <w:style w:type="paragraph" w:styleId="TOCHeading">
    <w:name w:val="TOC Heading"/>
    <w:basedOn w:val="Heading1"/>
    <w:next w:val="Normal"/>
    <w:uiPriority w:val="39"/>
    <w:unhideWhenUsed/>
    <w:qFormat/>
    <w:rsid w:val="00A12C97"/>
    <w:pPr>
      <w:outlineLvl w:val="9"/>
    </w:pPr>
    <w:rPr>
      <w:lang w:val="en-US" w:eastAsia="ja-JP"/>
    </w:rPr>
  </w:style>
  <w:style w:type="character" w:customStyle="1" w:styleId="Heading2Char">
    <w:name w:val="Heading 2 Char"/>
    <w:basedOn w:val="DefaultParagraphFont"/>
    <w:link w:val="Heading2"/>
    <w:uiPriority w:val="9"/>
    <w:rsid w:val="009146F9"/>
    <w:rPr>
      <w:rFonts w:ascii="Gill Sans MT" w:eastAsiaTheme="majorEastAsia" w:hAnsi="Gill Sans MT" w:cstheme="majorBidi"/>
      <w:b/>
      <w:bCs/>
      <w:color w:val="4F81BD" w:themeColor="accent1"/>
      <w:sz w:val="28"/>
      <w:szCs w:val="28"/>
    </w:rPr>
  </w:style>
  <w:style w:type="character" w:customStyle="1" w:styleId="Heading3Char">
    <w:name w:val="Heading 3 Char"/>
    <w:basedOn w:val="DefaultParagraphFont"/>
    <w:link w:val="Heading3"/>
    <w:uiPriority w:val="9"/>
    <w:rsid w:val="00BA74FA"/>
    <w:rPr>
      <w:rFonts w:ascii="Gill Sans MT" w:eastAsiaTheme="majorEastAsia" w:hAnsi="Gill Sans MT" w:cstheme="majorBidi"/>
      <w:b/>
      <w:bCs/>
      <w:color w:val="4F81BD"/>
      <w:sz w:val="24"/>
      <w:szCs w:val="28"/>
    </w:rPr>
  </w:style>
  <w:style w:type="paragraph" w:styleId="TOC1">
    <w:name w:val="toc 1"/>
    <w:basedOn w:val="Normal"/>
    <w:next w:val="Normal"/>
    <w:autoRedefine/>
    <w:uiPriority w:val="39"/>
    <w:unhideWhenUsed/>
    <w:rsid w:val="00D42940"/>
    <w:pPr>
      <w:spacing w:after="100"/>
    </w:pPr>
  </w:style>
  <w:style w:type="paragraph" w:styleId="TOC2">
    <w:name w:val="toc 2"/>
    <w:basedOn w:val="Normal"/>
    <w:next w:val="Normal"/>
    <w:autoRedefine/>
    <w:uiPriority w:val="39"/>
    <w:unhideWhenUsed/>
    <w:rsid w:val="00D42940"/>
    <w:pPr>
      <w:spacing w:after="100"/>
      <w:ind w:left="220"/>
    </w:pPr>
  </w:style>
  <w:style w:type="paragraph" w:styleId="TOC3">
    <w:name w:val="toc 3"/>
    <w:basedOn w:val="Normal"/>
    <w:next w:val="Normal"/>
    <w:autoRedefine/>
    <w:uiPriority w:val="39"/>
    <w:unhideWhenUsed/>
    <w:rsid w:val="00D42940"/>
    <w:pPr>
      <w:spacing w:after="100"/>
      <w:ind w:left="440"/>
    </w:pPr>
  </w:style>
  <w:style w:type="paragraph" w:customStyle="1" w:styleId="BodyCopy">
    <w:name w:val="Body Copy"/>
    <w:basedOn w:val="Normal"/>
    <w:qFormat/>
    <w:rsid w:val="00244E77"/>
    <w:pPr>
      <w:spacing w:after="140" w:line="300" w:lineRule="atLeast"/>
      <w:ind w:left="199" w:right="199"/>
    </w:pPr>
    <w:rPr>
      <w:rFonts w:ascii="Gill Sans MT" w:eastAsia="Times New Roman" w:hAnsi="Gill Sans MT" w:cs="Times New Roman"/>
      <w:color w:val="000000" w:themeColor="text1"/>
      <w:szCs w:val="24"/>
      <w:lang w:eastAsia="en-AU"/>
    </w:rPr>
  </w:style>
  <w:style w:type="paragraph" w:customStyle="1" w:styleId="MainHeading">
    <w:name w:val="Main Heading"/>
    <w:basedOn w:val="Normal"/>
    <w:qFormat/>
    <w:rsid w:val="00244E77"/>
    <w:pPr>
      <w:spacing w:before="240" w:after="60" w:line="300" w:lineRule="atLeast"/>
      <w:ind w:left="199" w:right="199"/>
      <w:outlineLvl w:val="0"/>
    </w:pPr>
    <w:rPr>
      <w:rFonts w:ascii="Gill Sans MT" w:eastAsia="Times New Roman" w:hAnsi="Gill Sans MT" w:cs="Arial"/>
      <w:bCs/>
      <w:color w:val="772953"/>
      <w:kern w:val="28"/>
      <w:sz w:val="64"/>
      <w:szCs w:val="32"/>
      <w:lang w:eastAsia="en-AU"/>
    </w:rPr>
  </w:style>
  <w:style w:type="paragraph" w:customStyle="1" w:styleId="Subtitle2">
    <w:name w:val="Subtitle2"/>
    <w:basedOn w:val="Normal"/>
    <w:qFormat/>
    <w:rsid w:val="00244E77"/>
    <w:pPr>
      <w:tabs>
        <w:tab w:val="left" w:pos="4240"/>
      </w:tabs>
      <w:spacing w:after="240" w:line="480" w:lineRule="exact"/>
      <w:ind w:left="198" w:right="-57"/>
    </w:pPr>
    <w:rPr>
      <w:rFonts w:ascii="Gill Sans MT" w:eastAsia="Times New Roman" w:hAnsi="Gill Sans MT" w:cs="Times New Roman"/>
      <w:color w:val="614D7D"/>
      <w:sz w:val="32"/>
      <w:szCs w:val="32"/>
      <w:lang w:eastAsia="en-AU"/>
    </w:rPr>
  </w:style>
  <w:style w:type="paragraph" w:customStyle="1" w:styleId="ContentHeading">
    <w:name w:val="Content Heading"/>
    <w:basedOn w:val="Heading1"/>
    <w:qFormat/>
    <w:rsid w:val="00244E77"/>
    <w:pPr>
      <w:keepNext w:val="0"/>
      <w:keepLines w:val="0"/>
      <w:spacing w:before="0" w:after="60" w:line="300" w:lineRule="atLeast"/>
      <w:ind w:left="199" w:right="199"/>
    </w:pPr>
    <w:rPr>
      <w:rFonts w:eastAsia="Times New Roman" w:cs="Arial"/>
      <w:bCs w:val="0"/>
      <w:color w:val="000000" w:themeColor="text1"/>
      <w:sz w:val="24"/>
      <w:szCs w:val="24"/>
      <w:lang w:eastAsia="en-AU"/>
    </w:rPr>
  </w:style>
  <w:style w:type="paragraph" w:customStyle="1" w:styleId="Level2DiscussionAction">
    <w:name w:val="Level 2 Discussion Action"/>
    <w:basedOn w:val="Normal"/>
    <w:rsid w:val="00093BC6"/>
    <w:pPr>
      <w:tabs>
        <w:tab w:val="left" w:pos="567"/>
      </w:tabs>
      <w:spacing w:after="0" w:line="240" w:lineRule="auto"/>
    </w:pPr>
    <w:rPr>
      <w:rFonts w:ascii="Gill Sans MT" w:eastAsia="Times New Roman" w:hAnsi="Gill Sans MT" w:cs="Times New Roman"/>
      <w:szCs w:val="24"/>
    </w:rPr>
  </w:style>
  <w:style w:type="paragraph" w:styleId="ListBullet">
    <w:name w:val="List Bullet"/>
    <w:basedOn w:val="Normal"/>
    <w:rsid w:val="006E058D"/>
    <w:pPr>
      <w:numPr>
        <w:numId w:val="39"/>
      </w:numPr>
      <w:spacing w:after="160" w:line="300" w:lineRule="atLeast"/>
    </w:pPr>
    <w:rPr>
      <w:rFonts w:ascii="Times New Roman" w:eastAsia="Times New Roman" w:hAnsi="Times New Roman" w:cs="Times New Roman"/>
      <w:szCs w:val="24"/>
    </w:rPr>
  </w:style>
  <w:style w:type="paragraph" w:customStyle="1" w:styleId="NormalItalics">
    <w:name w:val="NormalItalics"/>
    <w:basedOn w:val="Normal"/>
    <w:rsid w:val="001832DB"/>
    <w:pPr>
      <w:spacing w:before="100" w:beforeAutospacing="1" w:after="100" w:afterAutospacing="1" w:line="240" w:lineRule="auto"/>
    </w:pPr>
    <w:rPr>
      <w:rFonts w:ascii="Arial" w:eastAsia="Times New Roman" w:hAnsi="Arial" w:cs="Times New Roman"/>
      <w:i/>
      <w:iCs/>
      <w:lang w:eastAsia="en-AU"/>
    </w:rPr>
  </w:style>
  <w:style w:type="paragraph" w:styleId="Caption">
    <w:name w:val="caption"/>
    <w:basedOn w:val="Normal"/>
    <w:next w:val="Normal"/>
    <w:uiPriority w:val="35"/>
    <w:qFormat/>
    <w:rsid w:val="008161F2"/>
    <w:pPr>
      <w:tabs>
        <w:tab w:val="left" w:pos="567"/>
      </w:tabs>
      <w:spacing w:before="120" w:after="120" w:line="300" w:lineRule="atLeast"/>
    </w:pPr>
    <w:rPr>
      <w:rFonts w:ascii="Gill Sans MT" w:eastAsia="Times New Roman" w:hAnsi="Gill Sans MT" w:cs="Times New Roman"/>
      <w:b/>
      <w:bCs/>
      <w:sz w:val="20"/>
      <w:szCs w:val="20"/>
    </w:rPr>
  </w:style>
  <w:style w:type="character" w:customStyle="1" w:styleId="A6">
    <w:name w:val="A6"/>
    <w:uiPriority w:val="99"/>
    <w:rsid w:val="00747A68"/>
    <w:rPr>
      <w:rFonts w:cs="Myriad Pro"/>
      <w:color w:val="000000"/>
      <w:sz w:val="18"/>
      <w:szCs w:val="18"/>
    </w:rPr>
  </w:style>
  <w:style w:type="character" w:customStyle="1" w:styleId="Heading4Char">
    <w:name w:val="Heading 4 Char"/>
    <w:basedOn w:val="DefaultParagraphFont"/>
    <w:link w:val="Heading4"/>
    <w:uiPriority w:val="9"/>
    <w:rsid w:val="00A42B05"/>
    <w:rPr>
      <w:rFonts w:ascii="Gill Sans MT" w:eastAsiaTheme="majorEastAsia" w:hAnsi="Gill Sans MT" w:cstheme="majorBidi"/>
      <w:bCs/>
      <w:iCs/>
      <w:color w:val="7030A0"/>
      <w:sz w:val="32"/>
    </w:rPr>
  </w:style>
  <w:style w:type="paragraph" w:styleId="Title">
    <w:name w:val="Title"/>
    <w:basedOn w:val="Normal"/>
    <w:next w:val="Normal"/>
    <w:link w:val="TitleChar"/>
    <w:uiPriority w:val="10"/>
    <w:qFormat/>
    <w:rsid w:val="00C569E6"/>
    <w:pPr>
      <w:keepNext/>
      <w:spacing w:before="120" w:after="120" w:line="280" w:lineRule="atLeast"/>
    </w:pPr>
    <w:rPr>
      <w:rFonts w:ascii="Gill Sans MT" w:hAnsi="Gill Sans MT"/>
      <w:color w:val="31849B" w:themeColor="accent5" w:themeShade="BF"/>
      <w:sz w:val="80"/>
      <w:szCs w:val="80"/>
    </w:rPr>
  </w:style>
  <w:style w:type="character" w:customStyle="1" w:styleId="TitleChar">
    <w:name w:val="Title Char"/>
    <w:basedOn w:val="DefaultParagraphFont"/>
    <w:link w:val="Title"/>
    <w:uiPriority w:val="10"/>
    <w:rsid w:val="00C569E6"/>
    <w:rPr>
      <w:rFonts w:ascii="Gill Sans MT" w:hAnsi="Gill Sans MT"/>
      <w:color w:val="31849B" w:themeColor="accent5" w:themeShade="BF"/>
      <w:sz w:val="80"/>
      <w:szCs w:val="80"/>
    </w:rPr>
  </w:style>
  <w:style w:type="paragraph" w:styleId="Subtitle">
    <w:name w:val="Subtitle"/>
    <w:basedOn w:val="Normal"/>
    <w:next w:val="Normal"/>
    <w:link w:val="SubtitleChar"/>
    <w:uiPriority w:val="11"/>
    <w:qFormat/>
    <w:rsid w:val="00C569E6"/>
    <w:pPr>
      <w:keepNext/>
      <w:spacing w:before="120" w:after="120" w:line="280" w:lineRule="atLeast"/>
    </w:pPr>
    <w:rPr>
      <w:rFonts w:ascii="Gill Sans MT" w:hAnsi="Gill Sans MT"/>
      <w:color w:val="1F497D" w:themeColor="text2"/>
      <w:sz w:val="44"/>
    </w:rPr>
  </w:style>
  <w:style w:type="character" w:customStyle="1" w:styleId="SubtitleChar">
    <w:name w:val="Subtitle Char"/>
    <w:basedOn w:val="DefaultParagraphFont"/>
    <w:link w:val="Subtitle"/>
    <w:uiPriority w:val="11"/>
    <w:rsid w:val="00C569E6"/>
    <w:rPr>
      <w:rFonts w:ascii="Gill Sans MT" w:hAnsi="Gill Sans MT"/>
      <w:color w:val="1F497D" w:themeColor="text2"/>
      <w:sz w:val="44"/>
    </w:rPr>
  </w:style>
  <w:style w:type="character" w:customStyle="1" w:styleId="Heading5Char">
    <w:name w:val="Heading 5 Char"/>
    <w:basedOn w:val="DefaultParagraphFont"/>
    <w:link w:val="Heading5"/>
    <w:uiPriority w:val="9"/>
    <w:rsid w:val="00BA74F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D7"/>
  </w:style>
  <w:style w:type="paragraph" w:styleId="Heading1">
    <w:name w:val="heading 1"/>
    <w:basedOn w:val="Normal"/>
    <w:next w:val="Normal"/>
    <w:link w:val="Heading1Char"/>
    <w:uiPriority w:val="9"/>
    <w:qFormat/>
    <w:rsid w:val="009146F9"/>
    <w:pPr>
      <w:keepNext/>
      <w:keepLines/>
      <w:spacing w:before="120" w:after="120" w:line="280" w:lineRule="atLeast"/>
      <w:outlineLvl w:val="0"/>
    </w:pPr>
    <w:rPr>
      <w:rFonts w:ascii="Gill Sans MT" w:eastAsiaTheme="majorEastAsia" w:hAnsi="Gill Sans MT"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9146F9"/>
    <w:pPr>
      <w:keepNext/>
      <w:keepLines/>
      <w:spacing w:before="200" w:after="0"/>
      <w:outlineLvl w:val="1"/>
    </w:pPr>
    <w:rPr>
      <w:rFonts w:ascii="Gill Sans MT" w:eastAsiaTheme="majorEastAsia" w:hAnsi="Gill Sans MT" w:cstheme="majorBidi"/>
      <w:b/>
      <w:bCs/>
      <w:color w:val="4F81BD" w:themeColor="accent1"/>
      <w:sz w:val="28"/>
      <w:szCs w:val="28"/>
    </w:rPr>
  </w:style>
  <w:style w:type="paragraph" w:styleId="Heading3">
    <w:name w:val="heading 3"/>
    <w:basedOn w:val="Heading2"/>
    <w:next w:val="Normal"/>
    <w:link w:val="Heading3Char"/>
    <w:autoRedefine/>
    <w:uiPriority w:val="9"/>
    <w:unhideWhenUsed/>
    <w:qFormat/>
    <w:rsid w:val="00BA74FA"/>
    <w:pPr>
      <w:outlineLvl w:val="2"/>
    </w:pPr>
    <w:rPr>
      <w:color w:val="4F81BD"/>
      <w:sz w:val="24"/>
    </w:rPr>
  </w:style>
  <w:style w:type="paragraph" w:styleId="Heading4">
    <w:name w:val="heading 4"/>
    <w:basedOn w:val="Normal"/>
    <w:next w:val="Normal"/>
    <w:link w:val="Heading4Char"/>
    <w:uiPriority w:val="9"/>
    <w:unhideWhenUsed/>
    <w:qFormat/>
    <w:rsid w:val="00A42B05"/>
    <w:pPr>
      <w:keepNext/>
      <w:keepLines/>
      <w:spacing w:before="200" w:after="0"/>
      <w:outlineLvl w:val="3"/>
    </w:pPr>
    <w:rPr>
      <w:rFonts w:ascii="Gill Sans MT" w:eastAsiaTheme="majorEastAsia" w:hAnsi="Gill Sans MT" w:cstheme="majorBidi"/>
      <w:bCs/>
      <w:iCs/>
      <w:color w:val="7030A0"/>
      <w:sz w:val="32"/>
    </w:rPr>
  </w:style>
  <w:style w:type="paragraph" w:styleId="Heading5">
    <w:name w:val="heading 5"/>
    <w:basedOn w:val="Normal"/>
    <w:next w:val="Normal"/>
    <w:link w:val="Heading5Char"/>
    <w:uiPriority w:val="9"/>
    <w:unhideWhenUsed/>
    <w:qFormat/>
    <w:rsid w:val="00BA74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197"/>
  </w:style>
  <w:style w:type="paragraph" w:styleId="Footer">
    <w:name w:val="footer"/>
    <w:basedOn w:val="Normal"/>
    <w:link w:val="FooterChar"/>
    <w:uiPriority w:val="99"/>
    <w:unhideWhenUsed/>
    <w:rsid w:val="00254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197"/>
  </w:style>
  <w:style w:type="paragraph" w:styleId="BalloonText">
    <w:name w:val="Balloon Text"/>
    <w:basedOn w:val="Normal"/>
    <w:link w:val="BalloonTextChar"/>
    <w:uiPriority w:val="99"/>
    <w:semiHidden/>
    <w:unhideWhenUsed/>
    <w:rsid w:val="0025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197"/>
    <w:rPr>
      <w:rFonts w:ascii="Tahoma" w:hAnsi="Tahoma" w:cs="Tahoma"/>
      <w:sz w:val="16"/>
      <w:szCs w:val="16"/>
    </w:rPr>
  </w:style>
  <w:style w:type="paragraph" w:styleId="ListParagraph">
    <w:name w:val="List Paragraph"/>
    <w:basedOn w:val="Normal"/>
    <w:link w:val="ListParagraphChar"/>
    <w:uiPriority w:val="34"/>
    <w:qFormat/>
    <w:rsid w:val="00F75305"/>
    <w:pPr>
      <w:ind w:left="720"/>
      <w:contextualSpacing/>
    </w:pPr>
  </w:style>
  <w:style w:type="paragraph" w:styleId="CommentText">
    <w:name w:val="annotation text"/>
    <w:basedOn w:val="Normal"/>
    <w:link w:val="CommentTextChar"/>
    <w:rsid w:val="00B42955"/>
    <w:pPr>
      <w:tabs>
        <w:tab w:val="left" w:pos="567"/>
      </w:tabs>
      <w:spacing w:after="120" w:line="300" w:lineRule="atLeast"/>
    </w:pPr>
    <w:rPr>
      <w:rFonts w:ascii="Gill Sans MT" w:eastAsia="Times New Roman" w:hAnsi="Gill Sans MT" w:cs="Times New Roman"/>
      <w:sz w:val="20"/>
      <w:szCs w:val="20"/>
    </w:rPr>
  </w:style>
  <w:style w:type="character" w:customStyle="1" w:styleId="CommentTextChar">
    <w:name w:val="Comment Text Char"/>
    <w:basedOn w:val="DefaultParagraphFont"/>
    <w:link w:val="CommentText"/>
    <w:rsid w:val="00B42955"/>
    <w:rPr>
      <w:rFonts w:ascii="Gill Sans MT" w:eastAsia="Times New Roman" w:hAnsi="Gill Sans MT" w:cs="Times New Roman"/>
      <w:sz w:val="20"/>
      <w:szCs w:val="20"/>
    </w:rPr>
  </w:style>
  <w:style w:type="character" w:customStyle="1" w:styleId="ListParagraphChar">
    <w:name w:val="List Paragraph Char"/>
    <w:link w:val="ListParagraph"/>
    <w:uiPriority w:val="34"/>
    <w:locked/>
    <w:rsid w:val="00E926E7"/>
  </w:style>
  <w:style w:type="character" w:styleId="Hyperlink">
    <w:name w:val="Hyperlink"/>
    <w:uiPriority w:val="99"/>
    <w:rsid w:val="00CA7CBA"/>
    <w:rPr>
      <w:color w:val="0000FF"/>
      <w:u w:val="single"/>
    </w:rPr>
  </w:style>
  <w:style w:type="paragraph" w:styleId="CommentSubject">
    <w:name w:val="annotation subject"/>
    <w:basedOn w:val="CommentText"/>
    <w:next w:val="CommentText"/>
    <w:link w:val="CommentSubjectChar"/>
    <w:uiPriority w:val="99"/>
    <w:semiHidden/>
    <w:unhideWhenUsed/>
    <w:rsid w:val="0062270D"/>
    <w:pPr>
      <w:tabs>
        <w:tab w:val="clear" w:pos="567"/>
      </w:tabs>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270D"/>
    <w:rPr>
      <w:rFonts w:ascii="Gill Sans MT" w:eastAsia="Times New Roman" w:hAnsi="Gill Sans MT" w:cs="Times New Roman"/>
      <w:b/>
      <w:bCs/>
      <w:sz w:val="20"/>
      <w:szCs w:val="20"/>
    </w:rPr>
  </w:style>
  <w:style w:type="paragraph" w:styleId="FootnoteText">
    <w:name w:val="footnote text"/>
    <w:basedOn w:val="Normal"/>
    <w:link w:val="FootnoteTextChar"/>
    <w:uiPriority w:val="99"/>
    <w:semiHidden/>
    <w:unhideWhenUsed/>
    <w:rsid w:val="00F84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DF5"/>
    <w:rPr>
      <w:sz w:val="20"/>
      <w:szCs w:val="20"/>
    </w:rPr>
  </w:style>
  <w:style w:type="character" w:styleId="FootnoteReference">
    <w:name w:val="footnote reference"/>
    <w:basedOn w:val="DefaultParagraphFont"/>
    <w:uiPriority w:val="99"/>
    <w:semiHidden/>
    <w:unhideWhenUsed/>
    <w:rsid w:val="00F84DF5"/>
    <w:rPr>
      <w:vertAlign w:val="superscript"/>
    </w:rPr>
  </w:style>
  <w:style w:type="paragraph" w:customStyle="1" w:styleId="Default">
    <w:name w:val="Default"/>
    <w:rsid w:val="00476FCB"/>
    <w:pPr>
      <w:autoSpaceDE w:val="0"/>
      <w:autoSpaceDN w:val="0"/>
      <w:adjustRightInd w:val="0"/>
      <w:spacing w:after="0" w:line="240" w:lineRule="auto"/>
    </w:pPr>
    <w:rPr>
      <w:rFonts w:ascii="Arial" w:hAnsi="Arial" w:cs="Arial"/>
      <w:color w:val="000000"/>
      <w:sz w:val="24"/>
      <w:szCs w:val="24"/>
    </w:rPr>
  </w:style>
  <w:style w:type="character" w:customStyle="1" w:styleId="InstructionText">
    <w:name w:val="Instruction Text"/>
    <w:qFormat/>
    <w:rsid w:val="00476FCB"/>
    <w:rPr>
      <w:i/>
      <w:color w:val="0070C0"/>
    </w:rPr>
  </w:style>
  <w:style w:type="paragraph" w:customStyle="1" w:styleId="BulletedListLevel1">
    <w:name w:val="Bulleted List Level 1"/>
    <w:link w:val="BulletedListLevel1Char"/>
    <w:uiPriority w:val="99"/>
    <w:rsid w:val="00476FCB"/>
    <w:pPr>
      <w:numPr>
        <w:numId w:val="2"/>
      </w:numPr>
      <w:tabs>
        <w:tab w:val="left" w:pos="1134"/>
      </w:tabs>
      <w:spacing w:after="140" w:line="300" w:lineRule="atLeast"/>
    </w:pPr>
    <w:rPr>
      <w:rFonts w:ascii="Gill Sans MT" w:eastAsia="Times New Roman" w:hAnsi="Gill Sans MT" w:cs="Times New Roman"/>
      <w:szCs w:val="24"/>
    </w:rPr>
  </w:style>
  <w:style w:type="character" w:customStyle="1" w:styleId="BulletedListLevel1Char">
    <w:name w:val="Bulleted List Level 1 Char"/>
    <w:link w:val="BulletedListLevel1"/>
    <w:uiPriority w:val="99"/>
    <w:locked/>
    <w:rsid w:val="00476FCB"/>
    <w:rPr>
      <w:rFonts w:ascii="Gill Sans MT" w:eastAsia="Times New Roman" w:hAnsi="Gill Sans MT" w:cs="Times New Roman"/>
      <w:szCs w:val="24"/>
    </w:rPr>
  </w:style>
  <w:style w:type="paragraph" w:customStyle="1" w:styleId="Disclaimer">
    <w:name w:val="Disclaimer"/>
    <w:basedOn w:val="Normal"/>
    <w:uiPriority w:val="99"/>
    <w:rsid w:val="00F30014"/>
    <w:pPr>
      <w:widowControl w:val="0"/>
      <w:tabs>
        <w:tab w:val="left" w:pos="283"/>
        <w:tab w:val="left" w:pos="567"/>
        <w:tab w:val="left" w:pos="850"/>
        <w:tab w:val="left" w:pos="1134"/>
        <w:tab w:val="left" w:pos="1417"/>
        <w:tab w:val="left" w:pos="1701"/>
      </w:tabs>
      <w:autoSpaceDE w:val="0"/>
      <w:autoSpaceDN w:val="0"/>
      <w:adjustRightInd w:val="0"/>
      <w:spacing w:before="120" w:after="120" w:line="240" w:lineRule="auto"/>
      <w:textAlignment w:val="center"/>
    </w:pPr>
    <w:rPr>
      <w:rFonts w:ascii="GillSans Light" w:eastAsia="MS Mincho" w:hAnsi="GillSans Light" w:cs="GillSans-Light"/>
      <w:color w:val="000000"/>
      <w:sz w:val="20"/>
      <w:szCs w:val="18"/>
      <w:lang w:val="en-GB"/>
    </w:rPr>
  </w:style>
  <w:style w:type="paragraph" w:styleId="NoSpacing">
    <w:name w:val="No Spacing"/>
    <w:link w:val="NoSpacingChar"/>
    <w:uiPriority w:val="1"/>
    <w:qFormat/>
    <w:rsid w:val="000B1A6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B1A62"/>
    <w:rPr>
      <w:rFonts w:eastAsiaTheme="minorEastAsia"/>
      <w:lang w:val="en-US" w:eastAsia="ja-JP"/>
    </w:rPr>
  </w:style>
  <w:style w:type="paragraph" w:styleId="EndnoteText">
    <w:name w:val="endnote text"/>
    <w:basedOn w:val="Normal"/>
    <w:link w:val="EndnoteTextChar"/>
    <w:uiPriority w:val="99"/>
    <w:semiHidden/>
    <w:unhideWhenUsed/>
    <w:rsid w:val="00F24F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F45"/>
    <w:rPr>
      <w:sz w:val="20"/>
      <w:szCs w:val="20"/>
    </w:rPr>
  </w:style>
  <w:style w:type="character" w:styleId="EndnoteReference">
    <w:name w:val="endnote reference"/>
    <w:basedOn w:val="DefaultParagraphFont"/>
    <w:uiPriority w:val="99"/>
    <w:unhideWhenUsed/>
    <w:rsid w:val="00F24F45"/>
    <w:rPr>
      <w:vertAlign w:val="superscript"/>
    </w:rPr>
  </w:style>
  <w:style w:type="character" w:styleId="CommentReference">
    <w:name w:val="annotation reference"/>
    <w:basedOn w:val="DefaultParagraphFont"/>
    <w:uiPriority w:val="99"/>
    <w:semiHidden/>
    <w:unhideWhenUsed/>
    <w:rsid w:val="003E373A"/>
    <w:rPr>
      <w:sz w:val="16"/>
      <w:szCs w:val="16"/>
    </w:rPr>
  </w:style>
  <w:style w:type="paragraph" w:styleId="Revision">
    <w:name w:val="Revision"/>
    <w:hidden/>
    <w:uiPriority w:val="99"/>
    <w:semiHidden/>
    <w:rsid w:val="001C3169"/>
    <w:pPr>
      <w:spacing w:after="0" w:line="240" w:lineRule="auto"/>
    </w:pPr>
  </w:style>
  <w:style w:type="character" w:styleId="FollowedHyperlink">
    <w:name w:val="FollowedHyperlink"/>
    <w:basedOn w:val="DefaultParagraphFont"/>
    <w:uiPriority w:val="99"/>
    <w:semiHidden/>
    <w:unhideWhenUsed/>
    <w:rsid w:val="009E34D8"/>
    <w:rPr>
      <w:color w:val="800080" w:themeColor="followedHyperlink"/>
      <w:u w:val="single"/>
    </w:rPr>
  </w:style>
  <w:style w:type="character" w:customStyle="1" w:styleId="Heading1Char">
    <w:name w:val="Heading 1 Char"/>
    <w:basedOn w:val="DefaultParagraphFont"/>
    <w:link w:val="Heading1"/>
    <w:uiPriority w:val="9"/>
    <w:rsid w:val="009146F9"/>
    <w:rPr>
      <w:rFonts w:ascii="Gill Sans MT" w:eastAsiaTheme="majorEastAsia" w:hAnsi="Gill Sans MT" w:cstheme="majorBidi"/>
      <w:b/>
      <w:bCs/>
      <w:color w:val="365F91" w:themeColor="accent1" w:themeShade="BF"/>
      <w:sz w:val="32"/>
      <w:szCs w:val="32"/>
    </w:rPr>
  </w:style>
  <w:style w:type="paragraph" w:styleId="TOCHeading">
    <w:name w:val="TOC Heading"/>
    <w:basedOn w:val="Heading1"/>
    <w:next w:val="Normal"/>
    <w:uiPriority w:val="39"/>
    <w:unhideWhenUsed/>
    <w:qFormat/>
    <w:rsid w:val="00A12C97"/>
    <w:pPr>
      <w:outlineLvl w:val="9"/>
    </w:pPr>
    <w:rPr>
      <w:lang w:val="en-US" w:eastAsia="ja-JP"/>
    </w:rPr>
  </w:style>
  <w:style w:type="character" w:customStyle="1" w:styleId="Heading2Char">
    <w:name w:val="Heading 2 Char"/>
    <w:basedOn w:val="DefaultParagraphFont"/>
    <w:link w:val="Heading2"/>
    <w:uiPriority w:val="9"/>
    <w:rsid w:val="009146F9"/>
    <w:rPr>
      <w:rFonts w:ascii="Gill Sans MT" w:eastAsiaTheme="majorEastAsia" w:hAnsi="Gill Sans MT" w:cstheme="majorBidi"/>
      <w:b/>
      <w:bCs/>
      <w:color w:val="4F81BD" w:themeColor="accent1"/>
      <w:sz w:val="28"/>
      <w:szCs w:val="28"/>
    </w:rPr>
  </w:style>
  <w:style w:type="character" w:customStyle="1" w:styleId="Heading3Char">
    <w:name w:val="Heading 3 Char"/>
    <w:basedOn w:val="DefaultParagraphFont"/>
    <w:link w:val="Heading3"/>
    <w:uiPriority w:val="9"/>
    <w:rsid w:val="00BA74FA"/>
    <w:rPr>
      <w:rFonts w:ascii="Gill Sans MT" w:eastAsiaTheme="majorEastAsia" w:hAnsi="Gill Sans MT" w:cstheme="majorBidi"/>
      <w:b/>
      <w:bCs/>
      <w:color w:val="4F81BD"/>
      <w:sz w:val="24"/>
      <w:szCs w:val="28"/>
    </w:rPr>
  </w:style>
  <w:style w:type="paragraph" w:styleId="TOC1">
    <w:name w:val="toc 1"/>
    <w:basedOn w:val="Normal"/>
    <w:next w:val="Normal"/>
    <w:autoRedefine/>
    <w:uiPriority w:val="39"/>
    <w:unhideWhenUsed/>
    <w:rsid w:val="00D42940"/>
    <w:pPr>
      <w:spacing w:after="100"/>
    </w:pPr>
  </w:style>
  <w:style w:type="paragraph" w:styleId="TOC2">
    <w:name w:val="toc 2"/>
    <w:basedOn w:val="Normal"/>
    <w:next w:val="Normal"/>
    <w:autoRedefine/>
    <w:uiPriority w:val="39"/>
    <w:unhideWhenUsed/>
    <w:rsid w:val="00D42940"/>
    <w:pPr>
      <w:spacing w:after="100"/>
      <w:ind w:left="220"/>
    </w:pPr>
  </w:style>
  <w:style w:type="paragraph" w:styleId="TOC3">
    <w:name w:val="toc 3"/>
    <w:basedOn w:val="Normal"/>
    <w:next w:val="Normal"/>
    <w:autoRedefine/>
    <w:uiPriority w:val="39"/>
    <w:unhideWhenUsed/>
    <w:rsid w:val="00D42940"/>
    <w:pPr>
      <w:spacing w:after="100"/>
      <w:ind w:left="440"/>
    </w:pPr>
  </w:style>
  <w:style w:type="paragraph" w:customStyle="1" w:styleId="BodyCopy">
    <w:name w:val="Body Copy"/>
    <w:basedOn w:val="Normal"/>
    <w:qFormat/>
    <w:rsid w:val="00244E77"/>
    <w:pPr>
      <w:spacing w:after="140" w:line="300" w:lineRule="atLeast"/>
      <w:ind w:left="199" w:right="199"/>
    </w:pPr>
    <w:rPr>
      <w:rFonts w:ascii="Gill Sans MT" w:eastAsia="Times New Roman" w:hAnsi="Gill Sans MT" w:cs="Times New Roman"/>
      <w:color w:val="000000" w:themeColor="text1"/>
      <w:szCs w:val="24"/>
      <w:lang w:eastAsia="en-AU"/>
    </w:rPr>
  </w:style>
  <w:style w:type="paragraph" w:customStyle="1" w:styleId="MainHeading">
    <w:name w:val="Main Heading"/>
    <w:basedOn w:val="Normal"/>
    <w:qFormat/>
    <w:rsid w:val="00244E77"/>
    <w:pPr>
      <w:spacing w:before="240" w:after="60" w:line="300" w:lineRule="atLeast"/>
      <w:ind w:left="199" w:right="199"/>
      <w:outlineLvl w:val="0"/>
    </w:pPr>
    <w:rPr>
      <w:rFonts w:ascii="Gill Sans MT" w:eastAsia="Times New Roman" w:hAnsi="Gill Sans MT" w:cs="Arial"/>
      <w:bCs/>
      <w:color w:val="772953"/>
      <w:kern w:val="28"/>
      <w:sz w:val="64"/>
      <w:szCs w:val="32"/>
      <w:lang w:eastAsia="en-AU"/>
    </w:rPr>
  </w:style>
  <w:style w:type="paragraph" w:customStyle="1" w:styleId="Subtitle2">
    <w:name w:val="Subtitle2"/>
    <w:basedOn w:val="Normal"/>
    <w:qFormat/>
    <w:rsid w:val="00244E77"/>
    <w:pPr>
      <w:tabs>
        <w:tab w:val="left" w:pos="4240"/>
      </w:tabs>
      <w:spacing w:after="240" w:line="480" w:lineRule="exact"/>
      <w:ind w:left="198" w:right="-57"/>
    </w:pPr>
    <w:rPr>
      <w:rFonts w:ascii="Gill Sans MT" w:eastAsia="Times New Roman" w:hAnsi="Gill Sans MT" w:cs="Times New Roman"/>
      <w:color w:val="614D7D"/>
      <w:sz w:val="32"/>
      <w:szCs w:val="32"/>
      <w:lang w:eastAsia="en-AU"/>
    </w:rPr>
  </w:style>
  <w:style w:type="paragraph" w:customStyle="1" w:styleId="ContentHeading">
    <w:name w:val="Content Heading"/>
    <w:basedOn w:val="Heading1"/>
    <w:qFormat/>
    <w:rsid w:val="00244E77"/>
    <w:pPr>
      <w:keepNext w:val="0"/>
      <w:keepLines w:val="0"/>
      <w:spacing w:before="0" w:after="60" w:line="300" w:lineRule="atLeast"/>
      <w:ind w:left="199" w:right="199"/>
    </w:pPr>
    <w:rPr>
      <w:rFonts w:eastAsia="Times New Roman" w:cs="Arial"/>
      <w:bCs w:val="0"/>
      <w:color w:val="000000" w:themeColor="text1"/>
      <w:sz w:val="24"/>
      <w:szCs w:val="24"/>
      <w:lang w:eastAsia="en-AU"/>
    </w:rPr>
  </w:style>
  <w:style w:type="paragraph" w:customStyle="1" w:styleId="Level2DiscussionAction">
    <w:name w:val="Level 2 Discussion Action"/>
    <w:basedOn w:val="Normal"/>
    <w:rsid w:val="00093BC6"/>
    <w:pPr>
      <w:tabs>
        <w:tab w:val="left" w:pos="567"/>
      </w:tabs>
      <w:spacing w:after="0" w:line="240" w:lineRule="auto"/>
    </w:pPr>
    <w:rPr>
      <w:rFonts w:ascii="Gill Sans MT" w:eastAsia="Times New Roman" w:hAnsi="Gill Sans MT" w:cs="Times New Roman"/>
      <w:szCs w:val="24"/>
    </w:rPr>
  </w:style>
  <w:style w:type="paragraph" w:styleId="ListBullet">
    <w:name w:val="List Bullet"/>
    <w:basedOn w:val="Normal"/>
    <w:rsid w:val="006E058D"/>
    <w:pPr>
      <w:numPr>
        <w:numId w:val="39"/>
      </w:numPr>
      <w:spacing w:after="160" w:line="300" w:lineRule="atLeast"/>
    </w:pPr>
    <w:rPr>
      <w:rFonts w:ascii="Times New Roman" w:eastAsia="Times New Roman" w:hAnsi="Times New Roman" w:cs="Times New Roman"/>
      <w:szCs w:val="24"/>
    </w:rPr>
  </w:style>
  <w:style w:type="paragraph" w:customStyle="1" w:styleId="NormalItalics">
    <w:name w:val="NormalItalics"/>
    <w:basedOn w:val="Normal"/>
    <w:rsid w:val="001832DB"/>
    <w:pPr>
      <w:spacing w:before="100" w:beforeAutospacing="1" w:after="100" w:afterAutospacing="1" w:line="240" w:lineRule="auto"/>
    </w:pPr>
    <w:rPr>
      <w:rFonts w:ascii="Arial" w:eastAsia="Times New Roman" w:hAnsi="Arial" w:cs="Times New Roman"/>
      <w:i/>
      <w:iCs/>
      <w:lang w:eastAsia="en-AU"/>
    </w:rPr>
  </w:style>
  <w:style w:type="paragraph" w:styleId="Caption">
    <w:name w:val="caption"/>
    <w:basedOn w:val="Normal"/>
    <w:next w:val="Normal"/>
    <w:uiPriority w:val="35"/>
    <w:qFormat/>
    <w:rsid w:val="008161F2"/>
    <w:pPr>
      <w:tabs>
        <w:tab w:val="left" w:pos="567"/>
      </w:tabs>
      <w:spacing w:before="120" w:after="120" w:line="300" w:lineRule="atLeast"/>
    </w:pPr>
    <w:rPr>
      <w:rFonts w:ascii="Gill Sans MT" w:eastAsia="Times New Roman" w:hAnsi="Gill Sans MT" w:cs="Times New Roman"/>
      <w:b/>
      <w:bCs/>
      <w:sz w:val="20"/>
      <w:szCs w:val="20"/>
    </w:rPr>
  </w:style>
  <w:style w:type="character" w:customStyle="1" w:styleId="A6">
    <w:name w:val="A6"/>
    <w:uiPriority w:val="99"/>
    <w:rsid w:val="00747A68"/>
    <w:rPr>
      <w:rFonts w:cs="Myriad Pro"/>
      <w:color w:val="000000"/>
      <w:sz w:val="18"/>
      <w:szCs w:val="18"/>
    </w:rPr>
  </w:style>
  <w:style w:type="character" w:customStyle="1" w:styleId="Heading4Char">
    <w:name w:val="Heading 4 Char"/>
    <w:basedOn w:val="DefaultParagraphFont"/>
    <w:link w:val="Heading4"/>
    <w:uiPriority w:val="9"/>
    <w:rsid w:val="00A42B05"/>
    <w:rPr>
      <w:rFonts w:ascii="Gill Sans MT" w:eastAsiaTheme="majorEastAsia" w:hAnsi="Gill Sans MT" w:cstheme="majorBidi"/>
      <w:bCs/>
      <w:iCs/>
      <w:color w:val="7030A0"/>
      <w:sz w:val="32"/>
    </w:rPr>
  </w:style>
  <w:style w:type="paragraph" w:styleId="Title">
    <w:name w:val="Title"/>
    <w:basedOn w:val="Normal"/>
    <w:next w:val="Normal"/>
    <w:link w:val="TitleChar"/>
    <w:uiPriority w:val="10"/>
    <w:qFormat/>
    <w:rsid w:val="00C569E6"/>
    <w:pPr>
      <w:keepNext/>
      <w:spacing w:before="120" w:after="120" w:line="280" w:lineRule="atLeast"/>
    </w:pPr>
    <w:rPr>
      <w:rFonts w:ascii="Gill Sans MT" w:hAnsi="Gill Sans MT"/>
      <w:color w:val="31849B" w:themeColor="accent5" w:themeShade="BF"/>
      <w:sz w:val="80"/>
      <w:szCs w:val="80"/>
    </w:rPr>
  </w:style>
  <w:style w:type="character" w:customStyle="1" w:styleId="TitleChar">
    <w:name w:val="Title Char"/>
    <w:basedOn w:val="DefaultParagraphFont"/>
    <w:link w:val="Title"/>
    <w:uiPriority w:val="10"/>
    <w:rsid w:val="00C569E6"/>
    <w:rPr>
      <w:rFonts w:ascii="Gill Sans MT" w:hAnsi="Gill Sans MT"/>
      <w:color w:val="31849B" w:themeColor="accent5" w:themeShade="BF"/>
      <w:sz w:val="80"/>
      <w:szCs w:val="80"/>
    </w:rPr>
  </w:style>
  <w:style w:type="paragraph" w:styleId="Subtitle">
    <w:name w:val="Subtitle"/>
    <w:basedOn w:val="Normal"/>
    <w:next w:val="Normal"/>
    <w:link w:val="SubtitleChar"/>
    <w:uiPriority w:val="11"/>
    <w:qFormat/>
    <w:rsid w:val="00C569E6"/>
    <w:pPr>
      <w:keepNext/>
      <w:spacing w:before="120" w:after="120" w:line="280" w:lineRule="atLeast"/>
    </w:pPr>
    <w:rPr>
      <w:rFonts w:ascii="Gill Sans MT" w:hAnsi="Gill Sans MT"/>
      <w:color w:val="1F497D" w:themeColor="text2"/>
      <w:sz w:val="44"/>
    </w:rPr>
  </w:style>
  <w:style w:type="character" w:customStyle="1" w:styleId="SubtitleChar">
    <w:name w:val="Subtitle Char"/>
    <w:basedOn w:val="DefaultParagraphFont"/>
    <w:link w:val="Subtitle"/>
    <w:uiPriority w:val="11"/>
    <w:rsid w:val="00C569E6"/>
    <w:rPr>
      <w:rFonts w:ascii="Gill Sans MT" w:hAnsi="Gill Sans MT"/>
      <w:color w:val="1F497D" w:themeColor="text2"/>
      <w:sz w:val="44"/>
    </w:rPr>
  </w:style>
  <w:style w:type="character" w:customStyle="1" w:styleId="Heading5Char">
    <w:name w:val="Heading 5 Char"/>
    <w:basedOn w:val="DefaultParagraphFont"/>
    <w:link w:val="Heading5"/>
    <w:uiPriority w:val="9"/>
    <w:rsid w:val="00BA74F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243">
      <w:bodyDiv w:val="1"/>
      <w:marLeft w:val="0"/>
      <w:marRight w:val="0"/>
      <w:marTop w:val="0"/>
      <w:marBottom w:val="0"/>
      <w:divBdr>
        <w:top w:val="none" w:sz="0" w:space="0" w:color="auto"/>
        <w:left w:val="none" w:sz="0" w:space="0" w:color="auto"/>
        <w:bottom w:val="none" w:sz="0" w:space="0" w:color="auto"/>
        <w:right w:val="none" w:sz="0" w:space="0" w:color="auto"/>
      </w:divBdr>
    </w:div>
    <w:div w:id="27150969">
      <w:bodyDiv w:val="1"/>
      <w:marLeft w:val="0"/>
      <w:marRight w:val="0"/>
      <w:marTop w:val="0"/>
      <w:marBottom w:val="0"/>
      <w:divBdr>
        <w:top w:val="none" w:sz="0" w:space="0" w:color="auto"/>
        <w:left w:val="none" w:sz="0" w:space="0" w:color="auto"/>
        <w:bottom w:val="none" w:sz="0" w:space="0" w:color="auto"/>
        <w:right w:val="none" w:sz="0" w:space="0" w:color="auto"/>
      </w:divBdr>
    </w:div>
    <w:div w:id="42415380">
      <w:bodyDiv w:val="1"/>
      <w:marLeft w:val="0"/>
      <w:marRight w:val="0"/>
      <w:marTop w:val="0"/>
      <w:marBottom w:val="0"/>
      <w:divBdr>
        <w:top w:val="none" w:sz="0" w:space="0" w:color="auto"/>
        <w:left w:val="none" w:sz="0" w:space="0" w:color="auto"/>
        <w:bottom w:val="none" w:sz="0" w:space="0" w:color="auto"/>
        <w:right w:val="none" w:sz="0" w:space="0" w:color="auto"/>
      </w:divBdr>
    </w:div>
    <w:div w:id="104466729">
      <w:bodyDiv w:val="1"/>
      <w:marLeft w:val="0"/>
      <w:marRight w:val="0"/>
      <w:marTop w:val="0"/>
      <w:marBottom w:val="0"/>
      <w:divBdr>
        <w:top w:val="none" w:sz="0" w:space="0" w:color="auto"/>
        <w:left w:val="none" w:sz="0" w:space="0" w:color="auto"/>
        <w:bottom w:val="none" w:sz="0" w:space="0" w:color="auto"/>
        <w:right w:val="none" w:sz="0" w:space="0" w:color="auto"/>
      </w:divBdr>
    </w:div>
    <w:div w:id="228810327">
      <w:bodyDiv w:val="1"/>
      <w:marLeft w:val="0"/>
      <w:marRight w:val="0"/>
      <w:marTop w:val="0"/>
      <w:marBottom w:val="0"/>
      <w:divBdr>
        <w:top w:val="none" w:sz="0" w:space="0" w:color="auto"/>
        <w:left w:val="none" w:sz="0" w:space="0" w:color="auto"/>
        <w:bottom w:val="none" w:sz="0" w:space="0" w:color="auto"/>
        <w:right w:val="none" w:sz="0" w:space="0" w:color="auto"/>
      </w:divBdr>
    </w:div>
    <w:div w:id="325479909">
      <w:bodyDiv w:val="1"/>
      <w:marLeft w:val="0"/>
      <w:marRight w:val="0"/>
      <w:marTop w:val="0"/>
      <w:marBottom w:val="0"/>
      <w:divBdr>
        <w:top w:val="none" w:sz="0" w:space="0" w:color="auto"/>
        <w:left w:val="none" w:sz="0" w:space="0" w:color="auto"/>
        <w:bottom w:val="none" w:sz="0" w:space="0" w:color="auto"/>
        <w:right w:val="none" w:sz="0" w:space="0" w:color="auto"/>
      </w:divBdr>
    </w:div>
    <w:div w:id="339622622">
      <w:bodyDiv w:val="1"/>
      <w:marLeft w:val="0"/>
      <w:marRight w:val="0"/>
      <w:marTop w:val="0"/>
      <w:marBottom w:val="0"/>
      <w:divBdr>
        <w:top w:val="none" w:sz="0" w:space="0" w:color="auto"/>
        <w:left w:val="none" w:sz="0" w:space="0" w:color="auto"/>
        <w:bottom w:val="none" w:sz="0" w:space="0" w:color="auto"/>
        <w:right w:val="none" w:sz="0" w:space="0" w:color="auto"/>
      </w:divBdr>
    </w:div>
    <w:div w:id="341319593">
      <w:bodyDiv w:val="1"/>
      <w:marLeft w:val="0"/>
      <w:marRight w:val="0"/>
      <w:marTop w:val="0"/>
      <w:marBottom w:val="0"/>
      <w:divBdr>
        <w:top w:val="none" w:sz="0" w:space="0" w:color="auto"/>
        <w:left w:val="none" w:sz="0" w:space="0" w:color="auto"/>
        <w:bottom w:val="none" w:sz="0" w:space="0" w:color="auto"/>
        <w:right w:val="none" w:sz="0" w:space="0" w:color="auto"/>
      </w:divBdr>
    </w:div>
    <w:div w:id="407659200">
      <w:bodyDiv w:val="1"/>
      <w:marLeft w:val="0"/>
      <w:marRight w:val="0"/>
      <w:marTop w:val="0"/>
      <w:marBottom w:val="0"/>
      <w:divBdr>
        <w:top w:val="none" w:sz="0" w:space="0" w:color="auto"/>
        <w:left w:val="none" w:sz="0" w:space="0" w:color="auto"/>
        <w:bottom w:val="none" w:sz="0" w:space="0" w:color="auto"/>
        <w:right w:val="none" w:sz="0" w:space="0" w:color="auto"/>
      </w:divBdr>
    </w:div>
    <w:div w:id="418217946">
      <w:bodyDiv w:val="1"/>
      <w:marLeft w:val="0"/>
      <w:marRight w:val="0"/>
      <w:marTop w:val="0"/>
      <w:marBottom w:val="0"/>
      <w:divBdr>
        <w:top w:val="none" w:sz="0" w:space="0" w:color="auto"/>
        <w:left w:val="none" w:sz="0" w:space="0" w:color="auto"/>
        <w:bottom w:val="none" w:sz="0" w:space="0" w:color="auto"/>
        <w:right w:val="none" w:sz="0" w:space="0" w:color="auto"/>
      </w:divBdr>
    </w:div>
    <w:div w:id="425347772">
      <w:bodyDiv w:val="1"/>
      <w:marLeft w:val="0"/>
      <w:marRight w:val="0"/>
      <w:marTop w:val="0"/>
      <w:marBottom w:val="0"/>
      <w:divBdr>
        <w:top w:val="none" w:sz="0" w:space="0" w:color="auto"/>
        <w:left w:val="none" w:sz="0" w:space="0" w:color="auto"/>
        <w:bottom w:val="none" w:sz="0" w:space="0" w:color="auto"/>
        <w:right w:val="none" w:sz="0" w:space="0" w:color="auto"/>
      </w:divBdr>
    </w:div>
    <w:div w:id="450630922">
      <w:bodyDiv w:val="1"/>
      <w:marLeft w:val="0"/>
      <w:marRight w:val="0"/>
      <w:marTop w:val="0"/>
      <w:marBottom w:val="0"/>
      <w:divBdr>
        <w:top w:val="none" w:sz="0" w:space="0" w:color="auto"/>
        <w:left w:val="none" w:sz="0" w:space="0" w:color="auto"/>
        <w:bottom w:val="none" w:sz="0" w:space="0" w:color="auto"/>
        <w:right w:val="none" w:sz="0" w:space="0" w:color="auto"/>
      </w:divBdr>
    </w:div>
    <w:div w:id="568081801">
      <w:bodyDiv w:val="1"/>
      <w:marLeft w:val="0"/>
      <w:marRight w:val="0"/>
      <w:marTop w:val="0"/>
      <w:marBottom w:val="0"/>
      <w:divBdr>
        <w:top w:val="none" w:sz="0" w:space="0" w:color="auto"/>
        <w:left w:val="none" w:sz="0" w:space="0" w:color="auto"/>
        <w:bottom w:val="none" w:sz="0" w:space="0" w:color="auto"/>
        <w:right w:val="none" w:sz="0" w:space="0" w:color="auto"/>
      </w:divBdr>
    </w:div>
    <w:div w:id="615908546">
      <w:bodyDiv w:val="1"/>
      <w:marLeft w:val="0"/>
      <w:marRight w:val="0"/>
      <w:marTop w:val="0"/>
      <w:marBottom w:val="0"/>
      <w:divBdr>
        <w:top w:val="none" w:sz="0" w:space="0" w:color="auto"/>
        <w:left w:val="none" w:sz="0" w:space="0" w:color="auto"/>
        <w:bottom w:val="none" w:sz="0" w:space="0" w:color="auto"/>
        <w:right w:val="none" w:sz="0" w:space="0" w:color="auto"/>
      </w:divBdr>
    </w:div>
    <w:div w:id="793252837">
      <w:bodyDiv w:val="1"/>
      <w:marLeft w:val="0"/>
      <w:marRight w:val="0"/>
      <w:marTop w:val="0"/>
      <w:marBottom w:val="0"/>
      <w:divBdr>
        <w:top w:val="none" w:sz="0" w:space="0" w:color="auto"/>
        <w:left w:val="none" w:sz="0" w:space="0" w:color="auto"/>
        <w:bottom w:val="none" w:sz="0" w:space="0" w:color="auto"/>
        <w:right w:val="none" w:sz="0" w:space="0" w:color="auto"/>
      </w:divBdr>
    </w:div>
    <w:div w:id="809833026">
      <w:bodyDiv w:val="1"/>
      <w:marLeft w:val="0"/>
      <w:marRight w:val="0"/>
      <w:marTop w:val="0"/>
      <w:marBottom w:val="0"/>
      <w:divBdr>
        <w:top w:val="none" w:sz="0" w:space="0" w:color="auto"/>
        <w:left w:val="none" w:sz="0" w:space="0" w:color="auto"/>
        <w:bottom w:val="none" w:sz="0" w:space="0" w:color="auto"/>
        <w:right w:val="none" w:sz="0" w:space="0" w:color="auto"/>
      </w:divBdr>
    </w:div>
    <w:div w:id="834151104">
      <w:bodyDiv w:val="1"/>
      <w:marLeft w:val="0"/>
      <w:marRight w:val="0"/>
      <w:marTop w:val="0"/>
      <w:marBottom w:val="0"/>
      <w:divBdr>
        <w:top w:val="none" w:sz="0" w:space="0" w:color="auto"/>
        <w:left w:val="none" w:sz="0" w:space="0" w:color="auto"/>
        <w:bottom w:val="none" w:sz="0" w:space="0" w:color="auto"/>
        <w:right w:val="none" w:sz="0" w:space="0" w:color="auto"/>
      </w:divBdr>
    </w:div>
    <w:div w:id="847450745">
      <w:bodyDiv w:val="1"/>
      <w:marLeft w:val="0"/>
      <w:marRight w:val="0"/>
      <w:marTop w:val="0"/>
      <w:marBottom w:val="0"/>
      <w:divBdr>
        <w:top w:val="none" w:sz="0" w:space="0" w:color="auto"/>
        <w:left w:val="none" w:sz="0" w:space="0" w:color="auto"/>
        <w:bottom w:val="none" w:sz="0" w:space="0" w:color="auto"/>
        <w:right w:val="none" w:sz="0" w:space="0" w:color="auto"/>
      </w:divBdr>
    </w:div>
    <w:div w:id="853031902">
      <w:bodyDiv w:val="1"/>
      <w:marLeft w:val="0"/>
      <w:marRight w:val="0"/>
      <w:marTop w:val="0"/>
      <w:marBottom w:val="0"/>
      <w:divBdr>
        <w:top w:val="none" w:sz="0" w:space="0" w:color="auto"/>
        <w:left w:val="none" w:sz="0" w:space="0" w:color="auto"/>
        <w:bottom w:val="none" w:sz="0" w:space="0" w:color="auto"/>
        <w:right w:val="none" w:sz="0" w:space="0" w:color="auto"/>
      </w:divBdr>
    </w:div>
    <w:div w:id="890071215">
      <w:bodyDiv w:val="1"/>
      <w:marLeft w:val="0"/>
      <w:marRight w:val="0"/>
      <w:marTop w:val="0"/>
      <w:marBottom w:val="0"/>
      <w:divBdr>
        <w:top w:val="none" w:sz="0" w:space="0" w:color="auto"/>
        <w:left w:val="none" w:sz="0" w:space="0" w:color="auto"/>
        <w:bottom w:val="none" w:sz="0" w:space="0" w:color="auto"/>
        <w:right w:val="none" w:sz="0" w:space="0" w:color="auto"/>
      </w:divBdr>
    </w:div>
    <w:div w:id="955526176">
      <w:bodyDiv w:val="1"/>
      <w:marLeft w:val="0"/>
      <w:marRight w:val="0"/>
      <w:marTop w:val="0"/>
      <w:marBottom w:val="0"/>
      <w:divBdr>
        <w:top w:val="none" w:sz="0" w:space="0" w:color="auto"/>
        <w:left w:val="none" w:sz="0" w:space="0" w:color="auto"/>
        <w:bottom w:val="none" w:sz="0" w:space="0" w:color="auto"/>
        <w:right w:val="none" w:sz="0" w:space="0" w:color="auto"/>
      </w:divBdr>
    </w:div>
    <w:div w:id="1032077750">
      <w:bodyDiv w:val="1"/>
      <w:marLeft w:val="0"/>
      <w:marRight w:val="0"/>
      <w:marTop w:val="0"/>
      <w:marBottom w:val="0"/>
      <w:divBdr>
        <w:top w:val="none" w:sz="0" w:space="0" w:color="auto"/>
        <w:left w:val="none" w:sz="0" w:space="0" w:color="auto"/>
        <w:bottom w:val="none" w:sz="0" w:space="0" w:color="auto"/>
        <w:right w:val="none" w:sz="0" w:space="0" w:color="auto"/>
      </w:divBdr>
    </w:div>
    <w:div w:id="1055590441">
      <w:bodyDiv w:val="1"/>
      <w:marLeft w:val="0"/>
      <w:marRight w:val="0"/>
      <w:marTop w:val="0"/>
      <w:marBottom w:val="0"/>
      <w:divBdr>
        <w:top w:val="none" w:sz="0" w:space="0" w:color="auto"/>
        <w:left w:val="none" w:sz="0" w:space="0" w:color="auto"/>
        <w:bottom w:val="none" w:sz="0" w:space="0" w:color="auto"/>
        <w:right w:val="none" w:sz="0" w:space="0" w:color="auto"/>
      </w:divBdr>
    </w:div>
    <w:div w:id="1070882471">
      <w:bodyDiv w:val="1"/>
      <w:marLeft w:val="0"/>
      <w:marRight w:val="0"/>
      <w:marTop w:val="0"/>
      <w:marBottom w:val="0"/>
      <w:divBdr>
        <w:top w:val="none" w:sz="0" w:space="0" w:color="auto"/>
        <w:left w:val="none" w:sz="0" w:space="0" w:color="auto"/>
        <w:bottom w:val="none" w:sz="0" w:space="0" w:color="auto"/>
        <w:right w:val="none" w:sz="0" w:space="0" w:color="auto"/>
      </w:divBdr>
    </w:div>
    <w:div w:id="1369913923">
      <w:bodyDiv w:val="1"/>
      <w:marLeft w:val="0"/>
      <w:marRight w:val="0"/>
      <w:marTop w:val="0"/>
      <w:marBottom w:val="0"/>
      <w:divBdr>
        <w:top w:val="none" w:sz="0" w:space="0" w:color="auto"/>
        <w:left w:val="none" w:sz="0" w:space="0" w:color="auto"/>
        <w:bottom w:val="none" w:sz="0" w:space="0" w:color="auto"/>
        <w:right w:val="none" w:sz="0" w:space="0" w:color="auto"/>
      </w:divBdr>
    </w:div>
    <w:div w:id="1382484627">
      <w:bodyDiv w:val="1"/>
      <w:marLeft w:val="0"/>
      <w:marRight w:val="0"/>
      <w:marTop w:val="0"/>
      <w:marBottom w:val="0"/>
      <w:divBdr>
        <w:top w:val="none" w:sz="0" w:space="0" w:color="auto"/>
        <w:left w:val="none" w:sz="0" w:space="0" w:color="auto"/>
        <w:bottom w:val="none" w:sz="0" w:space="0" w:color="auto"/>
        <w:right w:val="none" w:sz="0" w:space="0" w:color="auto"/>
      </w:divBdr>
    </w:div>
    <w:div w:id="1455755349">
      <w:bodyDiv w:val="1"/>
      <w:marLeft w:val="0"/>
      <w:marRight w:val="0"/>
      <w:marTop w:val="0"/>
      <w:marBottom w:val="0"/>
      <w:divBdr>
        <w:top w:val="none" w:sz="0" w:space="0" w:color="auto"/>
        <w:left w:val="none" w:sz="0" w:space="0" w:color="auto"/>
        <w:bottom w:val="none" w:sz="0" w:space="0" w:color="auto"/>
        <w:right w:val="none" w:sz="0" w:space="0" w:color="auto"/>
      </w:divBdr>
    </w:div>
    <w:div w:id="1477919630">
      <w:bodyDiv w:val="1"/>
      <w:marLeft w:val="0"/>
      <w:marRight w:val="0"/>
      <w:marTop w:val="0"/>
      <w:marBottom w:val="0"/>
      <w:divBdr>
        <w:top w:val="none" w:sz="0" w:space="0" w:color="auto"/>
        <w:left w:val="none" w:sz="0" w:space="0" w:color="auto"/>
        <w:bottom w:val="none" w:sz="0" w:space="0" w:color="auto"/>
        <w:right w:val="none" w:sz="0" w:space="0" w:color="auto"/>
      </w:divBdr>
    </w:div>
    <w:div w:id="1606695344">
      <w:bodyDiv w:val="1"/>
      <w:marLeft w:val="0"/>
      <w:marRight w:val="0"/>
      <w:marTop w:val="0"/>
      <w:marBottom w:val="0"/>
      <w:divBdr>
        <w:top w:val="none" w:sz="0" w:space="0" w:color="auto"/>
        <w:left w:val="none" w:sz="0" w:space="0" w:color="auto"/>
        <w:bottom w:val="none" w:sz="0" w:space="0" w:color="auto"/>
        <w:right w:val="none" w:sz="0" w:space="0" w:color="auto"/>
      </w:divBdr>
    </w:div>
    <w:div w:id="1615403534">
      <w:bodyDiv w:val="1"/>
      <w:marLeft w:val="0"/>
      <w:marRight w:val="0"/>
      <w:marTop w:val="0"/>
      <w:marBottom w:val="0"/>
      <w:divBdr>
        <w:top w:val="none" w:sz="0" w:space="0" w:color="auto"/>
        <w:left w:val="none" w:sz="0" w:space="0" w:color="auto"/>
        <w:bottom w:val="none" w:sz="0" w:space="0" w:color="auto"/>
        <w:right w:val="none" w:sz="0" w:space="0" w:color="auto"/>
      </w:divBdr>
    </w:div>
    <w:div w:id="1634673803">
      <w:bodyDiv w:val="1"/>
      <w:marLeft w:val="0"/>
      <w:marRight w:val="0"/>
      <w:marTop w:val="0"/>
      <w:marBottom w:val="0"/>
      <w:divBdr>
        <w:top w:val="none" w:sz="0" w:space="0" w:color="auto"/>
        <w:left w:val="none" w:sz="0" w:space="0" w:color="auto"/>
        <w:bottom w:val="none" w:sz="0" w:space="0" w:color="auto"/>
        <w:right w:val="none" w:sz="0" w:space="0" w:color="auto"/>
      </w:divBdr>
    </w:div>
    <w:div w:id="1646012308">
      <w:bodyDiv w:val="1"/>
      <w:marLeft w:val="0"/>
      <w:marRight w:val="0"/>
      <w:marTop w:val="0"/>
      <w:marBottom w:val="0"/>
      <w:divBdr>
        <w:top w:val="none" w:sz="0" w:space="0" w:color="auto"/>
        <w:left w:val="none" w:sz="0" w:space="0" w:color="auto"/>
        <w:bottom w:val="none" w:sz="0" w:space="0" w:color="auto"/>
        <w:right w:val="none" w:sz="0" w:space="0" w:color="auto"/>
      </w:divBdr>
    </w:div>
    <w:div w:id="1683162589">
      <w:bodyDiv w:val="1"/>
      <w:marLeft w:val="0"/>
      <w:marRight w:val="0"/>
      <w:marTop w:val="0"/>
      <w:marBottom w:val="0"/>
      <w:divBdr>
        <w:top w:val="none" w:sz="0" w:space="0" w:color="auto"/>
        <w:left w:val="none" w:sz="0" w:space="0" w:color="auto"/>
        <w:bottom w:val="none" w:sz="0" w:space="0" w:color="auto"/>
        <w:right w:val="none" w:sz="0" w:space="0" w:color="auto"/>
      </w:divBdr>
    </w:div>
    <w:div w:id="1704819523">
      <w:bodyDiv w:val="1"/>
      <w:marLeft w:val="0"/>
      <w:marRight w:val="0"/>
      <w:marTop w:val="0"/>
      <w:marBottom w:val="0"/>
      <w:divBdr>
        <w:top w:val="none" w:sz="0" w:space="0" w:color="auto"/>
        <w:left w:val="none" w:sz="0" w:space="0" w:color="auto"/>
        <w:bottom w:val="none" w:sz="0" w:space="0" w:color="auto"/>
        <w:right w:val="none" w:sz="0" w:space="0" w:color="auto"/>
      </w:divBdr>
    </w:div>
    <w:div w:id="1708333664">
      <w:bodyDiv w:val="1"/>
      <w:marLeft w:val="0"/>
      <w:marRight w:val="0"/>
      <w:marTop w:val="0"/>
      <w:marBottom w:val="0"/>
      <w:divBdr>
        <w:top w:val="none" w:sz="0" w:space="0" w:color="auto"/>
        <w:left w:val="none" w:sz="0" w:space="0" w:color="auto"/>
        <w:bottom w:val="none" w:sz="0" w:space="0" w:color="auto"/>
        <w:right w:val="none" w:sz="0" w:space="0" w:color="auto"/>
      </w:divBdr>
    </w:div>
    <w:div w:id="1751539446">
      <w:bodyDiv w:val="1"/>
      <w:marLeft w:val="0"/>
      <w:marRight w:val="0"/>
      <w:marTop w:val="0"/>
      <w:marBottom w:val="0"/>
      <w:divBdr>
        <w:top w:val="none" w:sz="0" w:space="0" w:color="auto"/>
        <w:left w:val="none" w:sz="0" w:space="0" w:color="auto"/>
        <w:bottom w:val="none" w:sz="0" w:space="0" w:color="auto"/>
        <w:right w:val="none" w:sz="0" w:space="0" w:color="auto"/>
      </w:divBdr>
    </w:div>
    <w:div w:id="1767846563">
      <w:bodyDiv w:val="1"/>
      <w:marLeft w:val="0"/>
      <w:marRight w:val="0"/>
      <w:marTop w:val="0"/>
      <w:marBottom w:val="0"/>
      <w:divBdr>
        <w:top w:val="none" w:sz="0" w:space="0" w:color="auto"/>
        <w:left w:val="none" w:sz="0" w:space="0" w:color="auto"/>
        <w:bottom w:val="none" w:sz="0" w:space="0" w:color="auto"/>
        <w:right w:val="none" w:sz="0" w:space="0" w:color="auto"/>
      </w:divBdr>
    </w:div>
    <w:div w:id="1865708213">
      <w:bodyDiv w:val="1"/>
      <w:marLeft w:val="0"/>
      <w:marRight w:val="0"/>
      <w:marTop w:val="0"/>
      <w:marBottom w:val="0"/>
      <w:divBdr>
        <w:top w:val="none" w:sz="0" w:space="0" w:color="auto"/>
        <w:left w:val="none" w:sz="0" w:space="0" w:color="auto"/>
        <w:bottom w:val="none" w:sz="0" w:space="0" w:color="auto"/>
        <w:right w:val="none" w:sz="0" w:space="0" w:color="auto"/>
      </w:divBdr>
    </w:div>
    <w:div w:id="1878659110">
      <w:bodyDiv w:val="1"/>
      <w:marLeft w:val="0"/>
      <w:marRight w:val="0"/>
      <w:marTop w:val="0"/>
      <w:marBottom w:val="0"/>
      <w:divBdr>
        <w:top w:val="none" w:sz="0" w:space="0" w:color="auto"/>
        <w:left w:val="none" w:sz="0" w:space="0" w:color="auto"/>
        <w:bottom w:val="none" w:sz="0" w:space="0" w:color="auto"/>
        <w:right w:val="none" w:sz="0" w:space="0" w:color="auto"/>
      </w:divBdr>
    </w:div>
    <w:div w:id="1920825722">
      <w:bodyDiv w:val="1"/>
      <w:marLeft w:val="0"/>
      <w:marRight w:val="0"/>
      <w:marTop w:val="0"/>
      <w:marBottom w:val="0"/>
      <w:divBdr>
        <w:top w:val="none" w:sz="0" w:space="0" w:color="auto"/>
        <w:left w:val="none" w:sz="0" w:space="0" w:color="auto"/>
        <w:bottom w:val="none" w:sz="0" w:space="0" w:color="auto"/>
        <w:right w:val="none" w:sz="0" w:space="0" w:color="auto"/>
      </w:divBdr>
    </w:div>
    <w:div w:id="1975408672">
      <w:bodyDiv w:val="1"/>
      <w:marLeft w:val="0"/>
      <w:marRight w:val="0"/>
      <w:marTop w:val="0"/>
      <w:marBottom w:val="0"/>
      <w:divBdr>
        <w:top w:val="none" w:sz="0" w:space="0" w:color="auto"/>
        <w:left w:val="none" w:sz="0" w:space="0" w:color="auto"/>
        <w:bottom w:val="none" w:sz="0" w:space="0" w:color="auto"/>
        <w:right w:val="none" w:sz="0" w:space="0" w:color="auto"/>
      </w:divBdr>
    </w:div>
    <w:div w:id="1997107939">
      <w:bodyDiv w:val="1"/>
      <w:marLeft w:val="0"/>
      <w:marRight w:val="0"/>
      <w:marTop w:val="0"/>
      <w:marBottom w:val="0"/>
      <w:divBdr>
        <w:top w:val="none" w:sz="0" w:space="0" w:color="auto"/>
        <w:left w:val="none" w:sz="0" w:space="0" w:color="auto"/>
        <w:bottom w:val="none" w:sz="0" w:space="0" w:color="auto"/>
        <w:right w:val="none" w:sz="0" w:space="0" w:color="auto"/>
      </w:divBdr>
    </w:div>
    <w:div w:id="2035382435">
      <w:bodyDiv w:val="1"/>
      <w:marLeft w:val="0"/>
      <w:marRight w:val="0"/>
      <w:marTop w:val="0"/>
      <w:marBottom w:val="0"/>
      <w:divBdr>
        <w:top w:val="none" w:sz="0" w:space="0" w:color="auto"/>
        <w:left w:val="none" w:sz="0" w:space="0" w:color="auto"/>
        <w:bottom w:val="none" w:sz="0" w:space="0" w:color="auto"/>
        <w:right w:val="none" w:sz="0" w:space="0" w:color="auto"/>
      </w:divBdr>
    </w:div>
    <w:div w:id="2053847697">
      <w:bodyDiv w:val="1"/>
      <w:marLeft w:val="0"/>
      <w:marRight w:val="0"/>
      <w:marTop w:val="0"/>
      <w:marBottom w:val="0"/>
      <w:divBdr>
        <w:top w:val="none" w:sz="0" w:space="0" w:color="auto"/>
        <w:left w:val="none" w:sz="0" w:space="0" w:color="auto"/>
        <w:bottom w:val="none" w:sz="0" w:space="0" w:color="auto"/>
        <w:right w:val="none" w:sz="0" w:space="0" w:color="auto"/>
      </w:divBdr>
    </w:div>
    <w:div w:id="21266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hs.tas.gov.au"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chart" Target="charts/chart6.xml"/><Relationship Id="rId21" Type="http://schemas.openxmlformats.org/officeDocument/2006/relationships/header" Target="header3.xml"/><Relationship Id="rId34" Type="http://schemas.openxmlformats.org/officeDocument/2006/relationships/chart" Target="charts/chart1.xml"/><Relationship Id="rId42" Type="http://schemas.openxmlformats.org/officeDocument/2006/relationships/hyperlink" Target="http://www.treasury.tas.gov.au/domino/dtf/dtf.nsf/v-liq-and-gaming/E1E056468959C8E7CA257D8200177211"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hhs.tas.gov.au" TargetMode="External"/><Relationship Id="rId29" Type="http://schemas.openxmlformats.org/officeDocument/2006/relationships/hyperlink" Target="http://www.drugstrategy.dhhs.ta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5.xml"/><Relationship Id="rId32" Type="http://schemas.openxmlformats.org/officeDocument/2006/relationships/hyperlink" Target="https://youtu.be/HL_wRTvJxcQ" TargetMode="External"/><Relationship Id="rId37" Type="http://schemas.openxmlformats.org/officeDocument/2006/relationships/chart" Target="charts/chart4.xml"/><Relationship Id="rId40" Type="http://schemas.openxmlformats.org/officeDocument/2006/relationships/chart" Target="charts/chart7.xml"/><Relationship Id="rId45" Type="http://schemas.openxmlformats.org/officeDocument/2006/relationships/hyperlink" Target="http://aihw.gov.au/alcohol-and-other-drug-treatment-services-data/" TargetMode="External"/><Relationship Id="rId5" Type="http://schemas.openxmlformats.org/officeDocument/2006/relationships/settings" Target="settings.xml"/><Relationship Id="rId15" Type="http://schemas.openxmlformats.org/officeDocument/2006/relationships/hyperlink" Target="mailto:director.mhadd@dhhs.tas.gov.au"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chart" Target="charts/chart3.xml"/><Relationship Id="rId10" Type="http://schemas.openxmlformats.org/officeDocument/2006/relationships/image" Target="media/image2.jpg"/><Relationship Id="rId19" Type="http://schemas.openxmlformats.org/officeDocument/2006/relationships/header" Target="header2.xml"/><Relationship Id="rId31" Type="http://schemas.openxmlformats.org/officeDocument/2006/relationships/hyperlink" Target="http://www.drugstrategy.dhhs.tas.gov.au/" TargetMode="External"/><Relationship Id="rId44" Type="http://schemas.openxmlformats.org/officeDocument/2006/relationships/hyperlink" Target="http://www.abs.gov.au/AUSSTATS/abs@.nsf/DetailsPage/4364.0.55.0012014-15?OpenDocu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rugstrategy.dhhs.tas.gov.au"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yperlink" Target="http://www.dhhs.tas.gov.au/publichealth/about_us/publications/epidemiology_publications" TargetMode="External"/><Relationship Id="rId35" Type="http://schemas.openxmlformats.org/officeDocument/2006/relationships/chart" Target="charts/chart2.xml"/><Relationship Id="rId43" Type="http://schemas.openxmlformats.org/officeDocument/2006/relationships/hyperlink" Target="http://www.abs.gov.au/AUSSTATS/abs@.nsf/mf/4307.0.55.001/"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director.mhadd@dhhs.tas.gov.au" TargetMode="External"/><Relationship Id="rId17" Type="http://schemas.openxmlformats.org/officeDocument/2006/relationships/hyperlink" Target="http://www.drugstrategy.dhhs.tas.gov.au"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chart" Target="charts/chart5.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chart" Target="charts/chart8.xml"/></Relationships>
</file>

<file path=word/_rels/footnotes.xml.rels><?xml version="1.0" encoding="UTF-8" standalone="yes"?>
<Relationships xmlns="http://schemas.openxmlformats.org/package/2006/relationships"><Relationship Id="rId3" Type="http://schemas.openxmlformats.org/officeDocument/2006/relationships/hyperlink" Target="http://www.treasury.tas.gov.au/domino/dtf/dtf.nsf/v-liq-and-gaming/E1E056468959C8E7CA257D8200177211" TargetMode="External"/><Relationship Id="rId2" Type="http://schemas.openxmlformats.org/officeDocument/2006/relationships/hyperlink" Target="http://www.ndlerf.gov.au/pub/Monograph_67.pdf" TargetMode="External"/><Relationship Id="rId1" Type="http://schemas.openxmlformats.org/officeDocument/2006/relationships/hyperlink" Target="http://www.abs.gov.au/AUSSTATS/abs@.nsf/mf/4307.0.55.001/" TargetMode="External"/><Relationship Id="rId5" Type="http://schemas.openxmlformats.org/officeDocument/2006/relationships/hyperlink" Target="http://www.treasury.tas.gov.au/domino/dtf/dtf.nsf/v-liq-and-gaming/E1E056468959C8E7CA257D8200177211" TargetMode="External"/><Relationship Id="rId4" Type="http://schemas.openxmlformats.org/officeDocument/2006/relationships/hyperlink" Target="http://www.abs.gov.au/ausstats/abs@.nsf/mf/4530.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Lbls>
            <c:spPr>
              <a:noFill/>
              <a:ln>
                <a:noFill/>
              </a:ln>
              <a:effectLst/>
            </c:spPr>
            <c:txPr>
              <a:bodyPr/>
              <a:lstStyle/>
              <a:p>
                <a:pPr>
                  <a:defRPr sz="8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Sheet1!$B$180:$B$191</c:f>
              <c:strCache>
                <c:ptCount val="12"/>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strCache>
            </c:strRef>
          </c:cat>
          <c:val>
            <c:numRef>
              <c:f>Sheet1!$C$180:$C$191</c:f>
              <c:numCache>
                <c:formatCode>General</c:formatCode>
                <c:ptCount val="12"/>
                <c:pt idx="0">
                  <c:v>1240</c:v>
                </c:pt>
                <c:pt idx="1">
                  <c:v>1295</c:v>
                </c:pt>
                <c:pt idx="2">
                  <c:v>1347</c:v>
                </c:pt>
                <c:pt idx="3">
                  <c:v>1382</c:v>
                </c:pt>
                <c:pt idx="4">
                  <c:v>1378</c:v>
                </c:pt>
                <c:pt idx="5">
                  <c:v>1429</c:v>
                </c:pt>
                <c:pt idx="6">
                  <c:v>1469</c:v>
                </c:pt>
                <c:pt idx="7">
                  <c:v>1488</c:v>
                </c:pt>
                <c:pt idx="8">
                  <c:v>1481</c:v>
                </c:pt>
                <c:pt idx="9">
                  <c:v>1494</c:v>
                </c:pt>
                <c:pt idx="10">
                  <c:v>1573</c:v>
                </c:pt>
                <c:pt idx="11">
                  <c:v>1603</c:v>
                </c:pt>
              </c:numCache>
            </c:numRef>
          </c:val>
          <c:smooth val="0"/>
        </c:ser>
        <c:dLbls>
          <c:showLegendKey val="0"/>
          <c:showVal val="0"/>
          <c:showCatName val="0"/>
          <c:showSerName val="0"/>
          <c:showPercent val="0"/>
          <c:showBubbleSize val="0"/>
        </c:dLbls>
        <c:marker val="1"/>
        <c:smooth val="0"/>
        <c:axId val="113427456"/>
        <c:axId val="108730560"/>
      </c:lineChart>
      <c:catAx>
        <c:axId val="113427456"/>
        <c:scaling>
          <c:orientation val="minMax"/>
        </c:scaling>
        <c:delete val="0"/>
        <c:axPos val="b"/>
        <c:numFmt formatCode="General" sourceLinked="1"/>
        <c:majorTickMark val="out"/>
        <c:minorTickMark val="none"/>
        <c:tickLblPos val="nextTo"/>
        <c:txPr>
          <a:bodyPr/>
          <a:lstStyle/>
          <a:p>
            <a:pPr>
              <a:defRPr sz="900"/>
            </a:pPr>
            <a:endParaRPr lang="en-US"/>
          </a:p>
        </c:txPr>
        <c:crossAx val="108730560"/>
        <c:crosses val="autoZero"/>
        <c:auto val="1"/>
        <c:lblAlgn val="ctr"/>
        <c:lblOffset val="100"/>
        <c:noMultiLvlLbl val="0"/>
      </c:catAx>
      <c:valAx>
        <c:axId val="108730560"/>
        <c:scaling>
          <c:orientation val="minMax"/>
          <c:min val="1000"/>
        </c:scaling>
        <c:delete val="0"/>
        <c:axPos val="l"/>
        <c:title>
          <c:tx>
            <c:rich>
              <a:bodyPr/>
              <a:lstStyle/>
              <a:p>
                <a:pPr>
                  <a:defRPr sz="900" b="1" i="0" u="none" strike="noStrike" baseline="0">
                    <a:solidFill>
                      <a:srgbClr val="000000"/>
                    </a:solidFill>
                    <a:latin typeface="Gill Sans MT"/>
                    <a:ea typeface="Gill Sans MT"/>
                    <a:cs typeface="Gill Sans MT"/>
                  </a:defRPr>
                </a:pPr>
                <a:r>
                  <a:rPr lang="en-AU"/>
                  <a:t>Total no. of liquor licenses</a:t>
                </a:r>
              </a:p>
            </c:rich>
          </c:tx>
          <c:overlay val="0"/>
        </c:title>
        <c:numFmt formatCode="General" sourceLinked="1"/>
        <c:majorTickMark val="out"/>
        <c:minorTickMark val="none"/>
        <c:tickLblPos val="nextTo"/>
        <c:txPr>
          <a:bodyPr/>
          <a:lstStyle/>
          <a:p>
            <a:pPr>
              <a:defRPr sz="900"/>
            </a:pPr>
            <a:endParaRPr lang="en-US"/>
          </a:p>
        </c:txPr>
        <c:crossAx val="113427456"/>
        <c:crosses val="autoZero"/>
        <c:crossBetween val="between"/>
      </c:valAx>
    </c:plotArea>
    <c:plotVisOnly val="1"/>
    <c:dispBlanksAs val="gap"/>
    <c:showDLblsOverMax val="0"/>
  </c:chart>
  <c:spPr>
    <a:ln>
      <a:noFill/>
    </a:ln>
  </c:spPr>
  <c:txPr>
    <a:bodyPr/>
    <a:lstStyle/>
    <a:p>
      <a:pPr>
        <a:defRPr>
          <a:latin typeface="Gill Sans MT" panose="020B0502020104020203"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944558490911498"/>
          <c:y val="5.4397450686131159E-2"/>
          <c:w val="0.81193419200135319"/>
          <c:h val="0.71581435470343646"/>
        </c:manualLayout>
      </c:layout>
      <c:barChart>
        <c:barDir val="col"/>
        <c:grouping val="clustered"/>
        <c:varyColors val="0"/>
        <c:ser>
          <c:idx val="0"/>
          <c:order val="0"/>
          <c:invertIfNegative val="0"/>
          <c:dPt>
            <c:idx val="5"/>
            <c:invertIfNegative val="0"/>
            <c:bubble3D val="0"/>
            <c:spPr>
              <a:solidFill>
                <a:schemeClr val="accent1">
                  <a:lumMod val="40000"/>
                  <a:lumOff val="60000"/>
                </a:schemeClr>
              </a:solidFill>
            </c:spPr>
          </c:dPt>
          <c:dLbls>
            <c:dLbl>
              <c:idx val="0"/>
              <c:layout>
                <c:manualLayout>
                  <c:x val="2.229654403567447E-3"/>
                  <c:y val="-7.5117383233708049E-2"/>
                </c:manualLayout>
              </c:layout>
              <c:tx>
                <c:rich>
                  <a:bodyPr/>
                  <a:lstStyle/>
                  <a:p>
                    <a:pPr>
                      <a:defRPr/>
                    </a:pPr>
                    <a:r>
                      <a:rPr lang="en-US" sz="898"/>
                      <a:t>17.6%</a:t>
                    </a:r>
                  </a:p>
                </c:rich>
              </c:tx>
              <c:numFmt formatCode="General" sourceLinked="0"/>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0"/>
                  <c:y val="-6.2597819361423376E-2"/>
                </c:manualLayout>
              </c:layout>
              <c:tx>
                <c:rich>
                  <a:bodyPr/>
                  <a:lstStyle/>
                  <a:p>
                    <a:pPr>
                      <a:defRPr/>
                    </a:pPr>
                    <a:r>
                      <a:rPr lang="en-US" sz="898"/>
                      <a:t>15.6%</a:t>
                    </a:r>
                    <a:endParaRPr lang="en-US"/>
                  </a:p>
                </c:rich>
              </c:tx>
              <c:numFmt formatCode="General" sourceLinked="0"/>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0876525189629406E-17"/>
                  <c:y val="-6.6771007318851605E-2"/>
                </c:manualLayout>
              </c:layout>
              <c:tx>
                <c:rich>
                  <a:bodyPr/>
                  <a:lstStyle/>
                  <a:p>
                    <a:pPr>
                      <a:defRPr/>
                    </a:pPr>
                    <a:r>
                      <a:rPr lang="en-US" sz="898"/>
                      <a:t>17.8%</a:t>
                    </a:r>
                    <a:endParaRPr lang="en-US"/>
                  </a:p>
                </c:rich>
              </c:tx>
              <c:numFmt formatCode="General" sourceLinked="0"/>
              <c:spPr/>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0"/>
                  <c:y val="-7.9290571191136278E-2"/>
                </c:manualLayout>
              </c:layout>
              <c:tx>
                <c:rich>
                  <a:bodyPr/>
                  <a:lstStyle/>
                  <a:p>
                    <a:pPr>
                      <a:defRPr/>
                    </a:pPr>
                    <a:r>
                      <a:rPr lang="en-US" sz="898"/>
                      <a:t>16.7%</a:t>
                    </a:r>
                    <a:endParaRPr lang="en-US"/>
                  </a:p>
                </c:rich>
              </c:tx>
              <c:numFmt formatCode="General" sourceLinked="0"/>
              <c:spPr/>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0"/>
                  <c:y val="-8.7636947105992735E-2"/>
                </c:manualLayout>
              </c:layout>
              <c:tx>
                <c:rich>
                  <a:bodyPr/>
                  <a:lstStyle/>
                  <a:p>
                    <a:pPr>
                      <a:defRPr/>
                    </a:pPr>
                    <a:r>
                      <a:rPr lang="en-US" sz="898"/>
                      <a:t>20.5%</a:t>
                    </a:r>
                    <a:endParaRPr lang="en-US"/>
                  </a:p>
                </c:rich>
              </c:tx>
              <c:numFmt formatCode="General" sourceLinked="0"/>
              <c:spPr/>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0"/>
                  <c:y val="-8.3463759148564506E-2"/>
                </c:manualLayout>
              </c:layout>
              <c:tx>
                <c:rich>
                  <a:bodyPr/>
                  <a:lstStyle/>
                  <a:p>
                    <a:pPr>
                      <a:defRPr/>
                    </a:pPr>
                    <a:r>
                      <a:rPr lang="en-US" sz="898"/>
                      <a:t>19.1%</a:t>
                    </a:r>
                    <a:endParaRPr lang="en-US"/>
                  </a:p>
                </c:rich>
              </c:tx>
              <c:numFmt formatCode="General" sourceLinked="0"/>
              <c:spPr/>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8.1753050379258811E-17"/>
                  <c:y val="-0.12936882668027497"/>
                </c:manualLayout>
              </c:layout>
              <c:tx>
                <c:rich>
                  <a:bodyPr/>
                  <a:lstStyle/>
                  <a:p>
                    <a:pPr>
                      <a:defRPr/>
                    </a:pPr>
                    <a:r>
                      <a:rPr lang="en-US" sz="898"/>
                      <a:t>18.7%</a:t>
                    </a:r>
                    <a:endParaRPr lang="en-US"/>
                  </a:p>
                </c:rich>
              </c:tx>
              <c:numFmt formatCode="General" sourceLinked="0"/>
              <c:spPr/>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2.229654403567447E-3"/>
                  <c:y val="-8.7636947105992735E-2"/>
                </c:manualLayout>
              </c:layout>
              <c:tx>
                <c:rich>
                  <a:bodyPr/>
                  <a:lstStyle/>
                  <a:p>
                    <a:pPr>
                      <a:defRPr/>
                    </a:pPr>
                    <a:r>
                      <a:rPr lang="en-US" sz="898"/>
                      <a:t>15.8%</a:t>
                    </a:r>
                    <a:endParaRPr lang="en-US"/>
                  </a:p>
                </c:rich>
              </c:tx>
              <c:numFmt formatCode="General" sourceLinked="0"/>
              <c:spPr/>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0"/>
                  <c:y val="-4.5905067531710475E-2"/>
                </c:manualLayout>
              </c:layout>
              <c:tx>
                <c:rich>
                  <a:bodyPr/>
                  <a:lstStyle/>
                  <a:p>
                    <a:pPr>
                      <a:defRPr/>
                    </a:pPr>
                    <a:r>
                      <a:rPr lang="en-US" sz="898"/>
                      <a:t>17.3%</a:t>
                    </a:r>
                    <a:endParaRPr lang="en-US"/>
                  </a:p>
                </c:rich>
              </c:tx>
              <c:numFmt formatCode="General" sourceLinked="0"/>
              <c:spPr/>
              <c:dLblPos val="outEnd"/>
              <c:showLegendKey val="0"/>
              <c:showVal val="0"/>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Sheet1!$B$23:$J$23</c:f>
                <c:numCache>
                  <c:formatCode>General</c:formatCode>
                  <c:ptCount val="9"/>
                  <c:pt idx="0">
                    <c:v>1.9</c:v>
                  </c:pt>
                  <c:pt idx="1">
                    <c:v>1.9</c:v>
                  </c:pt>
                  <c:pt idx="2">
                    <c:v>1.7</c:v>
                  </c:pt>
                  <c:pt idx="3">
                    <c:v>2.1</c:v>
                  </c:pt>
                  <c:pt idx="4">
                    <c:v>2.5</c:v>
                  </c:pt>
                  <c:pt idx="5">
                    <c:v>2.2000000000000002</c:v>
                  </c:pt>
                  <c:pt idx="6">
                    <c:v>3.7</c:v>
                  </c:pt>
                  <c:pt idx="7">
                    <c:v>2.2000000000000002</c:v>
                  </c:pt>
                  <c:pt idx="8">
                    <c:v>0.9</c:v>
                  </c:pt>
                </c:numCache>
              </c:numRef>
            </c:plus>
            <c:minus>
              <c:numRef>
                <c:f>Sheet1!$B$23:$J$23</c:f>
                <c:numCache>
                  <c:formatCode>General</c:formatCode>
                  <c:ptCount val="9"/>
                  <c:pt idx="0">
                    <c:v>1.9</c:v>
                  </c:pt>
                  <c:pt idx="1">
                    <c:v>1.9</c:v>
                  </c:pt>
                  <c:pt idx="2">
                    <c:v>1.7</c:v>
                  </c:pt>
                  <c:pt idx="3">
                    <c:v>2.1</c:v>
                  </c:pt>
                  <c:pt idx="4">
                    <c:v>2.5</c:v>
                  </c:pt>
                  <c:pt idx="5">
                    <c:v>2.2000000000000002</c:v>
                  </c:pt>
                  <c:pt idx="6">
                    <c:v>3.7</c:v>
                  </c:pt>
                  <c:pt idx="7">
                    <c:v>2.2000000000000002</c:v>
                  </c:pt>
                  <c:pt idx="8">
                    <c:v>0.9</c:v>
                  </c:pt>
                </c:numCache>
              </c:numRef>
            </c:minus>
          </c:errBars>
          <c:cat>
            <c:strRef>
              <c:f>Sheet1!$B$21:$J$21</c:f>
              <c:strCache>
                <c:ptCount val="9"/>
                <c:pt idx="0">
                  <c:v>NSW</c:v>
                </c:pt>
                <c:pt idx="1">
                  <c:v>Vic.</c:v>
                </c:pt>
                <c:pt idx="2">
                  <c:v>Qld</c:v>
                </c:pt>
                <c:pt idx="3">
                  <c:v>SA</c:v>
                </c:pt>
                <c:pt idx="4">
                  <c:v>WA</c:v>
                </c:pt>
                <c:pt idx="5">
                  <c:v>Tas.</c:v>
                </c:pt>
                <c:pt idx="6">
                  <c:v>NT</c:v>
                </c:pt>
                <c:pt idx="7">
                  <c:v>ACT</c:v>
                </c:pt>
                <c:pt idx="8">
                  <c:v>Australia</c:v>
                </c:pt>
              </c:strCache>
            </c:strRef>
          </c:cat>
          <c:val>
            <c:numRef>
              <c:f>Sheet1!$B$22:$J$22</c:f>
              <c:numCache>
                <c:formatCode>""#,##0.0""</c:formatCode>
                <c:ptCount val="9"/>
                <c:pt idx="0">
                  <c:v>17.600000000000001</c:v>
                </c:pt>
                <c:pt idx="1">
                  <c:v>15.6</c:v>
                </c:pt>
                <c:pt idx="2">
                  <c:v>17.8</c:v>
                </c:pt>
                <c:pt idx="3">
                  <c:v>16.7</c:v>
                </c:pt>
                <c:pt idx="4">
                  <c:v>20.5</c:v>
                </c:pt>
                <c:pt idx="5">
                  <c:v>19.100000000000001</c:v>
                </c:pt>
                <c:pt idx="6">
                  <c:v>18.7</c:v>
                </c:pt>
                <c:pt idx="7">
                  <c:v>15.8</c:v>
                </c:pt>
                <c:pt idx="8">
                  <c:v>17.3</c:v>
                </c:pt>
              </c:numCache>
            </c:numRef>
          </c:val>
        </c:ser>
        <c:dLbls>
          <c:showLegendKey val="0"/>
          <c:showVal val="0"/>
          <c:showCatName val="0"/>
          <c:showSerName val="0"/>
          <c:showPercent val="0"/>
          <c:showBubbleSize val="0"/>
        </c:dLbls>
        <c:gapWidth val="150"/>
        <c:axId val="113428992"/>
        <c:axId val="108763904"/>
      </c:barChart>
      <c:catAx>
        <c:axId val="113428992"/>
        <c:scaling>
          <c:orientation val="minMax"/>
        </c:scaling>
        <c:delete val="0"/>
        <c:axPos val="b"/>
        <c:numFmt formatCode="General" sourceLinked="1"/>
        <c:majorTickMark val="out"/>
        <c:minorTickMark val="none"/>
        <c:tickLblPos val="nextTo"/>
        <c:crossAx val="108763904"/>
        <c:crosses val="autoZero"/>
        <c:auto val="1"/>
        <c:lblAlgn val="ctr"/>
        <c:lblOffset val="100"/>
        <c:noMultiLvlLbl val="0"/>
      </c:catAx>
      <c:valAx>
        <c:axId val="108763904"/>
        <c:scaling>
          <c:orientation val="minMax"/>
        </c:scaling>
        <c:delete val="0"/>
        <c:axPos val="l"/>
        <c:title>
          <c:tx>
            <c:rich>
              <a:bodyPr/>
              <a:lstStyle/>
              <a:p>
                <a:pPr>
                  <a:defRPr sz="898" b="1" i="0" u="none" strike="noStrike" baseline="0">
                    <a:solidFill>
                      <a:srgbClr val="000000"/>
                    </a:solidFill>
                    <a:latin typeface="Gill Sans MT"/>
                    <a:ea typeface="Gill Sans MT"/>
                    <a:cs typeface="Gill Sans MT"/>
                  </a:defRPr>
                </a:pPr>
                <a:r>
                  <a:rPr lang="en-AU"/>
                  <a:t>Proportion of population (%)</a:t>
                </a:r>
              </a:p>
            </c:rich>
          </c:tx>
          <c:overlay val="0"/>
        </c:title>
        <c:numFmt formatCode="General" sourceLinked="0"/>
        <c:majorTickMark val="out"/>
        <c:minorTickMark val="none"/>
        <c:tickLblPos val="nextTo"/>
        <c:crossAx val="113428992"/>
        <c:crosses val="autoZero"/>
        <c:crossBetween val="between"/>
      </c:valAx>
    </c:plotArea>
    <c:plotVisOnly val="1"/>
    <c:dispBlanksAs val="gap"/>
    <c:showDLblsOverMax val="0"/>
  </c:chart>
  <c:spPr>
    <a:ln>
      <a:noFill/>
    </a:ln>
  </c:spPr>
  <c:txPr>
    <a:bodyPr/>
    <a:lstStyle/>
    <a:p>
      <a:pPr>
        <a:defRPr sz="898">
          <a:latin typeface="Gill Sans MT" panose="020B0502020104020203"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Sheet1!$A$28</c:f>
              <c:strCache>
                <c:ptCount val="1"/>
                <c:pt idx="0">
                  <c:v>Exceeded single occasion risk guidelines</c:v>
                </c:pt>
              </c:strCache>
            </c:strRef>
          </c:tx>
          <c:invertIfNegative val="0"/>
          <c:dPt>
            <c:idx val="5"/>
            <c:invertIfNegative val="0"/>
            <c:bubble3D val="0"/>
            <c:spPr>
              <a:solidFill>
                <a:schemeClr val="accent1">
                  <a:lumMod val="40000"/>
                  <a:lumOff val="60000"/>
                </a:schemeClr>
              </a:solidFill>
            </c:spPr>
          </c:dPt>
          <c:dLbls>
            <c:dLbl>
              <c:idx val="0"/>
              <c:layout>
                <c:manualLayout>
                  <c:x val="0"/>
                  <c:y val="-3.917475889516879E-2"/>
                </c:manualLayout>
              </c:layout>
              <c:numFmt formatCode="General" sourceLinked="0"/>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3.916893324455499E-2"/>
                </c:manualLayout>
              </c:layout>
              <c:numFmt formatCode="General" sourceLinked="0"/>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3.0464725856876099E-2"/>
                </c:manualLayout>
              </c:layout>
              <c:numFmt formatCode="General" sourceLinked="0"/>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147E-3"/>
                  <c:y val="-3.4816829550715543E-2"/>
                </c:manualLayout>
              </c:layout>
              <c:numFmt formatCode="General" sourceLinked="0"/>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916893324455497E-2"/>
                </c:manualLayout>
              </c:layout>
              <c:numFmt formatCode="General" sourceLinked="0"/>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1760518469197215E-2"/>
                </c:manualLayout>
              </c:layout>
              <c:numFmt formatCode="General" sourceLinked="0"/>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4.3521036938394451E-2"/>
                </c:manualLayout>
              </c:layout>
              <c:numFmt formatCode="General" sourceLinked="0"/>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3521036938394431E-2"/>
                </c:manualLayout>
              </c:layout>
              <c:numFmt formatCode="General" sourceLinked="0"/>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1760518469197236E-2"/>
                </c:manualLayout>
              </c:layout>
              <c:numFmt formatCode="General" sourceLinked="0"/>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Sheet1!$B$29:$J$29</c:f>
                <c:numCache>
                  <c:formatCode>General</c:formatCode>
                  <c:ptCount val="9"/>
                  <c:pt idx="0">
                    <c:v>2</c:v>
                  </c:pt>
                  <c:pt idx="1">
                    <c:v>2.1</c:v>
                  </c:pt>
                  <c:pt idx="2">
                    <c:v>2.4</c:v>
                  </c:pt>
                  <c:pt idx="3">
                    <c:v>2.1</c:v>
                  </c:pt>
                  <c:pt idx="4">
                    <c:v>2.6</c:v>
                  </c:pt>
                  <c:pt idx="5">
                    <c:v>2</c:v>
                  </c:pt>
                  <c:pt idx="6">
                    <c:v>3.6</c:v>
                  </c:pt>
                  <c:pt idx="7">
                    <c:v>3.5</c:v>
                  </c:pt>
                  <c:pt idx="8">
                    <c:v>1</c:v>
                  </c:pt>
                </c:numCache>
              </c:numRef>
            </c:plus>
            <c:minus>
              <c:numRef>
                <c:f>Sheet1!$B$29:$J$29</c:f>
                <c:numCache>
                  <c:formatCode>General</c:formatCode>
                  <c:ptCount val="9"/>
                  <c:pt idx="0">
                    <c:v>2</c:v>
                  </c:pt>
                  <c:pt idx="1">
                    <c:v>2.1</c:v>
                  </c:pt>
                  <c:pt idx="2">
                    <c:v>2.4</c:v>
                  </c:pt>
                  <c:pt idx="3">
                    <c:v>2.1</c:v>
                  </c:pt>
                  <c:pt idx="4">
                    <c:v>2.6</c:v>
                  </c:pt>
                  <c:pt idx="5">
                    <c:v>2</c:v>
                  </c:pt>
                  <c:pt idx="6">
                    <c:v>3.6</c:v>
                  </c:pt>
                  <c:pt idx="7">
                    <c:v>3.5</c:v>
                  </c:pt>
                  <c:pt idx="8">
                    <c:v>1</c:v>
                  </c:pt>
                </c:numCache>
              </c:numRef>
            </c:minus>
          </c:errBars>
          <c:cat>
            <c:strRef>
              <c:f>Sheet1!$B$27:$J$27</c:f>
              <c:strCache>
                <c:ptCount val="9"/>
                <c:pt idx="0">
                  <c:v>NSW</c:v>
                </c:pt>
                <c:pt idx="1">
                  <c:v>Vic.</c:v>
                </c:pt>
                <c:pt idx="2">
                  <c:v>Qld</c:v>
                </c:pt>
                <c:pt idx="3">
                  <c:v>SA</c:v>
                </c:pt>
                <c:pt idx="4">
                  <c:v>WA</c:v>
                </c:pt>
                <c:pt idx="5">
                  <c:v>Tas.</c:v>
                </c:pt>
                <c:pt idx="6">
                  <c:v>NT</c:v>
                </c:pt>
                <c:pt idx="7">
                  <c:v>ACT</c:v>
                </c:pt>
                <c:pt idx="8">
                  <c:v>Australia</c:v>
                </c:pt>
              </c:strCache>
            </c:strRef>
          </c:cat>
          <c:val>
            <c:numRef>
              <c:f>Sheet1!$B$28:$J$28</c:f>
              <c:numCache>
                <c:formatCode>""#,##0.0""</c:formatCode>
                <c:ptCount val="9"/>
                <c:pt idx="0">
                  <c:v>43.8</c:v>
                </c:pt>
                <c:pt idx="1">
                  <c:v>43.3</c:v>
                </c:pt>
                <c:pt idx="2">
                  <c:v>47.1</c:v>
                </c:pt>
                <c:pt idx="3">
                  <c:v>47.1</c:v>
                </c:pt>
                <c:pt idx="4">
                  <c:v>46.9</c:v>
                </c:pt>
                <c:pt idx="5">
                  <c:v>49.2</c:v>
                </c:pt>
                <c:pt idx="6">
                  <c:v>45</c:v>
                </c:pt>
                <c:pt idx="7">
                  <c:v>43.5</c:v>
                </c:pt>
                <c:pt idx="8">
                  <c:v>45</c:v>
                </c:pt>
              </c:numCache>
            </c:numRef>
          </c:val>
        </c:ser>
        <c:dLbls>
          <c:showLegendKey val="0"/>
          <c:showVal val="0"/>
          <c:showCatName val="0"/>
          <c:showSerName val="0"/>
          <c:showPercent val="0"/>
          <c:showBubbleSize val="0"/>
        </c:dLbls>
        <c:gapWidth val="150"/>
        <c:axId val="113429504"/>
        <c:axId val="108756992"/>
      </c:barChart>
      <c:catAx>
        <c:axId val="113429504"/>
        <c:scaling>
          <c:orientation val="minMax"/>
        </c:scaling>
        <c:delete val="0"/>
        <c:axPos val="b"/>
        <c:numFmt formatCode="General" sourceLinked="1"/>
        <c:majorTickMark val="out"/>
        <c:minorTickMark val="none"/>
        <c:tickLblPos val="nextTo"/>
        <c:crossAx val="108756992"/>
        <c:crosses val="autoZero"/>
        <c:auto val="1"/>
        <c:lblAlgn val="ctr"/>
        <c:lblOffset val="100"/>
        <c:noMultiLvlLbl val="0"/>
      </c:catAx>
      <c:valAx>
        <c:axId val="108756992"/>
        <c:scaling>
          <c:orientation val="minMax"/>
        </c:scaling>
        <c:delete val="0"/>
        <c:axPos val="l"/>
        <c:title>
          <c:tx>
            <c:rich>
              <a:bodyPr/>
              <a:lstStyle/>
              <a:p>
                <a:pPr>
                  <a:defRPr sz="1000" b="1" i="0" u="none" strike="noStrike" baseline="0">
                    <a:solidFill>
                      <a:srgbClr val="000000"/>
                    </a:solidFill>
                    <a:latin typeface="Calibri"/>
                    <a:ea typeface="Calibri"/>
                    <a:cs typeface="Calibri"/>
                  </a:defRPr>
                </a:pPr>
                <a:r>
                  <a:rPr lang="en-AU"/>
                  <a:t>Proportion of population (%)</a:t>
                </a:r>
              </a:p>
            </c:rich>
          </c:tx>
          <c:layout>
            <c:manualLayout>
              <c:xMode val="edge"/>
              <c:yMode val="edge"/>
              <c:x val="1.8518492006680983E-2"/>
              <c:y val="0.19643044619422573"/>
            </c:manualLayout>
          </c:layout>
          <c:overlay val="0"/>
        </c:title>
        <c:numFmt formatCode="&quot;&quot;#,##0.0&quot;&quot;" sourceLinked="1"/>
        <c:majorTickMark val="out"/>
        <c:minorTickMark val="none"/>
        <c:tickLblPos val="nextTo"/>
        <c:crossAx val="113429504"/>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Sheet1!$A$221:$A$229</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Sheet1!$C$221:$C$229</c:f>
              <c:numCache>
                <c:formatCode>0.0%</c:formatCode>
                <c:ptCount val="9"/>
                <c:pt idx="0">
                  <c:v>0.183</c:v>
                </c:pt>
                <c:pt idx="1">
                  <c:v>0.159</c:v>
                </c:pt>
                <c:pt idx="2">
                  <c:v>0.14599999999999999</c:v>
                </c:pt>
                <c:pt idx="3">
                  <c:v>0.127</c:v>
                </c:pt>
                <c:pt idx="4">
                  <c:v>0.11199999999999999</c:v>
                </c:pt>
                <c:pt idx="5">
                  <c:v>9.1999999999999998E-2</c:v>
                </c:pt>
                <c:pt idx="6">
                  <c:v>9.5000000000000001E-2</c:v>
                </c:pt>
                <c:pt idx="7">
                  <c:v>9.0999999999999998E-2</c:v>
                </c:pt>
                <c:pt idx="8">
                  <c:v>6.4000000000000001E-2</c:v>
                </c:pt>
              </c:numCache>
            </c:numRef>
          </c:val>
        </c:ser>
        <c:dLbls>
          <c:showLegendKey val="0"/>
          <c:showVal val="0"/>
          <c:showCatName val="0"/>
          <c:showSerName val="0"/>
          <c:showPercent val="0"/>
          <c:showBubbleSize val="0"/>
        </c:dLbls>
        <c:gapWidth val="150"/>
        <c:axId val="113430016"/>
        <c:axId val="108759296"/>
      </c:barChart>
      <c:catAx>
        <c:axId val="113430016"/>
        <c:scaling>
          <c:orientation val="minMax"/>
        </c:scaling>
        <c:delete val="0"/>
        <c:axPos val="b"/>
        <c:numFmt formatCode="General" sourceLinked="1"/>
        <c:majorTickMark val="out"/>
        <c:minorTickMark val="none"/>
        <c:tickLblPos val="nextTo"/>
        <c:crossAx val="108759296"/>
        <c:crosses val="autoZero"/>
        <c:auto val="1"/>
        <c:lblAlgn val="ctr"/>
        <c:lblOffset val="100"/>
        <c:noMultiLvlLbl val="0"/>
      </c:catAx>
      <c:valAx>
        <c:axId val="108759296"/>
        <c:scaling>
          <c:orientation val="minMax"/>
        </c:scaling>
        <c:delete val="0"/>
        <c:axPos val="l"/>
        <c:title>
          <c:tx>
            <c:rich>
              <a:bodyPr/>
              <a:lstStyle/>
              <a:p>
                <a:pPr>
                  <a:defRPr sz="900" b="1" i="0" u="none" strike="noStrike" baseline="0">
                    <a:solidFill>
                      <a:srgbClr val="000000"/>
                    </a:solidFill>
                    <a:latin typeface="Gill Sans MT"/>
                    <a:ea typeface="Gill Sans MT"/>
                    <a:cs typeface="Gill Sans MT"/>
                  </a:defRPr>
                </a:pPr>
                <a:r>
                  <a:rPr lang="en-AU"/>
                  <a:t>Proportion of pregnant women (%)</a:t>
                </a:r>
              </a:p>
            </c:rich>
          </c:tx>
          <c:overlay val="0"/>
        </c:title>
        <c:numFmt formatCode="0.0%" sourceLinked="1"/>
        <c:majorTickMark val="out"/>
        <c:minorTickMark val="none"/>
        <c:tickLblPos val="nextTo"/>
        <c:crossAx val="113430016"/>
        <c:crosses val="autoZero"/>
        <c:crossBetween val="between"/>
      </c:valAx>
    </c:plotArea>
    <c:plotVisOnly val="1"/>
    <c:dispBlanksAs val="gap"/>
    <c:showDLblsOverMax val="0"/>
  </c:chart>
  <c:spPr>
    <a:ln>
      <a:noFill/>
    </a:ln>
  </c:spPr>
  <c:txPr>
    <a:bodyPr/>
    <a:lstStyle/>
    <a:p>
      <a:pPr>
        <a:defRPr sz="900">
          <a:latin typeface="Gill Sans MT" panose="020B0502020104020203"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Sheet1!$B$201</c:f>
              <c:strCache>
                <c:ptCount val="1"/>
                <c:pt idx="0">
                  <c:v>Males</c:v>
                </c:pt>
              </c:strCache>
            </c:strRef>
          </c:tx>
          <c:marker>
            <c:symbol val="diamond"/>
            <c:size val="7"/>
          </c:marker>
          <c:cat>
            <c:strRef>
              <c:f>Sheet1!$A$202:$A$211</c:f>
              <c:strCache>
                <c:ptCount val="10"/>
                <c:pt idx="0">
                  <c:v>2005/06</c:v>
                </c:pt>
                <c:pt idx="1">
                  <c:v>2006/07</c:v>
                </c:pt>
                <c:pt idx="2">
                  <c:v>2007/08</c:v>
                </c:pt>
                <c:pt idx="3">
                  <c:v>2008/09</c:v>
                </c:pt>
                <c:pt idx="4">
                  <c:v>2009/10</c:v>
                </c:pt>
                <c:pt idx="5">
                  <c:v>2010/11</c:v>
                </c:pt>
                <c:pt idx="6">
                  <c:v>2011/12</c:v>
                </c:pt>
                <c:pt idx="7">
                  <c:v>2012/13</c:v>
                </c:pt>
                <c:pt idx="8">
                  <c:v>2013/14</c:v>
                </c:pt>
                <c:pt idx="9">
                  <c:v>2014/15</c:v>
                </c:pt>
              </c:strCache>
            </c:strRef>
          </c:cat>
          <c:val>
            <c:numRef>
              <c:f>Sheet1!$B$202:$B$211</c:f>
              <c:numCache>
                <c:formatCode>General</c:formatCode>
                <c:ptCount val="10"/>
                <c:pt idx="0">
                  <c:v>927.1</c:v>
                </c:pt>
                <c:pt idx="1">
                  <c:v>938.3</c:v>
                </c:pt>
                <c:pt idx="2">
                  <c:v>1003.3</c:v>
                </c:pt>
                <c:pt idx="3">
                  <c:v>1045.7</c:v>
                </c:pt>
                <c:pt idx="4">
                  <c:v>858.5</c:v>
                </c:pt>
                <c:pt idx="5">
                  <c:v>837.1</c:v>
                </c:pt>
                <c:pt idx="6">
                  <c:v>829.1</c:v>
                </c:pt>
                <c:pt idx="7">
                  <c:v>895.8</c:v>
                </c:pt>
                <c:pt idx="8">
                  <c:v>1003.6</c:v>
                </c:pt>
                <c:pt idx="9">
                  <c:v>1021.4</c:v>
                </c:pt>
              </c:numCache>
            </c:numRef>
          </c:val>
          <c:smooth val="0"/>
        </c:ser>
        <c:ser>
          <c:idx val="1"/>
          <c:order val="1"/>
          <c:tx>
            <c:strRef>
              <c:f>Sheet1!$C$201</c:f>
              <c:strCache>
                <c:ptCount val="1"/>
                <c:pt idx="0">
                  <c:v>Females</c:v>
                </c:pt>
              </c:strCache>
            </c:strRef>
          </c:tx>
          <c:marker>
            <c:symbol val="square"/>
            <c:size val="5"/>
          </c:marker>
          <c:cat>
            <c:strRef>
              <c:f>Sheet1!$A$202:$A$211</c:f>
              <c:strCache>
                <c:ptCount val="10"/>
                <c:pt idx="0">
                  <c:v>2005/06</c:v>
                </c:pt>
                <c:pt idx="1">
                  <c:v>2006/07</c:v>
                </c:pt>
                <c:pt idx="2">
                  <c:v>2007/08</c:v>
                </c:pt>
                <c:pt idx="3">
                  <c:v>2008/09</c:v>
                </c:pt>
                <c:pt idx="4">
                  <c:v>2009/10</c:v>
                </c:pt>
                <c:pt idx="5">
                  <c:v>2010/11</c:v>
                </c:pt>
                <c:pt idx="6">
                  <c:v>2011/12</c:v>
                </c:pt>
                <c:pt idx="7">
                  <c:v>2012/13</c:v>
                </c:pt>
                <c:pt idx="8">
                  <c:v>2013/14</c:v>
                </c:pt>
                <c:pt idx="9">
                  <c:v>2014/15</c:v>
                </c:pt>
              </c:strCache>
            </c:strRef>
          </c:cat>
          <c:val>
            <c:numRef>
              <c:f>Sheet1!$C$202:$C$211</c:f>
              <c:numCache>
                <c:formatCode>General</c:formatCode>
                <c:ptCount val="10"/>
                <c:pt idx="0">
                  <c:v>603.5</c:v>
                </c:pt>
                <c:pt idx="1">
                  <c:v>632.70000000000005</c:v>
                </c:pt>
                <c:pt idx="2">
                  <c:v>644.70000000000005</c:v>
                </c:pt>
                <c:pt idx="3">
                  <c:v>661.3</c:v>
                </c:pt>
                <c:pt idx="4">
                  <c:v>582.5</c:v>
                </c:pt>
                <c:pt idx="5">
                  <c:v>579.4</c:v>
                </c:pt>
                <c:pt idx="6">
                  <c:v>561.70000000000005</c:v>
                </c:pt>
                <c:pt idx="7">
                  <c:v>671.8</c:v>
                </c:pt>
                <c:pt idx="8">
                  <c:v>805.7</c:v>
                </c:pt>
                <c:pt idx="9">
                  <c:v>845.1</c:v>
                </c:pt>
              </c:numCache>
            </c:numRef>
          </c:val>
          <c:smooth val="0"/>
        </c:ser>
        <c:dLbls>
          <c:showLegendKey val="0"/>
          <c:showVal val="0"/>
          <c:showCatName val="0"/>
          <c:showSerName val="0"/>
          <c:showPercent val="0"/>
          <c:showBubbleSize val="0"/>
        </c:dLbls>
        <c:marker val="1"/>
        <c:smooth val="0"/>
        <c:axId val="166381056"/>
        <c:axId val="108763328"/>
      </c:lineChart>
      <c:catAx>
        <c:axId val="166381056"/>
        <c:scaling>
          <c:orientation val="minMax"/>
        </c:scaling>
        <c:delete val="0"/>
        <c:axPos val="b"/>
        <c:numFmt formatCode="General" sourceLinked="1"/>
        <c:majorTickMark val="out"/>
        <c:minorTickMark val="none"/>
        <c:tickLblPos val="nextTo"/>
        <c:crossAx val="108763328"/>
        <c:crosses val="autoZero"/>
        <c:auto val="1"/>
        <c:lblAlgn val="ctr"/>
        <c:lblOffset val="100"/>
        <c:noMultiLvlLbl val="0"/>
      </c:catAx>
      <c:valAx>
        <c:axId val="108763328"/>
        <c:scaling>
          <c:orientation val="minMax"/>
          <c:min val="200"/>
        </c:scaling>
        <c:delete val="0"/>
        <c:axPos val="l"/>
        <c:title>
          <c:tx>
            <c:rich>
              <a:bodyPr/>
              <a:lstStyle/>
              <a:p>
                <a:pPr>
                  <a:defRPr sz="801" b="1" i="0" u="none" strike="noStrike" baseline="0">
                    <a:solidFill>
                      <a:srgbClr val="000000"/>
                    </a:solidFill>
                    <a:latin typeface="Gill Sans MT"/>
                    <a:ea typeface="Gill Sans MT"/>
                    <a:cs typeface="Gill Sans MT"/>
                  </a:defRPr>
                </a:pPr>
                <a:r>
                  <a:rPr lang="en-AU"/>
                  <a:t>Rate per 100,000 population</a:t>
                </a:r>
              </a:p>
            </c:rich>
          </c:tx>
          <c:overlay val="0"/>
        </c:title>
        <c:numFmt formatCode="General" sourceLinked="1"/>
        <c:majorTickMark val="out"/>
        <c:minorTickMark val="none"/>
        <c:tickLblPos val="nextTo"/>
        <c:crossAx val="1663810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801">
          <a:latin typeface="Gill Sans MT" panose="020B0502020104020203"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Sheet1!$C$241</c:f>
              <c:strCache>
                <c:ptCount val="1"/>
                <c:pt idx="0">
                  <c:v>Males</c:v>
                </c:pt>
              </c:strCache>
            </c:strRef>
          </c:tx>
          <c:cat>
            <c:numRef>
              <c:f>Sheet1!$B$242:$B$255</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Sheet1!$C$242:$C$255</c:f>
              <c:numCache>
                <c:formatCode>General</c:formatCode>
                <c:ptCount val="14"/>
                <c:pt idx="0">
                  <c:v>28.8</c:v>
                </c:pt>
                <c:pt idx="1">
                  <c:v>32.700000000000003</c:v>
                </c:pt>
                <c:pt idx="2">
                  <c:v>34.200000000000003</c:v>
                </c:pt>
                <c:pt idx="3">
                  <c:v>36</c:v>
                </c:pt>
                <c:pt idx="4">
                  <c:v>36.4</c:v>
                </c:pt>
                <c:pt idx="5">
                  <c:v>32.1</c:v>
                </c:pt>
                <c:pt idx="6">
                  <c:v>33.799999999999997</c:v>
                </c:pt>
                <c:pt idx="7">
                  <c:v>32.200000000000003</c:v>
                </c:pt>
                <c:pt idx="8">
                  <c:v>31.4</c:v>
                </c:pt>
                <c:pt idx="9">
                  <c:v>34.1</c:v>
                </c:pt>
                <c:pt idx="10">
                  <c:v>31.9</c:v>
                </c:pt>
                <c:pt idx="11">
                  <c:v>28</c:v>
                </c:pt>
                <c:pt idx="12">
                  <c:v>30.8</c:v>
                </c:pt>
                <c:pt idx="13">
                  <c:v>27.2</c:v>
                </c:pt>
              </c:numCache>
            </c:numRef>
          </c:val>
          <c:smooth val="0"/>
        </c:ser>
        <c:ser>
          <c:idx val="1"/>
          <c:order val="1"/>
          <c:tx>
            <c:strRef>
              <c:f>Sheet1!$D$241</c:f>
              <c:strCache>
                <c:ptCount val="1"/>
                <c:pt idx="0">
                  <c:v>Females</c:v>
                </c:pt>
              </c:strCache>
            </c:strRef>
          </c:tx>
          <c:marker>
            <c:symbol val="square"/>
            <c:size val="4"/>
          </c:marker>
          <c:cat>
            <c:numRef>
              <c:f>Sheet1!$B$242:$B$255</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Sheet1!$D$242:$D$255</c:f>
              <c:numCache>
                <c:formatCode>General</c:formatCode>
                <c:ptCount val="14"/>
                <c:pt idx="0">
                  <c:v>10.3</c:v>
                </c:pt>
                <c:pt idx="1">
                  <c:v>8.5</c:v>
                </c:pt>
                <c:pt idx="2">
                  <c:v>11.7</c:v>
                </c:pt>
                <c:pt idx="3">
                  <c:v>13.6</c:v>
                </c:pt>
                <c:pt idx="4">
                  <c:v>9.4</c:v>
                </c:pt>
                <c:pt idx="5">
                  <c:v>9.6</c:v>
                </c:pt>
                <c:pt idx="6">
                  <c:v>10.9</c:v>
                </c:pt>
                <c:pt idx="7">
                  <c:v>11.5</c:v>
                </c:pt>
                <c:pt idx="8">
                  <c:v>9.4</c:v>
                </c:pt>
                <c:pt idx="9">
                  <c:v>8.1999999999999993</c:v>
                </c:pt>
                <c:pt idx="10">
                  <c:v>9.4</c:v>
                </c:pt>
                <c:pt idx="11">
                  <c:v>10.9</c:v>
                </c:pt>
                <c:pt idx="12">
                  <c:v>10.199999999999999</c:v>
                </c:pt>
                <c:pt idx="13">
                  <c:v>10.1</c:v>
                </c:pt>
              </c:numCache>
            </c:numRef>
          </c:val>
          <c:smooth val="0"/>
        </c:ser>
        <c:dLbls>
          <c:showLegendKey val="0"/>
          <c:showVal val="0"/>
          <c:showCatName val="0"/>
          <c:showSerName val="0"/>
          <c:showPercent val="0"/>
          <c:showBubbleSize val="0"/>
        </c:dLbls>
        <c:marker val="1"/>
        <c:smooth val="0"/>
        <c:axId val="166382592"/>
        <c:axId val="45687360"/>
      </c:lineChart>
      <c:catAx>
        <c:axId val="166382592"/>
        <c:scaling>
          <c:orientation val="minMax"/>
        </c:scaling>
        <c:delete val="0"/>
        <c:axPos val="b"/>
        <c:numFmt formatCode="General" sourceLinked="1"/>
        <c:majorTickMark val="out"/>
        <c:minorTickMark val="none"/>
        <c:tickLblPos val="nextTo"/>
        <c:crossAx val="45687360"/>
        <c:crosses val="autoZero"/>
        <c:auto val="1"/>
        <c:lblAlgn val="ctr"/>
        <c:lblOffset val="100"/>
        <c:noMultiLvlLbl val="0"/>
      </c:catAx>
      <c:valAx>
        <c:axId val="45687360"/>
        <c:scaling>
          <c:orientation val="minMax"/>
        </c:scaling>
        <c:delete val="0"/>
        <c:axPos val="l"/>
        <c:title>
          <c:tx>
            <c:rich>
              <a:bodyPr/>
              <a:lstStyle/>
              <a:p>
                <a:pPr>
                  <a:defRPr sz="998" b="1" i="0" u="none" strike="noStrike" baseline="0">
                    <a:solidFill>
                      <a:srgbClr val="000000"/>
                    </a:solidFill>
                    <a:latin typeface="Calibri"/>
                    <a:ea typeface="Calibri"/>
                    <a:cs typeface="Calibri"/>
                  </a:defRPr>
                </a:pPr>
                <a:r>
                  <a:rPr lang="en-AU"/>
                  <a:t>Rate per 100,000 population</a:t>
                </a:r>
              </a:p>
            </c:rich>
          </c:tx>
          <c:overlay val="0"/>
        </c:title>
        <c:numFmt formatCode="General" sourceLinked="1"/>
        <c:majorTickMark val="out"/>
        <c:minorTickMark val="none"/>
        <c:tickLblPos val="nextTo"/>
        <c:crossAx val="166382592"/>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943399540098514"/>
          <c:y val="6.8726076333928174E-2"/>
          <c:w val="0.76358461086273843"/>
          <c:h val="0.73264742355348988"/>
        </c:manualLayout>
      </c:layout>
      <c:lineChart>
        <c:grouping val="standard"/>
        <c:varyColors val="0"/>
        <c:ser>
          <c:idx val="0"/>
          <c:order val="0"/>
          <c:tx>
            <c:strRef>
              <c:f>Sheet1!$A$15</c:f>
              <c:strCache>
                <c:ptCount val="1"/>
                <c:pt idx="0">
                  <c:v>All Ages</c:v>
                </c:pt>
              </c:strCache>
            </c:strRef>
          </c:tx>
          <c:marker>
            <c:symbol val="none"/>
          </c:marker>
          <c:errBars>
            <c:errDir val="y"/>
            <c:errBarType val="both"/>
            <c:errValType val="cust"/>
            <c:noEndCap val="0"/>
            <c:plus>
              <c:numRef>
                <c:f>Sheet1!$B$6:$K$6</c:f>
                <c:numCache>
                  <c:formatCode>General</c:formatCode>
                  <c:ptCount val="10"/>
                  <c:pt idx="0">
                    <c:v>4.1171627240580523E-2</c:v>
                  </c:pt>
                  <c:pt idx="1">
                    <c:v>4.2647554960932907E-2</c:v>
                  </c:pt>
                  <c:pt idx="2">
                    <c:v>5.0248066277095542E-2</c:v>
                  </c:pt>
                  <c:pt idx="3">
                    <c:v>4.5631564087423873E-2</c:v>
                  </c:pt>
                  <c:pt idx="4">
                    <c:v>5.0155516188965688E-2</c:v>
                  </c:pt>
                  <c:pt idx="5">
                    <c:v>4.6630142216907436E-2</c:v>
                  </c:pt>
                  <c:pt idx="6">
                    <c:v>4.7732472055567347E-2</c:v>
                  </c:pt>
                  <c:pt idx="7">
                    <c:v>4.1915875902481164E-2</c:v>
                  </c:pt>
                  <c:pt idx="8">
                    <c:v>4.2380045666779331E-2</c:v>
                  </c:pt>
                  <c:pt idx="9">
                    <c:v>3.878708963446896E-2</c:v>
                  </c:pt>
                </c:numCache>
              </c:numRef>
            </c:plus>
            <c:minus>
              <c:numRef>
                <c:f>Sheet1!$B$6:$K$6</c:f>
                <c:numCache>
                  <c:formatCode>General</c:formatCode>
                  <c:ptCount val="10"/>
                  <c:pt idx="0">
                    <c:v>4.1171627240580523E-2</c:v>
                  </c:pt>
                  <c:pt idx="1">
                    <c:v>4.2647554960932907E-2</c:v>
                  </c:pt>
                  <c:pt idx="2">
                    <c:v>5.0248066277095542E-2</c:v>
                  </c:pt>
                  <c:pt idx="3">
                    <c:v>4.5631564087423873E-2</c:v>
                  </c:pt>
                  <c:pt idx="4">
                    <c:v>5.0155516188965688E-2</c:v>
                  </c:pt>
                  <c:pt idx="5">
                    <c:v>4.6630142216907436E-2</c:v>
                  </c:pt>
                  <c:pt idx="6">
                    <c:v>4.7732472055567347E-2</c:v>
                  </c:pt>
                  <c:pt idx="7">
                    <c:v>4.1915875902481164E-2</c:v>
                  </c:pt>
                  <c:pt idx="8">
                    <c:v>4.2380045666779331E-2</c:v>
                  </c:pt>
                  <c:pt idx="9">
                    <c:v>3.878708963446896E-2</c:v>
                  </c:pt>
                </c:numCache>
              </c:numRef>
            </c:minus>
            <c:spPr>
              <a:ln w="3169">
                <a:solidFill>
                  <a:srgbClr val="000000"/>
                </a:solidFill>
                <a:prstDash val="solid"/>
              </a:ln>
            </c:spPr>
          </c:errBars>
          <c:cat>
            <c:numRef>
              <c:f>Sheet1!$B$14:$K$14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Sheet1!$B$15:$K$15</c:f>
              <c:numCache>
                <c:formatCode>0.0%</c:formatCode>
                <c:ptCount val="10"/>
                <c:pt idx="0">
                  <c:v>0.20698924731182797</c:v>
                </c:pt>
                <c:pt idx="1">
                  <c:v>0.22994652406417113</c:v>
                </c:pt>
                <c:pt idx="2">
                  <c:v>0.29430379746835444</c:v>
                </c:pt>
                <c:pt idx="3">
                  <c:v>0.25779036827195467</c:v>
                </c:pt>
                <c:pt idx="4">
                  <c:v>0.25087108013937282</c:v>
                </c:pt>
                <c:pt idx="5">
                  <c:v>0.21283783783783783</c:v>
                </c:pt>
                <c:pt idx="6">
                  <c:v>0.20220588235294118</c:v>
                </c:pt>
                <c:pt idx="7">
                  <c:v>0.15807560137457044</c:v>
                </c:pt>
                <c:pt idx="8">
                  <c:v>0.16943521594684385</c:v>
                </c:pt>
                <c:pt idx="9">
                  <c:v>0.1536144578313253</c:v>
                </c:pt>
              </c:numCache>
            </c:numRef>
          </c:val>
          <c:smooth val="0"/>
        </c:ser>
        <c:ser>
          <c:idx val="1"/>
          <c:order val="1"/>
          <c:tx>
            <c:strRef>
              <c:f>Sheet1!$A$16</c:f>
              <c:strCache>
                <c:ptCount val="1"/>
                <c:pt idx="0">
                  <c:v>17-29 years</c:v>
                </c:pt>
              </c:strCache>
            </c:strRef>
          </c:tx>
          <c:marker>
            <c:symbol val="none"/>
          </c:marker>
          <c:errBars>
            <c:errDir val="y"/>
            <c:errBarType val="both"/>
            <c:errValType val="cust"/>
            <c:noEndCap val="0"/>
            <c:plus>
              <c:numRef>
                <c:f>Sheet1!$B$17:$K$17</c:f>
                <c:numCache>
                  <c:formatCode>General</c:formatCode>
                  <c:ptCount val="10"/>
                  <c:pt idx="0">
                    <c:v>2.0734232187728997E-2</c:v>
                  </c:pt>
                  <c:pt idx="1">
                    <c:v>2.0004942463810012E-2</c:v>
                  </c:pt>
                  <c:pt idx="2">
                    <c:v>2.1223099704318602E-2</c:v>
                  </c:pt>
                  <c:pt idx="3">
                    <c:v>2.0803598831619197E-2</c:v>
                  </c:pt>
                  <c:pt idx="4">
                    <c:v>2.1687442201738114E-2</c:v>
                  </c:pt>
                  <c:pt idx="5">
                    <c:v>2.0754438023529928E-2</c:v>
                  </c:pt>
                  <c:pt idx="6">
                    <c:v>2.103298365223754E-2</c:v>
                  </c:pt>
                  <c:pt idx="7">
                    <c:v>1.8018872099717462E-2</c:v>
                  </c:pt>
                  <c:pt idx="8">
                    <c:v>1.7325693343229739E-2</c:v>
                  </c:pt>
                  <c:pt idx="9">
                    <c:v>1.6747466110334747E-2</c:v>
                  </c:pt>
                </c:numCache>
              </c:numRef>
            </c:plus>
            <c:minus>
              <c:numRef>
                <c:f>Sheet1!$B$17:$K$17</c:f>
                <c:numCache>
                  <c:formatCode>General</c:formatCode>
                  <c:ptCount val="10"/>
                  <c:pt idx="0">
                    <c:v>2.0734232187728997E-2</c:v>
                  </c:pt>
                  <c:pt idx="1">
                    <c:v>2.0004942463810012E-2</c:v>
                  </c:pt>
                  <c:pt idx="2">
                    <c:v>2.1223099704318602E-2</c:v>
                  </c:pt>
                  <c:pt idx="3">
                    <c:v>2.0803598831619197E-2</c:v>
                  </c:pt>
                  <c:pt idx="4">
                    <c:v>2.1687442201738114E-2</c:v>
                  </c:pt>
                  <c:pt idx="5">
                    <c:v>2.0754438023529928E-2</c:v>
                  </c:pt>
                  <c:pt idx="6">
                    <c:v>2.103298365223754E-2</c:v>
                  </c:pt>
                  <c:pt idx="7">
                    <c:v>1.8018872099717462E-2</c:v>
                  </c:pt>
                  <c:pt idx="8">
                    <c:v>1.7325693343229739E-2</c:v>
                  </c:pt>
                  <c:pt idx="9">
                    <c:v>1.6747466110334747E-2</c:v>
                  </c:pt>
                </c:numCache>
              </c:numRef>
            </c:minus>
            <c:spPr>
              <a:ln w="3169">
                <a:solidFill>
                  <a:srgbClr val="000000"/>
                </a:solidFill>
                <a:prstDash val="solid"/>
              </a:ln>
            </c:spPr>
          </c:errBars>
          <c:cat>
            <c:numRef>
              <c:f>Sheet1!$B$14:$K$14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Sheet1!$B$16:$K$16</c:f>
              <c:numCache>
                <c:formatCode>0.0%</c:formatCode>
                <c:ptCount val="10"/>
                <c:pt idx="0">
                  <c:v>0.34027777777777779</c:v>
                </c:pt>
                <c:pt idx="1">
                  <c:v>0.29770992366412213</c:v>
                </c:pt>
                <c:pt idx="2">
                  <c:v>0.37931034482758619</c:v>
                </c:pt>
                <c:pt idx="3">
                  <c:v>0.34615384615384615</c:v>
                </c:pt>
                <c:pt idx="4">
                  <c:v>0.4375</c:v>
                </c:pt>
                <c:pt idx="5">
                  <c:v>0.34343434343434343</c:v>
                </c:pt>
                <c:pt idx="6">
                  <c:v>0.36470588235294116</c:v>
                </c:pt>
                <c:pt idx="7">
                  <c:v>0.21739130434782608</c:v>
                </c:pt>
                <c:pt idx="8">
                  <c:v>0.19565217391304349</c:v>
                </c:pt>
                <c:pt idx="9">
                  <c:v>0.17924528301886791</c:v>
                </c:pt>
              </c:numCache>
            </c:numRef>
          </c:val>
          <c:smooth val="0"/>
        </c:ser>
        <c:dLbls>
          <c:showLegendKey val="0"/>
          <c:showVal val="0"/>
          <c:showCatName val="0"/>
          <c:showSerName val="0"/>
          <c:showPercent val="0"/>
          <c:showBubbleSize val="0"/>
        </c:dLbls>
        <c:marker val="1"/>
        <c:smooth val="0"/>
        <c:axId val="166381568"/>
        <c:axId val="108764480"/>
      </c:lineChart>
      <c:catAx>
        <c:axId val="166381568"/>
        <c:scaling>
          <c:orientation val="minMax"/>
        </c:scaling>
        <c:delete val="0"/>
        <c:axPos val="b"/>
        <c:numFmt formatCode="General" sourceLinked="1"/>
        <c:majorTickMark val="out"/>
        <c:minorTickMark val="none"/>
        <c:tickLblPos val="nextTo"/>
        <c:txPr>
          <a:bodyPr rot="-2280000"/>
          <a:lstStyle/>
          <a:p>
            <a:pPr>
              <a:defRPr/>
            </a:pPr>
            <a:endParaRPr lang="en-US"/>
          </a:p>
        </c:txPr>
        <c:crossAx val="108764480"/>
        <c:crosses val="autoZero"/>
        <c:auto val="0"/>
        <c:lblAlgn val="ctr"/>
        <c:lblOffset val="100"/>
        <c:noMultiLvlLbl val="0"/>
      </c:catAx>
      <c:valAx>
        <c:axId val="108764480"/>
        <c:scaling>
          <c:orientation val="minMax"/>
        </c:scaling>
        <c:delete val="0"/>
        <c:axPos val="l"/>
        <c:title>
          <c:tx>
            <c:rich>
              <a:bodyPr/>
              <a:lstStyle/>
              <a:p>
                <a:pPr>
                  <a:defRPr sz="998" b="1" i="0" u="none" strike="noStrike" baseline="0">
                    <a:solidFill>
                      <a:srgbClr val="000000"/>
                    </a:solidFill>
                    <a:latin typeface="Calibri"/>
                    <a:ea typeface="Calibri"/>
                    <a:cs typeface="Calibri"/>
                  </a:defRPr>
                </a:pPr>
                <a:r>
                  <a:rPr lang="en-AU" sz="998" b="1" i="0" u="none" strike="noStrike" kern="1200" baseline="0">
                    <a:solidFill>
                      <a:srgbClr val="000000"/>
                    </a:solidFill>
                    <a:latin typeface="Calibri"/>
                  </a:rPr>
                  <a:t> per cent</a:t>
                </a:r>
                <a:r>
                  <a:rPr lang="en-AU"/>
                  <a:t> of serious casulaties invloving alcohol </a:t>
                </a:r>
              </a:p>
            </c:rich>
          </c:tx>
          <c:overlay val="0"/>
        </c:title>
        <c:numFmt formatCode="0%" sourceLinked="0"/>
        <c:majorTickMark val="out"/>
        <c:minorTickMark val="none"/>
        <c:tickLblPos val="nextTo"/>
        <c:crossAx val="166381568"/>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158338852503245E-2"/>
          <c:y val="2.9059617547806525E-2"/>
          <c:w val="0.69890730939797241"/>
          <c:h val="0.75387216654499123"/>
        </c:manualLayout>
      </c:layout>
      <c:lineChart>
        <c:grouping val="standard"/>
        <c:varyColors val="0"/>
        <c:ser>
          <c:idx val="0"/>
          <c:order val="0"/>
          <c:tx>
            <c:strRef>
              <c:f>Sheet1!$L$6</c:f>
              <c:strCache>
                <c:ptCount val="1"/>
                <c:pt idx="0">
                  <c:v>North</c:v>
                </c:pt>
              </c:strCache>
            </c:strRef>
          </c:tx>
          <c:cat>
            <c:strRef>
              <c:f>Sheet1!$A$7:$A$12</c:f>
              <c:strCache>
                <c:ptCount val="6"/>
                <c:pt idx="0">
                  <c:v>2010/11</c:v>
                </c:pt>
                <c:pt idx="1">
                  <c:v>2011/12</c:v>
                </c:pt>
                <c:pt idx="2">
                  <c:v>2012/13</c:v>
                </c:pt>
                <c:pt idx="3">
                  <c:v>2013/14</c:v>
                </c:pt>
                <c:pt idx="4">
                  <c:v>2014/15</c:v>
                </c:pt>
                <c:pt idx="5">
                  <c:v>2015/16</c:v>
                </c:pt>
              </c:strCache>
            </c:strRef>
          </c:cat>
          <c:val>
            <c:numRef>
              <c:f>Sheet1!$L$7:$L$12</c:f>
              <c:numCache>
                <c:formatCode>General</c:formatCode>
                <c:ptCount val="6"/>
                <c:pt idx="0">
                  <c:v>30.359937402190923</c:v>
                </c:pt>
                <c:pt idx="1">
                  <c:v>30.679933665008292</c:v>
                </c:pt>
                <c:pt idx="2">
                  <c:v>28.405315614617937</c:v>
                </c:pt>
                <c:pt idx="3">
                  <c:v>20.757575757575758</c:v>
                </c:pt>
                <c:pt idx="4">
                  <c:v>19.714285714285715</c:v>
                </c:pt>
                <c:pt idx="5">
                  <c:v>21.618204804045511</c:v>
                </c:pt>
              </c:numCache>
            </c:numRef>
          </c:val>
          <c:smooth val="0"/>
        </c:ser>
        <c:ser>
          <c:idx val="1"/>
          <c:order val="1"/>
          <c:tx>
            <c:strRef>
              <c:f>Sheet1!$M$6</c:f>
              <c:strCache>
                <c:ptCount val="1"/>
                <c:pt idx="0">
                  <c:v>South</c:v>
                </c:pt>
              </c:strCache>
            </c:strRef>
          </c:tx>
          <c:marker>
            <c:symbol val="square"/>
            <c:size val="4"/>
          </c:marker>
          <c:cat>
            <c:strRef>
              <c:f>Sheet1!$A$7:$A$12</c:f>
              <c:strCache>
                <c:ptCount val="6"/>
                <c:pt idx="0">
                  <c:v>2010/11</c:v>
                </c:pt>
                <c:pt idx="1">
                  <c:v>2011/12</c:v>
                </c:pt>
                <c:pt idx="2">
                  <c:v>2012/13</c:v>
                </c:pt>
                <c:pt idx="3">
                  <c:v>2013/14</c:v>
                </c:pt>
                <c:pt idx="4">
                  <c:v>2014/15</c:v>
                </c:pt>
                <c:pt idx="5">
                  <c:v>2015/16</c:v>
                </c:pt>
              </c:strCache>
            </c:strRef>
          </c:cat>
          <c:val>
            <c:numRef>
              <c:f>Sheet1!$M$7:$M$12</c:f>
              <c:numCache>
                <c:formatCode>General</c:formatCode>
                <c:ptCount val="6"/>
                <c:pt idx="0">
                  <c:v>32.886904761904759</c:v>
                </c:pt>
                <c:pt idx="1">
                  <c:v>33.042096902303413</c:v>
                </c:pt>
                <c:pt idx="2">
                  <c:v>38.246268656716417</c:v>
                </c:pt>
                <c:pt idx="3">
                  <c:v>35.689045936395758</c:v>
                </c:pt>
                <c:pt idx="4">
                  <c:v>26.34069400630915</c:v>
                </c:pt>
                <c:pt idx="5">
                  <c:v>26.70967741935484</c:v>
                </c:pt>
              </c:numCache>
            </c:numRef>
          </c:val>
          <c:smooth val="0"/>
        </c:ser>
        <c:ser>
          <c:idx val="2"/>
          <c:order val="2"/>
          <c:tx>
            <c:strRef>
              <c:f>Sheet1!$N$6</c:f>
              <c:strCache>
                <c:ptCount val="1"/>
                <c:pt idx="0">
                  <c:v>West</c:v>
                </c:pt>
              </c:strCache>
            </c:strRef>
          </c:tx>
          <c:cat>
            <c:strRef>
              <c:f>Sheet1!$A$7:$A$12</c:f>
              <c:strCache>
                <c:ptCount val="6"/>
                <c:pt idx="0">
                  <c:v>2010/11</c:v>
                </c:pt>
                <c:pt idx="1">
                  <c:v>2011/12</c:v>
                </c:pt>
                <c:pt idx="2">
                  <c:v>2012/13</c:v>
                </c:pt>
                <c:pt idx="3">
                  <c:v>2013/14</c:v>
                </c:pt>
                <c:pt idx="4">
                  <c:v>2014/15</c:v>
                </c:pt>
                <c:pt idx="5">
                  <c:v>2015/16</c:v>
                </c:pt>
              </c:strCache>
            </c:strRef>
          </c:cat>
          <c:val>
            <c:numRef>
              <c:f>Sheet1!$N$7:$N$12</c:f>
              <c:numCache>
                <c:formatCode>General</c:formatCode>
                <c:ptCount val="6"/>
                <c:pt idx="0">
                  <c:v>27.312138728323699</c:v>
                </c:pt>
                <c:pt idx="1">
                  <c:v>27.368421052631582</c:v>
                </c:pt>
                <c:pt idx="2">
                  <c:v>31.010452961672474</c:v>
                </c:pt>
                <c:pt idx="3">
                  <c:v>29.591836734693878</c:v>
                </c:pt>
                <c:pt idx="4">
                  <c:v>23.040752351097179</c:v>
                </c:pt>
                <c:pt idx="5">
                  <c:v>21.128451380552221</c:v>
                </c:pt>
              </c:numCache>
            </c:numRef>
          </c:val>
          <c:smooth val="0"/>
        </c:ser>
        <c:dLbls>
          <c:showLegendKey val="0"/>
          <c:showVal val="0"/>
          <c:showCatName val="0"/>
          <c:showSerName val="0"/>
          <c:showPercent val="0"/>
          <c:showBubbleSize val="0"/>
        </c:dLbls>
        <c:marker val="1"/>
        <c:smooth val="0"/>
        <c:axId val="142897152"/>
        <c:axId val="45689088"/>
      </c:lineChart>
      <c:catAx>
        <c:axId val="142897152"/>
        <c:scaling>
          <c:orientation val="minMax"/>
        </c:scaling>
        <c:delete val="0"/>
        <c:axPos val="b"/>
        <c:numFmt formatCode="General" sourceLinked="1"/>
        <c:majorTickMark val="out"/>
        <c:minorTickMark val="none"/>
        <c:tickLblPos val="nextTo"/>
        <c:txPr>
          <a:bodyPr rot="-1800000"/>
          <a:lstStyle/>
          <a:p>
            <a:pPr>
              <a:defRPr/>
            </a:pPr>
            <a:endParaRPr lang="en-US"/>
          </a:p>
        </c:txPr>
        <c:crossAx val="45689088"/>
        <c:crosses val="autoZero"/>
        <c:auto val="1"/>
        <c:lblAlgn val="ctr"/>
        <c:lblOffset val="100"/>
        <c:noMultiLvlLbl val="0"/>
      </c:catAx>
      <c:valAx>
        <c:axId val="45689088"/>
        <c:scaling>
          <c:orientation val="minMax"/>
          <c:min val="0"/>
        </c:scaling>
        <c:delete val="0"/>
        <c:axPos val="l"/>
        <c:numFmt formatCode="General" sourceLinked="1"/>
        <c:majorTickMark val="out"/>
        <c:minorTickMark val="none"/>
        <c:tickLblPos val="nextTo"/>
        <c:crossAx val="14289715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E1EC-AC81-4647-8BBD-C8D57DBF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2F1B0A66.dotm</Template>
  <TotalTime>1</TotalTime>
  <Pages>37</Pages>
  <Words>16334</Words>
  <Characters>93109</Characters>
  <Application>Microsoft Office Word</Application>
  <DocSecurity>4</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James Goderick</dc:creator>
  <cp:lastModifiedBy>Radivojevic, Tracey L</cp:lastModifiedBy>
  <cp:revision>2</cp:revision>
  <cp:lastPrinted>2017-02-23T23:58:00Z</cp:lastPrinted>
  <dcterms:created xsi:type="dcterms:W3CDTF">2017-11-26T22:27:00Z</dcterms:created>
  <dcterms:modified xsi:type="dcterms:W3CDTF">2017-11-26T22:27:00Z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TS1">
    <vt:lpwstr/>
  </property>
  <property fmtid="{D5CDD505-2E9C-101B-9397-08002B2CF9AE}" pid="3" name="Acronym1">
    <vt:lpwstr/>
  </property>
  <property fmtid="{D5CDD505-2E9C-101B-9397-08002B2CF9AE}" pid="4" name="SubjectMinute1">
    <vt:lpwstr/>
  </property>
  <property fmtid="{D5CDD505-2E9C-101B-9397-08002B2CF9AE}" pid="5" name="PreparedBy1">
    <vt:lpwstr/>
  </property>
  <property fmtid="{D5CDD505-2E9C-101B-9397-08002B2CF9AE}" pid="6" name="PreparedPositionTitle1">
    <vt:lpwstr/>
  </property>
  <property fmtid="{D5CDD505-2E9C-101B-9397-08002B2CF9AE}" pid="7" name="PreparedPhone1">
    <vt:lpwstr/>
  </property>
  <property fmtid="{D5CDD505-2E9C-101B-9397-08002B2CF9AE}" pid="8" name="PreparedDate1">
    <vt:lpwstr/>
  </property>
  <property fmtid="{D5CDD505-2E9C-101B-9397-08002B2CF9AE}" pid="9" name="Through1">
    <vt:lpwstr/>
  </property>
  <property fmtid="{D5CDD505-2E9C-101B-9397-08002B2CF9AE}" pid="10" name="ThroughPositionTitle1">
    <vt:lpwstr/>
  </property>
  <property fmtid="{D5CDD505-2E9C-101B-9397-08002B2CF9AE}" pid="11" name="ThroughDate1">
    <vt:lpwstr/>
  </property>
  <property fmtid="{D5CDD505-2E9C-101B-9397-08002B2CF9AE}" pid="12" name="ThroughPhone1">
    <vt:lpwstr/>
  </property>
  <property fmtid="{D5CDD505-2E9C-101B-9397-08002B2CF9AE}" pid="13" name="Through21">
    <vt:lpwstr/>
  </property>
  <property fmtid="{D5CDD505-2E9C-101B-9397-08002B2CF9AE}" pid="14" name="Through2PositionTitle1">
    <vt:lpwstr/>
  </property>
  <property fmtid="{D5CDD505-2E9C-101B-9397-08002B2CF9AE}" pid="15" name="Through2Date1">
    <vt:lpwstr/>
  </property>
  <property fmtid="{D5CDD505-2E9C-101B-9397-08002B2CF9AE}" pid="16" name="Through2Phone1">
    <vt:lpwstr/>
  </property>
  <property fmtid="{D5CDD505-2E9C-101B-9397-08002B2CF9AE}" pid="17" name="ClearedBy1">
    <vt:lpwstr/>
  </property>
  <property fmtid="{D5CDD505-2E9C-101B-9397-08002B2CF9AE}" pid="18" name="ClearedPositionTitle1">
    <vt:lpwstr/>
  </property>
  <property fmtid="{D5CDD505-2E9C-101B-9397-08002B2CF9AE}" pid="19" name="ClearedPhone1">
    <vt:lpwstr/>
  </property>
  <property fmtid="{D5CDD505-2E9C-101B-9397-08002B2CF9AE}" pid="20" name="ClearedDate1">
    <vt:lpwstr/>
  </property>
  <property fmtid="{D5CDD505-2E9C-101B-9397-08002B2CF9AE}" pid="21" name="SelectDepartment1">
    <vt:lpwstr/>
  </property>
  <property fmtid="{D5CDD505-2E9C-101B-9397-08002B2CF9AE}" pid="22" name="SelectTHS1">
    <vt:lpwstr/>
  </property>
  <property fmtid="{D5CDD505-2E9C-101B-9397-08002B2CF9AE}" pid="23" name="SelectMinHealth1">
    <vt:lpwstr/>
  </property>
  <property fmtid="{D5CDD505-2E9C-101B-9397-08002B2CF9AE}" pid="24" name="SelectMinHuman1">
    <vt:lpwstr/>
  </property>
  <property fmtid="{D5CDD505-2E9C-101B-9397-08002B2CF9AE}" pid="25" name="SelectMinChildren1">
    <vt:lpwstr/>
  </property>
  <property fmtid="{D5CDD505-2E9C-101B-9397-08002B2CF9AE}" pid="26" name="MinHealthName1">
    <vt:lpwstr/>
  </property>
  <property fmtid="{D5CDD505-2E9C-101B-9397-08002B2CF9AE}" pid="27" name="MinHealthPosition1">
    <vt:lpwstr/>
  </property>
  <property fmtid="{D5CDD505-2E9C-101B-9397-08002B2CF9AE}" pid="28" name="MinHumanName1">
    <vt:lpwstr/>
  </property>
  <property fmtid="{D5CDD505-2E9C-101B-9397-08002B2CF9AE}" pid="29" name="MinHumanPosition1">
    <vt:lpwstr/>
  </property>
  <property fmtid="{D5CDD505-2E9C-101B-9397-08002B2CF9AE}" pid="30" name="MinChildrenName1">
    <vt:lpwstr/>
  </property>
  <property fmtid="{D5CDD505-2E9C-101B-9397-08002B2CF9AE}" pid="31" name="MinChildrenPosition1">
    <vt:lpwstr/>
  </property>
</Properties>
</file>